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2"/>
        <w:gridCol w:w="6389"/>
      </w:tblGrid>
      <w:tr w:rsidR="00DB7C96" w:rsidRPr="0099135E" w:rsidTr="0099135E">
        <w:trPr>
          <w:trHeight w:val="733"/>
        </w:trPr>
        <w:tc>
          <w:tcPr>
            <w:tcW w:w="3241" w:type="dxa"/>
            <w:vMerge w:val="restart"/>
          </w:tcPr>
          <w:p w:rsidR="0099135E" w:rsidRPr="0099135E" w:rsidRDefault="00DB7C96" w:rsidP="0099135E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407BEB51" wp14:editId="6CFF4B2E">
                  <wp:extent cx="1934774" cy="46512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269" cy="66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  <w:vAlign w:val="bottom"/>
          </w:tcPr>
          <w:p w:rsidR="00E05E41" w:rsidRPr="00794228" w:rsidRDefault="00794228" w:rsidP="009301DB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</w:pPr>
            <w:r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 xml:space="preserve">Teaching Associate- </w:t>
            </w:r>
            <w:r w:rsidR="00CB56BB"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>Summer</w:t>
            </w:r>
            <w:r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 xml:space="preserve"> Term</w:t>
            </w:r>
            <w:r w:rsidR="00CB56BB"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 xml:space="preserve"> </w:t>
            </w:r>
            <w:r w:rsidR="00AB084C"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>(JC 2324)</w:t>
            </w:r>
            <w:r w:rsidR="004E3AB1"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 xml:space="preserve"> </w:t>
            </w:r>
            <w:r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 xml:space="preserve">Process </w:t>
            </w:r>
            <w:r w:rsidR="006F52C3"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>Summary</w:t>
            </w:r>
            <w:r w:rsidR="004E780B" w:rsidRPr="004E3AB1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DB7C96" w:rsidRPr="0099135E" w:rsidTr="0099135E">
        <w:trPr>
          <w:trHeight w:val="275"/>
        </w:trPr>
        <w:tc>
          <w:tcPr>
            <w:tcW w:w="3241" w:type="dxa"/>
            <w:vMerge/>
          </w:tcPr>
          <w:p w:rsidR="0099135E" w:rsidRPr="0099135E" w:rsidRDefault="0099135E" w:rsidP="0099135E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10" w:type="dxa"/>
            <w:vAlign w:val="bottom"/>
          </w:tcPr>
          <w:p w:rsidR="0099135E" w:rsidRPr="00B83B86" w:rsidRDefault="0099135E" w:rsidP="00DB7C96">
            <w:pPr>
              <w:keepNext/>
              <w:keepLines/>
              <w:tabs>
                <w:tab w:val="right" w:pos="5871"/>
              </w:tabs>
              <w:outlineLvl w:val="0"/>
              <w:rPr>
                <w:rFonts w:ascii="Arial Narrow" w:eastAsiaTheme="majorEastAsia" w:hAnsi="Arial Narrow" w:cs="Tahoma"/>
                <w:b/>
                <w:bCs/>
                <w:i/>
                <w:caps/>
                <w:sz w:val="24"/>
                <w:szCs w:val="24"/>
              </w:rPr>
            </w:pPr>
            <w:r w:rsidRPr="009301DB">
              <w:rPr>
                <w:rFonts w:ascii="Arial Narrow" w:eastAsiaTheme="majorEastAsia" w:hAnsi="Arial Narrow" w:cs="Tahoma"/>
                <w:bCs/>
                <w:sz w:val="20"/>
                <w:szCs w:val="24"/>
              </w:rPr>
              <w:t xml:space="preserve">                               </w:t>
            </w:r>
            <w:r w:rsidRPr="009301DB">
              <w:rPr>
                <w:rFonts w:ascii="Arial Narrow" w:eastAsiaTheme="majorEastAsia" w:hAnsi="Arial Narrow" w:cs="Tahoma"/>
                <w:bCs/>
                <w:i/>
                <w:sz w:val="20"/>
                <w:szCs w:val="24"/>
              </w:rPr>
              <w:t>Office of Human Resources</w:t>
            </w:r>
            <w:r w:rsidR="005A05B5" w:rsidRPr="009301DB">
              <w:rPr>
                <w:rFonts w:ascii="Arial Narrow" w:eastAsiaTheme="majorEastAsia" w:hAnsi="Arial Narrow" w:cs="Tahoma"/>
                <w:bCs/>
                <w:i/>
                <w:sz w:val="20"/>
                <w:szCs w:val="24"/>
              </w:rPr>
              <w:t xml:space="preserve"> / </w:t>
            </w:r>
            <w:r w:rsidR="009301DB" w:rsidRPr="009301DB">
              <w:rPr>
                <w:rFonts w:ascii="Arial Narrow" w:eastAsiaTheme="majorEastAsia" w:hAnsi="Arial Narrow" w:cs="Tahoma"/>
                <w:bCs/>
                <w:i/>
                <w:sz w:val="20"/>
                <w:szCs w:val="24"/>
              </w:rPr>
              <w:t xml:space="preserve"> Academic Personnel &amp; Operations </w:t>
            </w:r>
          </w:p>
        </w:tc>
      </w:tr>
    </w:tbl>
    <w:p w:rsidR="003B7535" w:rsidRDefault="003B7535" w:rsidP="009172FA">
      <w:pPr>
        <w:rPr>
          <w:rFonts w:ascii="Arial Narrow" w:hAnsi="Arial Narrow"/>
          <w:sz w:val="24"/>
          <w:szCs w:val="24"/>
        </w:rPr>
      </w:pPr>
    </w:p>
    <w:p w:rsidR="00521022" w:rsidRDefault="00CB56BB" w:rsidP="009172FA">
      <w:pPr>
        <w:rPr>
          <w:rFonts w:ascii="Arial Narrow" w:hAnsi="Arial Narrow"/>
          <w:sz w:val="24"/>
          <w:szCs w:val="24"/>
        </w:rPr>
      </w:pPr>
      <w:r w:rsidRPr="00E46BA4">
        <w:rPr>
          <w:rFonts w:ascii="Arial Narrow" w:hAnsi="Arial Narrow"/>
          <w:sz w:val="24"/>
          <w:szCs w:val="24"/>
        </w:rPr>
        <w:t>Teaching Associates (TAs) planning to work Summer</w:t>
      </w:r>
      <w:r w:rsidR="00794228" w:rsidRPr="00E46BA4">
        <w:rPr>
          <w:rFonts w:ascii="Arial Narrow" w:hAnsi="Arial Narrow"/>
          <w:sz w:val="24"/>
          <w:szCs w:val="24"/>
        </w:rPr>
        <w:t xml:space="preserve"> Session</w:t>
      </w:r>
      <w:r w:rsidRPr="00E46BA4">
        <w:rPr>
          <w:rFonts w:ascii="Arial Narrow" w:hAnsi="Arial Narrow"/>
          <w:sz w:val="24"/>
          <w:szCs w:val="24"/>
        </w:rPr>
        <w:t xml:space="preserve"> 201</w:t>
      </w:r>
      <w:r w:rsidR="00567FFA">
        <w:rPr>
          <w:rFonts w:ascii="Arial Narrow" w:hAnsi="Arial Narrow"/>
          <w:sz w:val="24"/>
          <w:szCs w:val="24"/>
        </w:rPr>
        <w:t>8</w:t>
      </w:r>
      <w:r w:rsidRPr="00E46BA4">
        <w:rPr>
          <w:rFonts w:ascii="Arial Narrow" w:hAnsi="Arial Narrow"/>
          <w:sz w:val="24"/>
          <w:szCs w:val="24"/>
        </w:rPr>
        <w:t xml:space="preserve"> must be hired in job code 2324 (Teaching Associates- Summer Term)</w:t>
      </w:r>
      <w:r w:rsidR="00521022">
        <w:rPr>
          <w:rFonts w:ascii="Arial Narrow" w:hAnsi="Arial Narrow"/>
          <w:sz w:val="24"/>
          <w:szCs w:val="24"/>
        </w:rPr>
        <w:t xml:space="preserve"> via PAR form</w:t>
      </w:r>
      <w:r w:rsidRPr="00E46BA4">
        <w:rPr>
          <w:rFonts w:ascii="Arial Narrow" w:hAnsi="Arial Narrow"/>
          <w:sz w:val="24"/>
          <w:szCs w:val="24"/>
        </w:rPr>
        <w:t xml:space="preserve">. </w:t>
      </w:r>
      <w:r w:rsidR="00AA3072">
        <w:rPr>
          <w:rFonts w:ascii="Arial Narrow" w:hAnsi="Arial Narrow"/>
          <w:sz w:val="24"/>
          <w:szCs w:val="24"/>
        </w:rPr>
        <w:t xml:space="preserve"> </w:t>
      </w:r>
      <w:r w:rsidR="00A7125D">
        <w:rPr>
          <w:rFonts w:ascii="Arial Narrow" w:hAnsi="Arial Narrow"/>
          <w:sz w:val="24"/>
          <w:szCs w:val="24"/>
        </w:rPr>
        <w:t>The s</w:t>
      </w:r>
      <w:r w:rsidRPr="00E46BA4">
        <w:rPr>
          <w:rFonts w:ascii="Arial Narrow" w:hAnsi="Arial Narrow"/>
          <w:sz w:val="24"/>
          <w:szCs w:val="24"/>
        </w:rPr>
        <w:t xml:space="preserve">ession dates </w:t>
      </w:r>
      <w:r w:rsidR="00521022">
        <w:rPr>
          <w:rFonts w:ascii="Arial Narrow" w:hAnsi="Arial Narrow"/>
          <w:sz w:val="24"/>
          <w:szCs w:val="24"/>
        </w:rPr>
        <w:t>and deadlines are noted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960"/>
        <w:gridCol w:w="4765"/>
      </w:tblGrid>
      <w:tr w:rsidR="00521022" w:rsidTr="00C326EC">
        <w:tc>
          <w:tcPr>
            <w:tcW w:w="1345" w:type="dxa"/>
          </w:tcPr>
          <w:p w:rsidR="00521022" w:rsidRPr="00C326EC" w:rsidRDefault="00521022" w:rsidP="000F0C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26EC">
              <w:rPr>
                <w:rFonts w:ascii="Arial Narrow" w:hAnsi="Arial Narrow"/>
                <w:b/>
                <w:sz w:val="24"/>
                <w:szCs w:val="24"/>
              </w:rPr>
              <w:t>Session</w:t>
            </w:r>
          </w:p>
        </w:tc>
        <w:tc>
          <w:tcPr>
            <w:tcW w:w="3960" w:type="dxa"/>
          </w:tcPr>
          <w:p w:rsidR="00521022" w:rsidRPr="00C326EC" w:rsidRDefault="00521022" w:rsidP="000F0C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26EC">
              <w:rPr>
                <w:rFonts w:ascii="Arial Narrow" w:hAnsi="Arial Narrow"/>
                <w:b/>
                <w:sz w:val="24"/>
                <w:szCs w:val="24"/>
              </w:rPr>
              <w:t>Dates / Weeks</w:t>
            </w:r>
          </w:p>
        </w:tc>
        <w:tc>
          <w:tcPr>
            <w:tcW w:w="4765" w:type="dxa"/>
          </w:tcPr>
          <w:p w:rsidR="00521022" w:rsidRPr="00C326EC" w:rsidRDefault="00521022" w:rsidP="000F0C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26EC">
              <w:rPr>
                <w:rFonts w:ascii="Arial Narrow" w:hAnsi="Arial Narrow"/>
                <w:b/>
                <w:sz w:val="24"/>
                <w:szCs w:val="24"/>
              </w:rPr>
              <w:t>TA</w:t>
            </w:r>
            <w:r w:rsidR="00B60E42">
              <w:rPr>
                <w:rFonts w:ascii="Arial Narrow" w:hAnsi="Arial Narrow"/>
                <w:b/>
                <w:sz w:val="24"/>
                <w:szCs w:val="24"/>
              </w:rPr>
              <w:t xml:space="preserve"> Summer Term </w:t>
            </w:r>
            <w:r w:rsidRPr="00C326EC">
              <w:rPr>
                <w:rFonts w:ascii="Arial Narrow" w:hAnsi="Arial Narrow"/>
                <w:b/>
                <w:sz w:val="24"/>
                <w:szCs w:val="24"/>
              </w:rPr>
              <w:t>PAR Due</w:t>
            </w:r>
          </w:p>
        </w:tc>
      </w:tr>
      <w:tr w:rsidR="00521022" w:rsidTr="00C326EC">
        <w:tc>
          <w:tcPr>
            <w:tcW w:w="1345" w:type="dxa"/>
          </w:tcPr>
          <w:p w:rsidR="00521022" w:rsidRDefault="00521022" w:rsidP="00C326E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521022" w:rsidRDefault="00567FFA" w:rsidP="009172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May 29 to August 21, 2018</w:t>
            </w:r>
            <w:r w:rsidR="00C326EC">
              <w:rPr>
                <w:rFonts w:ascii="Arial Narrow" w:hAnsi="Arial Narrow"/>
                <w:sz w:val="24"/>
                <w:szCs w:val="24"/>
              </w:rPr>
              <w:t xml:space="preserve"> (12 Weeks)</w:t>
            </w:r>
          </w:p>
        </w:tc>
        <w:tc>
          <w:tcPr>
            <w:tcW w:w="4765" w:type="dxa"/>
          </w:tcPr>
          <w:p w:rsidR="00521022" w:rsidRDefault="00B60E42" w:rsidP="008119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</w:t>
            </w:r>
            <w:r w:rsidR="00CC0942">
              <w:rPr>
                <w:rFonts w:ascii="Arial Narrow" w:hAnsi="Arial Narrow"/>
                <w:sz w:val="24"/>
                <w:szCs w:val="24"/>
              </w:rPr>
              <w:t>day</w:t>
            </w:r>
            <w:r w:rsidR="0013704E">
              <w:rPr>
                <w:rFonts w:ascii="Arial Narrow" w:hAnsi="Arial Narrow"/>
                <w:sz w:val="24"/>
                <w:szCs w:val="24"/>
              </w:rPr>
              <w:t xml:space="preserve">, May </w:t>
            </w:r>
            <w:r w:rsidR="00567FFA">
              <w:rPr>
                <w:rFonts w:ascii="Arial Narrow" w:hAnsi="Arial Narrow"/>
                <w:sz w:val="24"/>
                <w:szCs w:val="24"/>
              </w:rPr>
              <w:t>8</w:t>
            </w:r>
            <w:r w:rsidR="0013704E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567FFA">
              <w:rPr>
                <w:rFonts w:ascii="Arial Narrow" w:hAnsi="Arial Narrow"/>
                <w:sz w:val="24"/>
                <w:szCs w:val="24"/>
              </w:rPr>
              <w:t>2018</w:t>
            </w:r>
          </w:p>
        </w:tc>
      </w:tr>
      <w:tr w:rsidR="00C326EC" w:rsidTr="00C326EC">
        <w:tc>
          <w:tcPr>
            <w:tcW w:w="1345" w:type="dxa"/>
          </w:tcPr>
          <w:p w:rsidR="00C326EC" w:rsidRDefault="00C326EC" w:rsidP="00C326E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C326EC" w:rsidRDefault="00567FFA" w:rsidP="009172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May 29</w:t>
            </w:r>
            <w:r w:rsidR="00B60E42">
              <w:rPr>
                <w:rFonts w:ascii="Arial Narrow" w:hAnsi="Arial Narrow"/>
                <w:sz w:val="24"/>
                <w:szCs w:val="24"/>
              </w:rPr>
              <w:t xml:space="preserve"> to July </w:t>
            </w:r>
            <w:r>
              <w:rPr>
                <w:rFonts w:ascii="Arial Narrow" w:hAnsi="Arial Narrow"/>
                <w:sz w:val="24"/>
                <w:szCs w:val="24"/>
              </w:rPr>
              <w:t>10, 2018</w:t>
            </w:r>
            <w:r w:rsidR="00C326EC">
              <w:rPr>
                <w:rFonts w:ascii="Arial Narrow" w:hAnsi="Arial Narrow"/>
                <w:sz w:val="24"/>
                <w:szCs w:val="24"/>
              </w:rPr>
              <w:t xml:space="preserve"> (6 Weeks)</w:t>
            </w:r>
          </w:p>
        </w:tc>
        <w:tc>
          <w:tcPr>
            <w:tcW w:w="4765" w:type="dxa"/>
          </w:tcPr>
          <w:p w:rsidR="00C326EC" w:rsidRDefault="00B60E42" w:rsidP="00F7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</w:t>
            </w:r>
            <w:r w:rsidR="00567FFA">
              <w:rPr>
                <w:rFonts w:ascii="Arial Narrow" w:hAnsi="Arial Narrow"/>
                <w:sz w:val="24"/>
                <w:szCs w:val="24"/>
              </w:rPr>
              <w:t>day, May 8, 2018</w:t>
            </w:r>
          </w:p>
        </w:tc>
      </w:tr>
      <w:tr w:rsidR="00C326EC" w:rsidTr="00C326EC">
        <w:tc>
          <w:tcPr>
            <w:tcW w:w="1345" w:type="dxa"/>
          </w:tcPr>
          <w:p w:rsidR="00C326EC" w:rsidRDefault="00C326EC" w:rsidP="00C326E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C326EC" w:rsidRDefault="00567FFA" w:rsidP="009172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July 11 to August 21, 2018</w:t>
            </w:r>
            <w:r w:rsidR="00C326EC">
              <w:rPr>
                <w:rFonts w:ascii="Arial Narrow" w:hAnsi="Arial Narrow"/>
                <w:sz w:val="24"/>
                <w:szCs w:val="24"/>
              </w:rPr>
              <w:t xml:space="preserve"> (6 Weeks)</w:t>
            </w:r>
          </w:p>
        </w:tc>
        <w:tc>
          <w:tcPr>
            <w:tcW w:w="4765" w:type="dxa"/>
          </w:tcPr>
          <w:p w:rsidR="00C326EC" w:rsidRDefault="00567FFA" w:rsidP="00567F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Thursday, July 5, 2018</w:t>
            </w:r>
          </w:p>
        </w:tc>
      </w:tr>
    </w:tbl>
    <w:p w:rsidR="00521022" w:rsidRDefault="00521022" w:rsidP="009172FA">
      <w:pPr>
        <w:rPr>
          <w:rFonts w:ascii="Arial Narrow" w:hAnsi="Arial Narrow"/>
          <w:sz w:val="24"/>
          <w:szCs w:val="24"/>
        </w:rPr>
      </w:pPr>
    </w:p>
    <w:p w:rsidR="00CB56BB" w:rsidRDefault="00AA3072" w:rsidP="009172F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CB56BB" w:rsidRPr="00E46BA4">
        <w:rPr>
          <w:rFonts w:ascii="Arial Narrow" w:hAnsi="Arial Narrow"/>
          <w:sz w:val="24"/>
          <w:szCs w:val="24"/>
        </w:rPr>
        <w:t>o ensure accurate</w:t>
      </w:r>
      <w:r w:rsidR="00794228" w:rsidRPr="00E46BA4">
        <w:rPr>
          <w:rFonts w:ascii="Arial Narrow" w:hAnsi="Arial Narrow"/>
          <w:sz w:val="24"/>
          <w:szCs w:val="24"/>
        </w:rPr>
        <w:t xml:space="preserve"> and timely </w:t>
      </w:r>
      <w:r w:rsidR="00CB56BB" w:rsidRPr="00E46BA4">
        <w:rPr>
          <w:rFonts w:ascii="Arial Narrow" w:hAnsi="Arial Narrow"/>
          <w:sz w:val="24"/>
          <w:szCs w:val="24"/>
        </w:rPr>
        <w:t xml:space="preserve">processing and payment of Summer TA appointments, </w:t>
      </w:r>
      <w:r w:rsidR="00324F9B" w:rsidRPr="00E46BA4">
        <w:rPr>
          <w:rFonts w:ascii="Arial Narrow" w:hAnsi="Arial Narrow"/>
          <w:sz w:val="24"/>
          <w:szCs w:val="24"/>
        </w:rPr>
        <w:t xml:space="preserve">a </w:t>
      </w:r>
      <w:r w:rsidR="00422E49" w:rsidRPr="00E46BA4">
        <w:rPr>
          <w:rFonts w:ascii="Arial Narrow" w:hAnsi="Arial Narrow"/>
          <w:sz w:val="24"/>
          <w:szCs w:val="24"/>
        </w:rPr>
        <w:t xml:space="preserve">college </w:t>
      </w:r>
      <w:r w:rsidR="006F52C3" w:rsidRPr="00E46BA4">
        <w:rPr>
          <w:rFonts w:ascii="Arial Narrow" w:hAnsi="Arial Narrow"/>
          <w:sz w:val="24"/>
          <w:szCs w:val="24"/>
        </w:rPr>
        <w:t xml:space="preserve">point-person </w:t>
      </w:r>
      <w:r w:rsidR="00CB56BB" w:rsidRPr="00E46BA4">
        <w:rPr>
          <w:rFonts w:ascii="Arial Narrow" w:hAnsi="Arial Narrow"/>
          <w:sz w:val="24"/>
          <w:szCs w:val="24"/>
        </w:rPr>
        <w:t>will submit to Human Resources</w:t>
      </w:r>
      <w:r w:rsidR="006F52C3" w:rsidRPr="00E46BA4">
        <w:rPr>
          <w:rFonts w:ascii="Arial Narrow" w:hAnsi="Arial Narrow"/>
          <w:sz w:val="24"/>
          <w:szCs w:val="24"/>
        </w:rPr>
        <w:t xml:space="preserve">, attention </w:t>
      </w:r>
      <w:proofErr w:type="spellStart"/>
      <w:r w:rsidR="00F57A96">
        <w:rPr>
          <w:rFonts w:ascii="Arial Narrow" w:hAnsi="Arial Narrow"/>
          <w:sz w:val="24"/>
          <w:szCs w:val="24"/>
        </w:rPr>
        <w:t>Esmie</w:t>
      </w:r>
      <w:proofErr w:type="spellEnd"/>
      <w:r w:rsidR="00F57A96">
        <w:rPr>
          <w:rFonts w:ascii="Arial Narrow" w:hAnsi="Arial Narrow"/>
          <w:sz w:val="24"/>
          <w:szCs w:val="24"/>
        </w:rPr>
        <w:t xml:space="preserve"> Hernandez</w:t>
      </w:r>
      <w:bookmarkStart w:id="0" w:name="_GoBack"/>
      <w:bookmarkEnd w:id="0"/>
      <w:r w:rsidR="002949AD">
        <w:rPr>
          <w:rFonts w:ascii="Arial Narrow" w:hAnsi="Arial Narrow"/>
          <w:sz w:val="24"/>
          <w:szCs w:val="24"/>
        </w:rPr>
        <w:t>, a</w:t>
      </w:r>
      <w:r w:rsidR="00F71701">
        <w:rPr>
          <w:rFonts w:ascii="Arial Narrow" w:hAnsi="Arial Narrow"/>
          <w:sz w:val="24"/>
          <w:szCs w:val="24"/>
        </w:rPr>
        <w:t>n approved</w:t>
      </w:r>
      <w:r w:rsidR="002949AD">
        <w:rPr>
          <w:rFonts w:ascii="Arial Narrow" w:hAnsi="Arial Narrow"/>
          <w:sz w:val="24"/>
          <w:szCs w:val="24"/>
        </w:rPr>
        <w:t xml:space="preserve"> Summer TA PAR form.</w:t>
      </w:r>
      <w:r w:rsidR="00B60E42">
        <w:rPr>
          <w:rFonts w:ascii="Arial Narrow" w:hAnsi="Arial Narrow"/>
          <w:sz w:val="24"/>
          <w:szCs w:val="24"/>
        </w:rPr>
        <w:t xml:space="preserve"> This document is </w:t>
      </w:r>
      <w:r w:rsidR="00F71701">
        <w:rPr>
          <w:rFonts w:ascii="Arial Narrow" w:hAnsi="Arial Narrow"/>
          <w:sz w:val="24"/>
          <w:szCs w:val="24"/>
        </w:rPr>
        <w:t xml:space="preserve">necessary in order to convert academic year pay to summer equivalency. </w:t>
      </w:r>
    </w:p>
    <w:p w:rsidR="00CB56BB" w:rsidRPr="00E46BA4" w:rsidRDefault="00B60E42" w:rsidP="00B9739E">
      <w:pPr>
        <w:pStyle w:val="ListParagraph"/>
        <w:numPr>
          <w:ilvl w:val="0"/>
          <w:numId w:val="14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Approved Summer Teaching Associate (TA) PAR must contain </w:t>
      </w:r>
      <w:r w:rsidR="006F52C3" w:rsidRPr="00E46BA4">
        <w:rPr>
          <w:rFonts w:ascii="Arial Narrow" w:hAnsi="Arial Narrow"/>
          <w:sz w:val="24"/>
          <w:szCs w:val="24"/>
        </w:rPr>
        <w:t>the following</w:t>
      </w:r>
      <w:r w:rsidR="003D687C">
        <w:rPr>
          <w:rFonts w:ascii="Arial Narrow" w:hAnsi="Arial Narrow"/>
          <w:sz w:val="24"/>
          <w:szCs w:val="24"/>
        </w:rPr>
        <w:t xml:space="preserve"> information</w:t>
      </w:r>
      <w:r w:rsidR="003B7535">
        <w:rPr>
          <w:rFonts w:ascii="Arial Narrow" w:hAnsi="Arial Narrow"/>
          <w:sz w:val="24"/>
          <w:szCs w:val="24"/>
        </w:rPr>
        <w:t>:</w:t>
      </w:r>
    </w:p>
    <w:p w:rsidR="006F52C3" w:rsidRPr="00E46BA4" w:rsidRDefault="003B7535" w:rsidP="004C08BC">
      <w:pPr>
        <w:pStyle w:val="ListParagraph"/>
        <w:numPr>
          <w:ilvl w:val="1"/>
          <w:numId w:val="24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Teaching Associate’s </w:t>
      </w:r>
      <w:r w:rsidR="006F52C3" w:rsidRPr="00E46BA4">
        <w:rPr>
          <w:rFonts w:ascii="Arial Narrow" w:hAnsi="Arial Narrow"/>
          <w:sz w:val="24"/>
          <w:szCs w:val="24"/>
        </w:rPr>
        <w:t>Name</w:t>
      </w:r>
    </w:p>
    <w:p w:rsidR="006F52C3" w:rsidRPr="00E46BA4" w:rsidRDefault="006F52C3" w:rsidP="004C08BC">
      <w:pPr>
        <w:pStyle w:val="ListParagraph"/>
        <w:numPr>
          <w:ilvl w:val="1"/>
          <w:numId w:val="24"/>
        </w:numPr>
        <w:spacing w:line="600" w:lineRule="auto"/>
        <w:rPr>
          <w:rFonts w:ascii="Arial Narrow" w:hAnsi="Arial Narrow"/>
          <w:sz w:val="24"/>
          <w:szCs w:val="24"/>
        </w:rPr>
      </w:pPr>
      <w:r w:rsidRPr="00E46BA4">
        <w:rPr>
          <w:rFonts w:ascii="Arial Narrow" w:hAnsi="Arial Narrow"/>
          <w:sz w:val="24"/>
          <w:szCs w:val="24"/>
        </w:rPr>
        <w:t>Empl ID &amp; Rec #</w:t>
      </w:r>
    </w:p>
    <w:p w:rsidR="006F52C3" w:rsidRPr="00E46BA4" w:rsidRDefault="00C01B04" w:rsidP="004C08BC">
      <w:pPr>
        <w:pStyle w:val="ListParagraph"/>
        <w:numPr>
          <w:ilvl w:val="1"/>
          <w:numId w:val="24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Monthly Base Rate from AY Appointment</w:t>
      </w:r>
      <w:r w:rsidR="00B60E42">
        <w:rPr>
          <w:rFonts w:ascii="Arial Narrow" w:hAnsi="Arial Narrow"/>
          <w:sz w:val="24"/>
          <w:szCs w:val="24"/>
        </w:rPr>
        <w:t xml:space="preserve"> (Job Code 2354)</w:t>
      </w:r>
      <w:r w:rsidR="00B60E42">
        <w:rPr>
          <w:rStyle w:val="FootnoteReference"/>
          <w:rFonts w:ascii="Arial Narrow" w:hAnsi="Arial Narrow"/>
          <w:sz w:val="24"/>
          <w:szCs w:val="24"/>
        </w:rPr>
        <w:footnoteReference w:id="1"/>
      </w:r>
    </w:p>
    <w:p w:rsidR="00C01B04" w:rsidRDefault="00C01B04" w:rsidP="004C08BC">
      <w:pPr>
        <w:pStyle w:val="ListParagraph"/>
        <w:numPr>
          <w:ilvl w:val="1"/>
          <w:numId w:val="24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Summer WTUs</w:t>
      </w:r>
    </w:p>
    <w:p w:rsidR="00FD2CE9" w:rsidRDefault="00FD2CE9" w:rsidP="004C08BC">
      <w:pPr>
        <w:pStyle w:val="ListParagraph"/>
        <w:numPr>
          <w:ilvl w:val="1"/>
          <w:numId w:val="24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Summer Session working</w:t>
      </w:r>
    </w:p>
    <w:p w:rsidR="003C0F85" w:rsidRDefault="00FD2CE9" w:rsidP="004C08BC">
      <w:pPr>
        <w:pStyle w:val="ListParagraph"/>
        <w:numPr>
          <w:ilvl w:val="1"/>
          <w:numId w:val="24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Summer TA Actual </w:t>
      </w:r>
      <w:r w:rsidR="00C01B04">
        <w:rPr>
          <w:rFonts w:ascii="Arial Narrow" w:hAnsi="Arial Narrow"/>
          <w:sz w:val="24"/>
          <w:szCs w:val="24"/>
        </w:rPr>
        <w:t>Salary</w:t>
      </w:r>
      <w:r w:rsidR="002949AD">
        <w:rPr>
          <w:rStyle w:val="FootnoteReference"/>
          <w:rFonts w:ascii="Arial Narrow" w:hAnsi="Arial Narrow"/>
          <w:sz w:val="24"/>
          <w:szCs w:val="24"/>
        </w:rPr>
        <w:footnoteReference w:id="2"/>
      </w:r>
    </w:p>
    <w:p w:rsidR="0013704E" w:rsidRDefault="001474E2" w:rsidP="001474E2">
      <w:pPr>
        <w:ind w:left="360"/>
        <w:rPr>
          <w:rFonts w:ascii="Arial Narrow" w:hAnsi="Arial Narrow"/>
          <w:i/>
          <w:color w:val="FF0000"/>
          <w:sz w:val="24"/>
          <w:szCs w:val="24"/>
        </w:rPr>
      </w:pPr>
      <w:r w:rsidRPr="001474E2">
        <w:rPr>
          <w:rFonts w:ascii="Arial Narrow" w:hAnsi="Arial Narrow"/>
          <w:i/>
          <w:color w:val="FF0000"/>
          <w:sz w:val="24"/>
          <w:szCs w:val="24"/>
        </w:rPr>
        <w:t xml:space="preserve">Note: The information provided on the </w:t>
      </w:r>
      <w:r>
        <w:rPr>
          <w:rFonts w:ascii="Arial Narrow" w:hAnsi="Arial Narrow"/>
          <w:i/>
          <w:color w:val="FF0000"/>
          <w:sz w:val="24"/>
          <w:szCs w:val="24"/>
        </w:rPr>
        <w:t xml:space="preserve">Summer TA </w:t>
      </w:r>
      <w:r w:rsidR="00FD2CE9">
        <w:rPr>
          <w:rFonts w:ascii="Arial Narrow" w:hAnsi="Arial Narrow"/>
          <w:i/>
          <w:color w:val="FF0000"/>
          <w:sz w:val="24"/>
          <w:szCs w:val="24"/>
        </w:rPr>
        <w:t xml:space="preserve">calculation portion of the PAR </w:t>
      </w:r>
      <w:r w:rsidR="00C01B04">
        <w:rPr>
          <w:rFonts w:ascii="Arial Narrow" w:hAnsi="Arial Narrow"/>
          <w:i/>
          <w:color w:val="FF0000"/>
          <w:sz w:val="24"/>
          <w:szCs w:val="24"/>
        </w:rPr>
        <w:t>may serve</w:t>
      </w:r>
      <w:r w:rsidRPr="001474E2">
        <w:rPr>
          <w:rFonts w:ascii="Arial Narrow" w:hAnsi="Arial Narrow"/>
          <w:i/>
          <w:color w:val="FF0000"/>
          <w:sz w:val="24"/>
          <w:szCs w:val="24"/>
        </w:rPr>
        <w:t xml:space="preserve"> as the </w:t>
      </w:r>
      <w:r w:rsidR="007724EF">
        <w:rPr>
          <w:rFonts w:ascii="Arial Narrow" w:hAnsi="Arial Narrow"/>
          <w:i/>
          <w:color w:val="FF0000"/>
          <w:sz w:val="24"/>
          <w:szCs w:val="24"/>
        </w:rPr>
        <w:t xml:space="preserve">department’s </w:t>
      </w:r>
      <w:r w:rsidRPr="001474E2">
        <w:rPr>
          <w:rFonts w:ascii="Arial Narrow" w:hAnsi="Arial Narrow"/>
          <w:i/>
          <w:color w:val="FF0000"/>
          <w:sz w:val="24"/>
          <w:szCs w:val="24"/>
        </w:rPr>
        <w:t>control document to facilitate the preparation of the TA’s appointment letter</w:t>
      </w:r>
      <w:r w:rsidR="00FD2CE9">
        <w:rPr>
          <w:rFonts w:ascii="Arial Narrow" w:hAnsi="Arial Narrow"/>
          <w:i/>
          <w:color w:val="FF0000"/>
          <w:sz w:val="24"/>
          <w:szCs w:val="24"/>
        </w:rPr>
        <w:t xml:space="preserve">. </w:t>
      </w:r>
      <w:r w:rsidR="007724EF">
        <w:rPr>
          <w:rFonts w:ascii="Arial Narrow" w:hAnsi="Arial Narrow"/>
          <w:i/>
          <w:color w:val="FF0000"/>
          <w:sz w:val="24"/>
          <w:szCs w:val="24"/>
        </w:rPr>
        <w:t xml:space="preserve">The approved PAR form </w:t>
      </w:r>
      <w:r w:rsidR="00C01B04">
        <w:rPr>
          <w:rFonts w:ascii="Arial Narrow" w:hAnsi="Arial Narrow"/>
          <w:i/>
          <w:color w:val="FF0000"/>
          <w:sz w:val="24"/>
          <w:szCs w:val="24"/>
        </w:rPr>
        <w:t>(</w:t>
      </w:r>
      <w:r w:rsidR="007724EF">
        <w:rPr>
          <w:rFonts w:ascii="Arial Narrow" w:hAnsi="Arial Narrow"/>
          <w:i/>
          <w:color w:val="FF0000"/>
          <w:sz w:val="24"/>
          <w:szCs w:val="24"/>
        </w:rPr>
        <w:t xml:space="preserve">one </w:t>
      </w:r>
      <w:r w:rsidR="00C01B04">
        <w:rPr>
          <w:rFonts w:ascii="Arial Narrow" w:hAnsi="Arial Narrow"/>
          <w:i/>
          <w:color w:val="FF0000"/>
          <w:sz w:val="24"/>
          <w:szCs w:val="24"/>
        </w:rPr>
        <w:t xml:space="preserve">per session) will be used </w:t>
      </w:r>
      <w:r w:rsidR="007724EF">
        <w:rPr>
          <w:rFonts w:ascii="Arial Narrow" w:hAnsi="Arial Narrow"/>
          <w:i/>
          <w:color w:val="FF0000"/>
          <w:sz w:val="24"/>
          <w:szCs w:val="24"/>
        </w:rPr>
        <w:t xml:space="preserve">by HR </w:t>
      </w:r>
      <w:r w:rsidRPr="001474E2">
        <w:rPr>
          <w:rFonts w:ascii="Arial Narrow" w:hAnsi="Arial Narrow"/>
          <w:i/>
          <w:color w:val="FF0000"/>
          <w:sz w:val="24"/>
          <w:szCs w:val="24"/>
        </w:rPr>
        <w:t xml:space="preserve">to hire </w:t>
      </w:r>
      <w:r w:rsidRPr="001474E2">
        <w:rPr>
          <w:rFonts w:ascii="Arial Narrow" w:hAnsi="Arial Narrow"/>
          <w:i/>
          <w:color w:val="FF0000"/>
          <w:sz w:val="24"/>
          <w:szCs w:val="24"/>
          <w:u w:val="single"/>
        </w:rPr>
        <w:t>and</w:t>
      </w:r>
      <w:r w:rsidRPr="001474E2">
        <w:rPr>
          <w:rFonts w:ascii="Arial Narrow" w:hAnsi="Arial Narrow"/>
          <w:i/>
          <w:color w:val="FF0000"/>
          <w:sz w:val="24"/>
          <w:szCs w:val="24"/>
        </w:rPr>
        <w:t xml:space="preserve"> separate the TA’s summer appointment.  Corrections and/or revision of units, session dates, </w:t>
      </w:r>
      <w:r>
        <w:rPr>
          <w:rFonts w:ascii="Arial Narrow" w:hAnsi="Arial Narrow"/>
          <w:i/>
          <w:color w:val="FF0000"/>
          <w:sz w:val="24"/>
          <w:szCs w:val="24"/>
        </w:rPr>
        <w:t xml:space="preserve">early separations, </w:t>
      </w:r>
      <w:r w:rsidRPr="001474E2">
        <w:rPr>
          <w:rFonts w:ascii="Arial Narrow" w:hAnsi="Arial Narrow"/>
          <w:i/>
          <w:color w:val="FF0000"/>
          <w:sz w:val="24"/>
          <w:szCs w:val="24"/>
        </w:rPr>
        <w:t>and cancellations of appointm</w:t>
      </w:r>
      <w:r w:rsidR="0013704E">
        <w:rPr>
          <w:rFonts w:ascii="Arial Narrow" w:hAnsi="Arial Narrow"/>
          <w:i/>
          <w:color w:val="FF0000"/>
          <w:sz w:val="24"/>
          <w:szCs w:val="24"/>
        </w:rPr>
        <w:t>ents must be communicated to HR Academic Personnel &amp; Operations immediately.</w:t>
      </w:r>
    </w:p>
    <w:p w:rsidR="004D35BA" w:rsidRDefault="004D35BA" w:rsidP="006F52C3">
      <w:pPr>
        <w:rPr>
          <w:rFonts w:ascii="Arial Narrow" w:hAnsi="Arial Narrow"/>
          <w:b/>
          <w:i/>
          <w:sz w:val="24"/>
          <w:szCs w:val="24"/>
        </w:rPr>
      </w:pPr>
    </w:p>
    <w:p w:rsidR="000F0C5F" w:rsidRDefault="000F0C5F" w:rsidP="006F52C3">
      <w:pPr>
        <w:rPr>
          <w:rFonts w:ascii="Arial Narrow" w:hAnsi="Arial Narrow"/>
          <w:b/>
          <w:i/>
          <w:sz w:val="24"/>
          <w:szCs w:val="24"/>
        </w:rPr>
      </w:pPr>
    </w:p>
    <w:p w:rsidR="000F0C5F" w:rsidRDefault="000F0C5F" w:rsidP="006F52C3">
      <w:pPr>
        <w:rPr>
          <w:rFonts w:ascii="Arial Narrow" w:hAnsi="Arial Narrow"/>
          <w:b/>
          <w:i/>
          <w:sz w:val="24"/>
          <w:szCs w:val="24"/>
        </w:rPr>
      </w:pPr>
    </w:p>
    <w:p w:rsidR="004E780B" w:rsidRDefault="004E780B" w:rsidP="006F52C3">
      <w:pPr>
        <w:rPr>
          <w:rFonts w:ascii="Arial Narrow" w:hAnsi="Arial Narrow"/>
          <w:b/>
          <w:i/>
          <w:sz w:val="24"/>
          <w:szCs w:val="24"/>
        </w:rPr>
      </w:pPr>
      <w:r w:rsidRPr="007A16DB">
        <w:rPr>
          <w:rFonts w:ascii="Arial Narrow" w:hAnsi="Arial Narrow"/>
          <w:b/>
          <w:i/>
          <w:sz w:val="24"/>
          <w:szCs w:val="24"/>
        </w:rPr>
        <w:t>Teaching Associate- Summer Term Process Summary (Continued)</w:t>
      </w:r>
    </w:p>
    <w:p w:rsidR="00615712" w:rsidRPr="007A16DB" w:rsidRDefault="00615712" w:rsidP="006F52C3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Enter the following information on the Summer TA PAR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455"/>
      </w:tblGrid>
      <w:tr w:rsidR="00D566AB" w:rsidTr="00615712">
        <w:tc>
          <w:tcPr>
            <w:tcW w:w="1615" w:type="dxa"/>
          </w:tcPr>
          <w:p w:rsidR="00D566AB" w:rsidRPr="00D06F66" w:rsidRDefault="00D566AB" w:rsidP="006157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06F66">
              <w:rPr>
                <w:rFonts w:ascii="Arial Narrow" w:hAnsi="Arial Narrow"/>
                <w:b/>
                <w:sz w:val="24"/>
                <w:szCs w:val="24"/>
              </w:rPr>
              <w:t>Line Item</w:t>
            </w:r>
          </w:p>
        </w:tc>
        <w:tc>
          <w:tcPr>
            <w:tcW w:w="8455" w:type="dxa"/>
          </w:tcPr>
          <w:p w:rsidR="00D566AB" w:rsidRPr="00D06F66" w:rsidRDefault="00D566AB" w:rsidP="00D566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06F66">
              <w:rPr>
                <w:rFonts w:ascii="Arial Narrow" w:hAnsi="Arial Narrow"/>
                <w:b/>
                <w:sz w:val="24"/>
                <w:szCs w:val="24"/>
              </w:rPr>
              <w:t>Required</w:t>
            </w:r>
            <w:r w:rsidR="00615712">
              <w:rPr>
                <w:rFonts w:ascii="Arial Narrow" w:hAnsi="Arial Narrow"/>
                <w:b/>
                <w:sz w:val="24"/>
                <w:szCs w:val="24"/>
              </w:rPr>
              <w:t xml:space="preserve"> Information</w:t>
            </w:r>
          </w:p>
        </w:tc>
      </w:tr>
      <w:tr w:rsidR="00D566AB" w:rsidTr="00615712">
        <w:tc>
          <w:tcPr>
            <w:tcW w:w="1615" w:type="dxa"/>
          </w:tcPr>
          <w:p w:rsidR="00D566AB" w:rsidRDefault="00D566AB" w:rsidP="000F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:rsidR="00D566AB" w:rsidRDefault="00D566AB" w:rsidP="00D566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College Name, Date</w:t>
            </w:r>
          </w:p>
        </w:tc>
      </w:tr>
      <w:tr w:rsidR="00D566AB" w:rsidTr="00615712">
        <w:tc>
          <w:tcPr>
            <w:tcW w:w="1615" w:type="dxa"/>
          </w:tcPr>
          <w:p w:rsidR="00D566AB" w:rsidRDefault="00D566AB" w:rsidP="000F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:rsidR="00D566AB" w:rsidRDefault="00D566AB" w:rsidP="00D566A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Empl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ID #, Record #,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Empl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Position #</w:t>
            </w:r>
          </w:p>
        </w:tc>
      </w:tr>
      <w:tr w:rsidR="00D566AB" w:rsidTr="00615712">
        <w:tc>
          <w:tcPr>
            <w:tcW w:w="1615" w:type="dxa"/>
          </w:tcPr>
          <w:p w:rsidR="00D566AB" w:rsidRDefault="00D566AB" w:rsidP="000F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:rsidR="00D566AB" w:rsidRDefault="00D566AB" w:rsidP="00D566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(First, Middle Initial, Last)</w:t>
            </w:r>
          </w:p>
        </w:tc>
      </w:tr>
      <w:tr w:rsidR="00D566AB" w:rsidTr="00615712">
        <w:tc>
          <w:tcPr>
            <w:tcW w:w="1615" w:type="dxa"/>
          </w:tcPr>
          <w:p w:rsidR="00D566AB" w:rsidRDefault="00D566AB" w:rsidP="000F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455" w:type="dxa"/>
          </w:tcPr>
          <w:p w:rsidR="00D566AB" w:rsidRDefault="00D566AB" w:rsidP="00D566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Summer Session info as appropriate</w:t>
            </w:r>
          </w:p>
        </w:tc>
      </w:tr>
      <w:tr w:rsidR="00D566AB" w:rsidTr="00615712">
        <w:tc>
          <w:tcPr>
            <w:tcW w:w="1615" w:type="dxa"/>
          </w:tcPr>
          <w:p w:rsidR="00D566AB" w:rsidRDefault="00D06F66" w:rsidP="000F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8455" w:type="dxa"/>
          </w:tcPr>
          <w:p w:rsidR="00D566AB" w:rsidRDefault="00D06F66" w:rsidP="00D566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 AY Info, Department</w:t>
            </w:r>
          </w:p>
        </w:tc>
      </w:tr>
      <w:tr w:rsidR="00D06F66" w:rsidTr="00615712">
        <w:tc>
          <w:tcPr>
            <w:tcW w:w="1615" w:type="dxa"/>
          </w:tcPr>
          <w:p w:rsidR="00D06F66" w:rsidRDefault="00D06F66" w:rsidP="000F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8455" w:type="dxa"/>
          </w:tcPr>
          <w:p w:rsidR="00D06F66" w:rsidRDefault="00D06F66" w:rsidP="00D566A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Dept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ID, AY Job Code, AY Duration, Summer WTU, AY Base Salary</w:t>
            </w:r>
          </w:p>
        </w:tc>
      </w:tr>
      <w:tr w:rsidR="00D06F66" w:rsidTr="00615712">
        <w:tc>
          <w:tcPr>
            <w:tcW w:w="1615" w:type="dxa"/>
          </w:tcPr>
          <w:p w:rsidR="00D06F66" w:rsidRDefault="00D06F66" w:rsidP="000F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8455" w:type="dxa"/>
          </w:tcPr>
          <w:p w:rsidR="00D06F66" w:rsidRDefault="00D06F66" w:rsidP="00D06F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Select the session TA is teaching by placing an “x” in the appropriate box (one box only)</w:t>
            </w:r>
          </w:p>
        </w:tc>
      </w:tr>
    </w:tbl>
    <w:p w:rsidR="00D06F66" w:rsidRDefault="00D06F66" w:rsidP="00D06F66">
      <w:pPr>
        <w:rPr>
          <w:rFonts w:ascii="Arial Narrow" w:hAnsi="Arial Narrow"/>
          <w:color w:val="FF0000"/>
          <w:sz w:val="24"/>
          <w:szCs w:val="24"/>
        </w:rPr>
      </w:pPr>
    </w:p>
    <w:p w:rsidR="0039210D" w:rsidRPr="00934ED9" w:rsidRDefault="0039210D" w:rsidP="004C08BC">
      <w:pPr>
        <w:rPr>
          <w:rFonts w:ascii="Arial Narrow" w:hAnsi="Arial Narrow"/>
          <w:b/>
          <w:color w:val="FF0000"/>
          <w:sz w:val="24"/>
          <w:szCs w:val="24"/>
        </w:rPr>
      </w:pPr>
      <w:r w:rsidRPr="00934ED9">
        <w:rPr>
          <w:rFonts w:ascii="Arial Narrow" w:hAnsi="Arial Narrow"/>
          <w:b/>
          <w:color w:val="FF0000"/>
          <w:sz w:val="24"/>
          <w:szCs w:val="24"/>
        </w:rPr>
        <w:t>NO ADDITIONAL ENTRIES REQUIRED</w:t>
      </w:r>
    </w:p>
    <w:p w:rsidR="00D06F66" w:rsidRPr="004C08BC" w:rsidRDefault="00D06F66" w:rsidP="004C08BC">
      <w:pPr>
        <w:rPr>
          <w:rFonts w:ascii="Arial Narrow" w:hAnsi="Arial Narrow"/>
          <w:sz w:val="24"/>
          <w:szCs w:val="24"/>
        </w:rPr>
      </w:pPr>
      <w:r w:rsidRPr="004C08BC">
        <w:rPr>
          <w:rFonts w:ascii="Arial Narrow" w:hAnsi="Arial Narrow"/>
          <w:sz w:val="24"/>
          <w:szCs w:val="24"/>
        </w:rPr>
        <w:t xml:space="preserve">Obtain approval signatures and submit Summer </w:t>
      </w:r>
      <w:r w:rsidR="000F0C5F" w:rsidRPr="004C08BC">
        <w:rPr>
          <w:rFonts w:ascii="Arial Narrow" w:hAnsi="Arial Narrow"/>
          <w:sz w:val="24"/>
          <w:szCs w:val="24"/>
        </w:rPr>
        <w:t xml:space="preserve">TA </w:t>
      </w:r>
      <w:r w:rsidRPr="004C08BC">
        <w:rPr>
          <w:rFonts w:ascii="Arial Narrow" w:hAnsi="Arial Narrow"/>
          <w:sz w:val="24"/>
          <w:szCs w:val="24"/>
        </w:rPr>
        <w:t>PAR</w:t>
      </w:r>
      <w:r w:rsidR="000F0C5F" w:rsidRPr="004C08BC">
        <w:rPr>
          <w:rFonts w:ascii="Arial Narrow" w:hAnsi="Arial Narrow"/>
          <w:sz w:val="24"/>
          <w:szCs w:val="24"/>
        </w:rPr>
        <w:t xml:space="preserve"> Form </w:t>
      </w:r>
      <w:r w:rsidRPr="004C08BC">
        <w:rPr>
          <w:rFonts w:ascii="Arial Narrow" w:hAnsi="Arial Narrow"/>
          <w:sz w:val="24"/>
          <w:szCs w:val="24"/>
        </w:rPr>
        <w:t>to HR</w:t>
      </w:r>
      <w:r w:rsidR="00AD28F0">
        <w:rPr>
          <w:rFonts w:ascii="Arial Narrow" w:hAnsi="Arial Narrow"/>
          <w:sz w:val="24"/>
          <w:szCs w:val="24"/>
        </w:rPr>
        <w:t xml:space="preserve">- Attention </w:t>
      </w:r>
      <w:proofErr w:type="spellStart"/>
      <w:r w:rsidR="00AD28F0">
        <w:rPr>
          <w:rFonts w:ascii="Arial Narrow" w:hAnsi="Arial Narrow"/>
          <w:sz w:val="24"/>
          <w:szCs w:val="24"/>
        </w:rPr>
        <w:t>Esmie</w:t>
      </w:r>
      <w:proofErr w:type="spellEnd"/>
      <w:r w:rsidR="00AD28F0">
        <w:rPr>
          <w:rFonts w:ascii="Arial Narrow" w:hAnsi="Arial Narrow"/>
          <w:sz w:val="24"/>
          <w:szCs w:val="24"/>
        </w:rPr>
        <w:t xml:space="preserve"> Hernandez</w:t>
      </w:r>
    </w:p>
    <w:p w:rsidR="00CD79F6" w:rsidRPr="000F0C5F" w:rsidRDefault="00CD79F6" w:rsidP="00CD79F6">
      <w:pPr>
        <w:pStyle w:val="Caption"/>
        <w:keepNext/>
        <w:rPr>
          <w:color w:val="auto"/>
        </w:rPr>
      </w:pPr>
      <w:r w:rsidRPr="000F0C5F">
        <w:rPr>
          <w:color w:val="auto"/>
        </w:rPr>
        <w:t xml:space="preserve">Figure </w:t>
      </w:r>
      <w:r w:rsidR="00565278" w:rsidRPr="000F0C5F">
        <w:rPr>
          <w:color w:val="auto"/>
        </w:rPr>
        <w:t>1</w:t>
      </w:r>
      <w:r w:rsidRPr="000F0C5F">
        <w:rPr>
          <w:color w:val="auto"/>
        </w:rPr>
        <w:t xml:space="preserve"> TA Summer Term Workflow</w:t>
      </w:r>
      <w:r w:rsidR="00AD28F0">
        <w:rPr>
          <w:color w:val="auto"/>
        </w:rPr>
        <w:t xml:space="preserve"> (Revised 04/2018</w:t>
      </w:r>
      <w:r w:rsidR="00816C10" w:rsidRPr="000F0C5F">
        <w:rPr>
          <w:color w:val="auto"/>
        </w:rPr>
        <w:t>)</w:t>
      </w:r>
    </w:p>
    <w:p w:rsidR="00CD79F6" w:rsidRDefault="00AD28F0" w:rsidP="004E780B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DAE857C" wp14:editId="3C5D57DD">
            <wp:extent cx="6400800" cy="3328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552" w:rsidRPr="004E780B" w:rsidRDefault="00BC7552" w:rsidP="004E780B">
      <w:pPr>
        <w:ind w:left="360"/>
        <w:rPr>
          <w:rFonts w:ascii="Arial Narrow" w:hAnsi="Arial Narrow"/>
          <w:sz w:val="24"/>
          <w:szCs w:val="24"/>
        </w:rPr>
      </w:pPr>
    </w:p>
    <w:sectPr w:rsidR="00BC7552" w:rsidRPr="004E780B" w:rsidSect="007F6F07"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1A" w:rsidRDefault="0071791A" w:rsidP="003F64F3">
      <w:pPr>
        <w:spacing w:after="0" w:line="240" w:lineRule="auto"/>
      </w:pPr>
      <w:r>
        <w:separator/>
      </w:r>
    </w:p>
  </w:endnote>
  <w:endnote w:type="continuationSeparator" w:id="0">
    <w:p w:rsidR="0071791A" w:rsidRDefault="0071791A" w:rsidP="003F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FE" w:rsidRDefault="00BE5EFE">
    <w:pPr>
      <w:pStyle w:val="Footer"/>
    </w:pPr>
    <w:fldSimple w:instr=" FILENAME  \p  \* MERGEFORMAT ">
      <w:r w:rsidR="00AD28F0">
        <w:rPr>
          <w:noProof/>
        </w:rPr>
        <w:t>S:\HRS\GROUP\Academic Personnel\Summer\Summer- TA\su2018_Teaching Associates_Summer Term JC 2324_ Process Improvement_jmedina20180419.docx</w:t>
      </w:r>
    </w:fldSimple>
  </w:p>
  <w:p w:rsidR="003F0212" w:rsidRDefault="003F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1A" w:rsidRDefault="0071791A" w:rsidP="003F64F3">
      <w:pPr>
        <w:spacing w:after="0" w:line="240" w:lineRule="auto"/>
      </w:pPr>
      <w:r>
        <w:separator/>
      </w:r>
    </w:p>
  </w:footnote>
  <w:footnote w:type="continuationSeparator" w:id="0">
    <w:p w:rsidR="0071791A" w:rsidRDefault="0071791A" w:rsidP="003F64F3">
      <w:pPr>
        <w:spacing w:after="0" w:line="240" w:lineRule="auto"/>
      </w:pPr>
      <w:r>
        <w:continuationSeparator/>
      </w:r>
    </w:p>
  </w:footnote>
  <w:footnote w:id="1">
    <w:p w:rsidR="00B60E42" w:rsidRDefault="00B60E42">
      <w:pPr>
        <w:pStyle w:val="FootnoteText"/>
      </w:pPr>
      <w:r>
        <w:rPr>
          <w:rStyle w:val="FootnoteReference"/>
        </w:rPr>
        <w:footnoteRef/>
      </w:r>
      <w:r>
        <w:t xml:space="preserve"> This information is necessary in order to convert </w:t>
      </w:r>
      <w:r w:rsidR="00FD2CE9">
        <w:t>AY pay to equivalent summer pay.</w:t>
      </w:r>
    </w:p>
  </w:footnote>
  <w:footnote w:id="2">
    <w:p w:rsidR="002949AD" w:rsidRDefault="002949AD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="004C08BC">
        <w:rPr>
          <w:i/>
        </w:rPr>
        <w:t xml:space="preserve">Summer TA Actual Salary </w:t>
      </w:r>
      <w:r>
        <w:t>is the expected gross due TA</w:t>
      </w:r>
      <w:r w:rsidR="004D35BA">
        <w:t xml:space="preserve"> for </w:t>
      </w:r>
      <w:r w:rsidR="004C08BC">
        <w:t xml:space="preserve">total </w:t>
      </w:r>
      <w:r w:rsidR="004D35BA">
        <w:t xml:space="preserve">summer work </w:t>
      </w:r>
      <w:r w:rsidR="004C08BC">
        <w:t>in the selected session.</w:t>
      </w:r>
      <w:r w:rsidR="004D35B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C2E"/>
    <w:multiLevelType w:val="hybridMultilevel"/>
    <w:tmpl w:val="36E4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B6C"/>
    <w:multiLevelType w:val="hybridMultilevel"/>
    <w:tmpl w:val="7C56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0B95"/>
    <w:multiLevelType w:val="hybridMultilevel"/>
    <w:tmpl w:val="11D44D7A"/>
    <w:lvl w:ilvl="0" w:tplc="1C10ED3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3165"/>
    <w:multiLevelType w:val="hybridMultilevel"/>
    <w:tmpl w:val="38F44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52A4"/>
    <w:multiLevelType w:val="hybridMultilevel"/>
    <w:tmpl w:val="61F21A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DC447DF"/>
    <w:multiLevelType w:val="hybridMultilevel"/>
    <w:tmpl w:val="E988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1285B"/>
    <w:multiLevelType w:val="hybridMultilevel"/>
    <w:tmpl w:val="BD9242C0"/>
    <w:lvl w:ilvl="0" w:tplc="FD9CF2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42F90"/>
    <w:multiLevelType w:val="hybridMultilevel"/>
    <w:tmpl w:val="D7A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71F5D"/>
    <w:multiLevelType w:val="hybridMultilevel"/>
    <w:tmpl w:val="B53443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4787760"/>
    <w:multiLevelType w:val="hybridMultilevel"/>
    <w:tmpl w:val="FBEE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E2DDD"/>
    <w:multiLevelType w:val="hybridMultilevel"/>
    <w:tmpl w:val="6956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2C1F"/>
    <w:multiLevelType w:val="hybridMultilevel"/>
    <w:tmpl w:val="D49AD9DA"/>
    <w:lvl w:ilvl="0" w:tplc="1C10ED38">
      <w:numFmt w:val="bullet"/>
      <w:lvlText w:val=""/>
      <w:lvlJc w:val="left"/>
      <w:pPr>
        <w:ind w:left="7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4C601F"/>
    <w:multiLevelType w:val="hybridMultilevel"/>
    <w:tmpl w:val="A83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C2A14"/>
    <w:multiLevelType w:val="hybridMultilevel"/>
    <w:tmpl w:val="EC06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75EB8"/>
    <w:multiLevelType w:val="hybridMultilevel"/>
    <w:tmpl w:val="61F21A6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DC21646"/>
    <w:multiLevelType w:val="hybridMultilevel"/>
    <w:tmpl w:val="76EC9EDC"/>
    <w:lvl w:ilvl="0" w:tplc="FD9CF2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A11"/>
    <w:multiLevelType w:val="hybridMultilevel"/>
    <w:tmpl w:val="2F80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E04B2"/>
    <w:multiLevelType w:val="hybridMultilevel"/>
    <w:tmpl w:val="B5C83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C757F5"/>
    <w:multiLevelType w:val="hybridMultilevel"/>
    <w:tmpl w:val="3C445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25E42"/>
    <w:multiLevelType w:val="hybridMultilevel"/>
    <w:tmpl w:val="8514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D012B"/>
    <w:multiLevelType w:val="hybridMultilevel"/>
    <w:tmpl w:val="1EFE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940E6"/>
    <w:multiLevelType w:val="hybridMultilevel"/>
    <w:tmpl w:val="EF70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B7290"/>
    <w:multiLevelType w:val="hybridMultilevel"/>
    <w:tmpl w:val="7A98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D44B0"/>
    <w:multiLevelType w:val="hybridMultilevel"/>
    <w:tmpl w:val="9D02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4"/>
  </w:num>
  <w:num w:numId="5">
    <w:abstractNumId w:val="23"/>
  </w:num>
  <w:num w:numId="6">
    <w:abstractNumId w:val="19"/>
  </w:num>
  <w:num w:numId="7">
    <w:abstractNumId w:val="22"/>
  </w:num>
  <w:num w:numId="8">
    <w:abstractNumId w:val="7"/>
  </w:num>
  <w:num w:numId="9">
    <w:abstractNumId w:val="21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0"/>
  </w:num>
  <w:num w:numId="15">
    <w:abstractNumId w:val="1"/>
  </w:num>
  <w:num w:numId="16">
    <w:abstractNumId w:val="20"/>
  </w:num>
  <w:num w:numId="17">
    <w:abstractNumId w:val="3"/>
  </w:num>
  <w:num w:numId="18">
    <w:abstractNumId w:val="10"/>
  </w:num>
  <w:num w:numId="19">
    <w:abstractNumId w:val="17"/>
  </w:num>
  <w:num w:numId="20">
    <w:abstractNumId w:val="13"/>
  </w:num>
  <w:num w:numId="21">
    <w:abstractNumId w:val="6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F3"/>
    <w:rsid w:val="00005EEC"/>
    <w:rsid w:val="00021BE4"/>
    <w:rsid w:val="00025E9F"/>
    <w:rsid w:val="000B5ECE"/>
    <w:rsid w:val="000C0BC3"/>
    <w:rsid w:val="000C0D84"/>
    <w:rsid w:val="000F0C5F"/>
    <w:rsid w:val="00100CD1"/>
    <w:rsid w:val="0010418D"/>
    <w:rsid w:val="00123E8B"/>
    <w:rsid w:val="0013704E"/>
    <w:rsid w:val="001474E2"/>
    <w:rsid w:val="00150D60"/>
    <w:rsid w:val="00191410"/>
    <w:rsid w:val="001C3D1D"/>
    <w:rsid w:val="00212E3A"/>
    <w:rsid w:val="00236D48"/>
    <w:rsid w:val="002474F0"/>
    <w:rsid w:val="002524EE"/>
    <w:rsid w:val="00261FB7"/>
    <w:rsid w:val="00266C74"/>
    <w:rsid w:val="00267482"/>
    <w:rsid w:val="00274C90"/>
    <w:rsid w:val="002949AD"/>
    <w:rsid w:val="002C2465"/>
    <w:rsid w:val="002E1D9B"/>
    <w:rsid w:val="002E63EF"/>
    <w:rsid w:val="002F622D"/>
    <w:rsid w:val="00316C75"/>
    <w:rsid w:val="00324F9B"/>
    <w:rsid w:val="003712CE"/>
    <w:rsid w:val="0039210D"/>
    <w:rsid w:val="003B5814"/>
    <w:rsid w:val="003B7535"/>
    <w:rsid w:val="003C0F85"/>
    <w:rsid w:val="003D687C"/>
    <w:rsid w:val="003F0212"/>
    <w:rsid w:val="003F516A"/>
    <w:rsid w:val="003F64F3"/>
    <w:rsid w:val="004119B4"/>
    <w:rsid w:val="0041544C"/>
    <w:rsid w:val="00422E49"/>
    <w:rsid w:val="004476D6"/>
    <w:rsid w:val="00466CEE"/>
    <w:rsid w:val="004B0FA9"/>
    <w:rsid w:val="004B7649"/>
    <w:rsid w:val="004C08BC"/>
    <w:rsid w:val="004D35BA"/>
    <w:rsid w:val="004E3AB1"/>
    <w:rsid w:val="004E780B"/>
    <w:rsid w:val="004F52BE"/>
    <w:rsid w:val="00504DBC"/>
    <w:rsid w:val="00521022"/>
    <w:rsid w:val="0056148D"/>
    <w:rsid w:val="005619AF"/>
    <w:rsid w:val="00565278"/>
    <w:rsid w:val="00567FFA"/>
    <w:rsid w:val="00577DC1"/>
    <w:rsid w:val="0058158D"/>
    <w:rsid w:val="00583C87"/>
    <w:rsid w:val="00585980"/>
    <w:rsid w:val="0059549B"/>
    <w:rsid w:val="005A05B5"/>
    <w:rsid w:val="005A58D9"/>
    <w:rsid w:val="005C256F"/>
    <w:rsid w:val="005F6B3A"/>
    <w:rsid w:val="00602235"/>
    <w:rsid w:val="00605500"/>
    <w:rsid w:val="00615712"/>
    <w:rsid w:val="006224A4"/>
    <w:rsid w:val="00625C7F"/>
    <w:rsid w:val="00636757"/>
    <w:rsid w:val="006520D7"/>
    <w:rsid w:val="00655DC1"/>
    <w:rsid w:val="00664830"/>
    <w:rsid w:val="0068050A"/>
    <w:rsid w:val="0068423B"/>
    <w:rsid w:val="00696F16"/>
    <w:rsid w:val="006976D4"/>
    <w:rsid w:val="006A6A98"/>
    <w:rsid w:val="006C4FD9"/>
    <w:rsid w:val="006D7304"/>
    <w:rsid w:val="006F4A02"/>
    <w:rsid w:val="006F505D"/>
    <w:rsid w:val="006F52C3"/>
    <w:rsid w:val="007007D7"/>
    <w:rsid w:val="007029DE"/>
    <w:rsid w:val="0070523E"/>
    <w:rsid w:val="0071791A"/>
    <w:rsid w:val="00726184"/>
    <w:rsid w:val="007310F6"/>
    <w:rsid w:val="007342B4"/>
    <w:rsid w:val="00736769"/>
    <w:rsid w:val="007724EF"/>
    <w:rsid w:val="00794228"/>
    <w:rsid w:val="007A16DB"/>
    <w:rsid w:val="007B6F0C"/>
    <w:rsid w:val="007E0DC6"/>
    <w:rsid w:val="007F0012"/>
    <w:rsid w:val="007F6F07"/>
    <w:rsid w:val="00802D86"/>
    <w:rsid w:val="00811915"/>
    <w:rsid w:val="00816C10"/>
    <w:rsid w:val="0082051F"/>
    <w:rsid w:val="00824563"/>
    <w:rsid w:val="008248A6"/>
    <w:rsid w:val="0084024B"/>
    <w:rsid w:val="00865DF6"/>
    <w:rsid w:val="00884FF8"/>
    <w:rsid w:val="008B2486"/>
    <w:rsid w:val="008B6D7C"/>
    <w:rsid w:val="008E3012"/>
    <w:rsid w:val="008F7B7C"/>
    <w:rsid w:val="00907964"/>
    <w:rsid w:val="009172FA"/>
    <w:rsid w:val="009301DB"/>
    <w:rsid w:val="00933D7E"/>
    <w:rsid w:val="00934ED9"/>
    <w:rsid w:val="0093643E"/>
    <w:rsid w:val="00942B87"/>
    <w:rsid w:val="0099013A"/>
    <w:rsid w:val="0099135E"/>
    <w:rsid w:val="009A1CC8"/>
    <w:rsid w:val="009A7126"/>
    <w:rsid w:val="009D1E5D"/>
    <w:rsid w:val="009E1088"/>
    <w:rsid w:val="009E14B0"/>
    <w:rsid w:val="009E3DB0"/>
    <w:rsid w:val="00A06641"/>
    <w:rsid w:val="00A248B5"/>
    <w:rsid w:val="00A373B5"/>
    <w:rsid w:val="00A56422"/>
    <w:rsid w:val="00A7125D"/>
    <w:rsid w:val="00A74A2C"/>
    <w:rsid w:val="00A83AC1"/>
    <w:rsid w:val="00A87A40"/>
    <w:rsid w:val="00A912BB"/>
    <w:rsid w:val="00AA3072"/>
    <w:rsid w:val="00AB084C"/>
    <w:rsid w:val="00AC5553"/>
    <w:rsid w:val="00AD28F0"/>
    <w:rsid w:val="00B00460"/>
    <w:rsid w:val="00B02CC8"/>
    <w:rsid w:val="00B02E5C"/>
    <w:rsid w:val="00B166C9"/>
    <w:rsid w:val="00B17283"/>
    <w:rsid w:val="00B2327B"/>
    <w:rsid w:val="00B37F1E"/>
    <w:rsid w:val="00B4062D"/>
    <w:rsid w:val="00B452B9"/>
    <w:rsid w:val="00B56C88"/>
    <w:rsid w:val="00B60E42"/>
    <w:rsid w:val="00B62D23"/>
    <w:rsid w:val="00B70E17"/>
    <w:rsid w:val="00B72F2E"/>
    <w:rsid w:val="00B74AFF"/>
    <w:rsid w:val="00B83B86"/>
    <w:rsid w:val="00B8586C"/>
    <w:rsid w:val="00B9739E"/>
    <w:rsid w:val="00BC7552"/>
    <w:rsid w:val="00BE5AFB"/>
    <w:rsid w:val="00BE5EFE"/>
    <w:rsid w:val="00C01B04"/>
    <w:rsid w:val="00C326EC"/>
    <w:rsid w:val="00C52B46"/>
    <w:rsid w:val="00C54B8E"/>
    <w:rsid w:val="00C71B68"/>
    <w:rsid w:val="00C93999"/>
    <w:rsid w:val="00C94EFC"/>
    <w:rsid w:val="00CB56BB"/>
    <w:rsid w:val="00CB69FF"/>
    <w:rsid w:val="00CB6AE5"/>
    <w:rsid w:val="00CC0942"/>
    <w:rsid w:val="00CD79F6"/>
    <w:rsid w:val="00CE720B"/>
    <w:rsid w:val="00CF3AE0"/>
    <w:rsid w:val="00CF6858"/>
    <w:rsid w:val="00D06F66"/>
    <w:rsid w:val="00D31781"/>
    <w:rsid w:val="00D327D6"/>
    <w:rsid w:val="00D45531"/>
    <w:rsid w:val="00D53591"/>
    <w:rsid w:val="00D566AB"/>
    <w:rsid w:val="00DB7C96"/>
    <w:rsid w:val="00DC0ABB"/>
    <w:rsid w:val="00DF0B72"/>
    <w:rsid w:val="00E05E41"/>
    <w:rsid w:val="00E31D0F"/>
    <w:rsid w:val="00E41708"/>
    <w:rsid w:val="00E45B11"/>
    <w:rsid w:val="00E45D90"/>
    <w:rsid w:val="00E46BA4"/>
    <w:rsid w:val="00E504BF"/>
    <w:rsid w:val="00E546DA"/>
    <w:rsid w:val="00E6281A"/>
    <w:rsid w:val="00EA6F21"/>
    <w:rsid w:val="00EC2048"/>
    <w:rsid w:val="00EC5771"/>
    <w:rsid w:val="00F57A96"/>
    <w:rsid w:val="00F644A2"/>
    <w:rsid w:val="00F71701"/>
    <w:rsid w:val="00F77510"/>
    <w:rsid w:val="00F82C33"/>
    <w:rsid w:val="00FD2CE9"/>
    <w:rsid w:val="00FD4232"/>
    <w:rsid w:val="00FE1C14"/>
    <w:rsid w:val="00FE1EA9"/>
    <w:rsid w:val="00FE6419"/>
    <w:rsid w:val="00FF3538"/>
    <w:rsid w:val="00FF4D7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FF41"/>
  <w15:docId w15:val="{730A9F96-CAEF-4AF1-B42E-F1404EAC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F3"/>
  </w:style>
  <w:style w:type="paragraph" w:styleId="Footer">
    <w:name w:val="footer"/>
    <w:basedOn w:val="Normal"/>
    <w:link w:val="FooterChar"/>
    <w:uiPriority w:val="99"/>
    <w:unhideWhenUsed/>
    <w:rsid w:val="003F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F3"/>
  </w:style>
  <w:style w:type="paragraph" w:customStyle="1" w:styleId="Default">
    <w:name w:val="Default"/>
    <w:rsid w:val="00D535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591"/>
    <w:pPr>
      <w:ind w:left="720"/>
      <w:contextualSpacing/>
    </w:pPr>
  </w:style>
  <w:style w:type="table" w:styleId="TableGrid">
    <w:name w:val="Table Grid"/>
    <w:basedOn w:val="TableNormal"/>
    <w:uiPriority w:val="59"/>
    <w:rsid w:val="00B0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9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48A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48A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48A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48A6"/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5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5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5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05B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5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865DF6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865DF6"/>
    <w:rPr>
      <w:b/>
      <w:bCs/>
    </w:rPr>
  </w:style>
  <w:style w:type="character" w:customStyle="1" w:styleId="apple-converted-space">
    <w:name w:val="apple-converted-space"/>
    <w:basedOn w:val="DefaultParagraphFont"/>
    <w:rsid w:val="00CB56BB"/>
  </w:style>
  <w:style w:type="paragraph" w:styleId="Caption">
    <w:name w:val="caption"/>
    <w:basedOn w:val="Normal"/>
    <w:next w:val="Normal"/>
    <w:uiPriority w:val="35"/>
    <w:semiHidden/>
    <w:unhideWhenUsed/>
    <w:qFormat/>
    <w:rsid w:val="00CD79F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2831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337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552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337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34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2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2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78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2350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4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03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2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44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3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61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51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976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32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50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6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3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6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8DDB-FFCC-43BE-9784-C5FAF7E1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Northridge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Zakarian, Naira</dc:creator>
  <cp:lastModifiedBy>Medina, Joe</cp:lastModifiedBy>
  <cp:revision>5</cp:revision>
  <cp:lastPrinted>2018-04-17T21:28:00Z</cp:lastPrinted>
  <dcterms:created xsi:type="dcterms:W3CDTF">2018-04-17T21:24:00Z</dcterms:created>
  <dcterms:modified xsi:type="dcterms:W3CDTF">2018-04-18T15:24:00Z</dcterms:modified>
</cp:coreProperties>
</file>