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F851B" w14:textId="77777777" w:rsidR="00B5269A" w:rsidRPr="00897D80" w:rsidRDefault="00B5269A" w:rsidP="00B5269A">
      <w:pPr>
        <w:jc w:val="center"/>
        <w:rPr>
          <w:rFonts w:ascii="Times New Roman" w:hAnsi="Times New Roman"/>
          <w:b/>
          <w:sz w:val="20"/>
          <w:szCs w:val="20"/>
        </w:rPr>
      </w:pPr>
      <w:bookmarkStart w:id="0" w:name="_GoBack"/>
      <w:bookmarkEnd w:id="0"/>
      <w:r>
        <w:rPr>
          <w:rFonts w:ascii="Times New Roman" w:hAnsi="Times New Roman"/>
          <w:b/>
          <w:sz w:val="20"/>
          <w:szCs w:val="20"/>
        </w:rPr>
        <w:t>2017-2018</w:t>
      </w:r>
      <w:r w:rsidRPr="00897D80">
        <w:rPr>
          <w:rFonts w:ascii="Times New Roman" w:hAnsi="Times New Roman"/>
          <w:b/>
          <w:sz w:val="20"/>
          <w:szCs w:val="20"/>
        </w:rPr>
        <w:t xml:space="preserve"> Annual Program Assessment Report</w:t>
      </w:r>
    </w:p>
    <w:p w14:paraId="4F52129B" w14:textId="77777777" w:rsidR="00B5269A" w:rsidRPr="00897D80" w:rsidRDefault="00B5269A" w:rsidP="00B5269A">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5"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am Review, by September 28, 2018</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Please identify your department/program in the file name for your report.</w:t>
      </w:r>
    </w:p>
    <w:p w14:paraId="1AA0AE2F" w14:textId="77777777" w:rsidR="00B5269A" w:rsidRPr="00897D80" w:rsidRDefault="00B5269A" w:rsidP="00B5269A">
      <w:pPr>
        <w:rPr>
          <w:rFonts w:ascii="Times New Roman" w:hAnsi="Times New Roman"/>
          <w:b/>
          <w:sz w:val="20"/>
          <w:szCs w:val="20"/>
        </w:rPr>
      </w:pPr>
      <w:r w:rsidRPr="00897D80">
        <w:rPr>
          <w:rFonts w:ascii="Times New Roman" w:hAnsi="Times New Roman"/>
          <w:b/>
          <w:sz w:val="20"/>
          <w:szCs w:val="20"/>
        </w:rPr>
        <w:t xml:space="preserve">College: </w:t>
      </w:r>
      <w:r>
        <w:rPr>
          <w:rFonts w:ascii="Times New Roman" w:hAnsi="Times New Roman"/>
          <w:b/>
          <w:sz w:val="20"/>
          <w:szCs w:val="20"/>
        </w:rPr>
        <w:t xml:space="preserve"> S and BS</w:t>
      </w:r>
    </w:p>
    <w:p w14:paraId="21470DCE" w14:textId="77777777" w:rsidR="00B5269A" w:rsidRPr="00897D80" w:rsidRDefault="00B5269A" w:rsidP="00B5269A">
      <w:pPr>
        <w:rPr>
          <w:rFonts w:ascii="Times New Roman" w:hAnsi="Times New Roman"/>
          <w:b/>
          <w:sz w:val="20"/>
          <w:szCs w:val="20"/>
        </w:rPr>
      </w:pPr>
      <w:r w:rsidRPr="00897D80">
        <w:rPr>
          <w:rFonts w:ascii="Times New Roman" w:hAnsi="Times New Roman"/>
          <w:b/>
          <w:sz w:val="20"/>
          <w:szCs w:val="20"/>
        </w:rPr>
        <w:t xml:space="preserve">Department: </w:t>
      </w:r>
      <w:r>
        <w:rPr>
          <w:rFonts w:ascii="Times New Roman" w:hAnsi="Times New Roman"/>
          <w:b/>
          <w:sz w:val="20"/>
          <w:szCs w:val="20"/>
        </w:rPr>
        <w:t xml:space="preserve"> MPA </w:t>
      </w:r>
    </w:p>
    <w:p w14:paraId="3DE94B50" w14:textId="77777777" w:rsidR="00B5269A" w:rsidRPr="00897D80" w:rsidRDefault="00B5269A" w:rsidP="00B5269A">
      <w:pPr>
        <w:rPr>
          <w:rFonts w:ascii="Times New Roman" w:hAnsi="Times New Roman"/>
          <w:b/>
          <w:sz w:val="20"/>
          <w:szCs w:val="20"/>
        </w:rPr>
      </w:pPr>
      <w:r w:rsidRPr="00897D80">
        <w:rPr>
          <w:rFonts w:ascii="Times New Roman" w:hAnsi="Times New Roman"/>
          <w:b/>
          <w:sz w:val="20"/>
          <w:szCs w:val="20"/>
        </w:rPr>
        <w:t xml:space="preserve">Assessment liaison: </w:t>
      </w:r>
      <w:r w:rsidR="000A10F9" w:rsidRPr="000A10F9">
        <w:rPr>
          <w:rFonts w:ascii="Times New Roman" w:hAnsi="Times New Roman"/>
          <w:b/>
          <w:sz w:val="20"/>
          <w:szCs w:val="20"/>
        </w:rPr>
        <w:t>Henrik Minassians</w:t>
      </w:r>
    </w:p>
    <w:p w14:paraId="39FB0DBC" w14:textId="77777777" w:rsidR="00B5269A" w:rsidRPr="00897D80" w:rsidRDefault="00B5269A" w:rsidP="00B5269A">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6F4ABEAF" w14:textId="77777777" w:rsidR="00B5269A" w:rsidRPr="00897D80" w:rsidRDefault="00B5269A" w:rsidP="00B5269A">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A</w:t>
      </w:r>
      <w:r w:rsidRPr="00460A3D">
        <w:rPr>
          <w:rFonts w:ascii="Times New Roman" w:hAnsi="Times New Roman"/>
          <w:b/>
          <w:sz w:val="20"/>
          <w:szCs w:val="20"/>
          <w:u w:val="single"/>
        </w:rPr>
        <w:t xml:space="preserve">.  </w:t>
      </w:r>
      <w:r w:rsidR="008E42E2">
        <w:rPr>
          <w:rFonts w:ascii="Times New Roman" w:hAnsi="Times New Roman"/>
          <w:b/>
          <w:color w:val="FF0000"/>
          <w:sz w:val="20"/>
          <w:szCs w:val="20"/>
          <w:u w:val="single"/>
        </w:rPr>
        <w:t>_</w:t>
      </w:r>
      <w:proofErr w:type="gramEnd"/>
      <w:r w:rsidR="008E42E2">
        <w:rPr>
          <w:rFonts w:ascii="Times New Roman" w:hAnsi="Times New Roman"/>
          <w:b/>
          <w:color w:val="FF0000"/>
          <w:sz w:val="20"/>
          <w:szCs w:val="20"/>
          <w:u w:val="single"/>
        </w:rPr>
        <w:t xml:space="preserve">___     </w:t>
      </w:r>
      <w:r w:rsidRPr="001D35F8">
        <w:rPr>
          <w:rFonts w:ascii="Times New Roman" w:hAnsi="Times New Roman"/>
          <w:b/>
          <w:color w:val="FF0000"/>
          <w:sz w:val="20"/>
          <w:szCs w:val="20"/>
          <w:u w:val="single"/>
        </w:rPr>
        <w:t>__</w:t>
      </w:r>
      <w:r w:rsidRPr="001D35F8">
        <w:rPr>
          <w:rFonts w:ascii="Times New Roman" w:hAnsi="Times New Roman"/>
          <w:b/>
          <w:color w:val="FF0000"/>
          <w:sz w:val="20"/>
          <w:szCs w:val="20"/>
        </w:rPr>
        <w:t xml:space="preserve">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2182342A" w14:textId="77777777" w:rsidR="00B5269A" w:rsidRPr="00897D80" w:rsidRDefault="00B5269A" w:rsidP="00B5269A">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B.  _</w:t>
      </w:r>
      <w:proofErr w:type="gramEnd"/>
      <w:r w:rsidRPr="00897D80">
        <w:rPr>
          <w:rFonts w:ascii="Times New Roman" w:hAnsi="Times New Roman"/>
          <w:b/>
          <w:sz w:val="20"/>
          <w:szCs w:val="20"/>
        </w:rPr>
        <w:t xml:space="preserve">_______  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1B17FB03" w14:textId="77777777" w:rsidR="00B5269A" w:rsidRDefault="00B5269A" w:rsidP="00B5269A">
      <w:pPr>
        <w:pStyle w:val="MediumGrid1-Accent21"/>
        <w:ind w:left="360"/>
        <w:rPr>
          <w:rFonts w:ascii="Times New Roman" w:hAnsi="Times New Roman"/>
          <w:b/>
          <w:sz w:val="20"/>
          <w:szCs w:val="20"/>
        </w:rPr>
      </w:pPr>
      <w:proofErr w:type="gramStart"/>
      <w:r>
        <w:rPr>
          <w:rFonts w:ascii="Times New Roman" w:hAnsi="Times New Roman"/>
          <w:b/>
          <w:sz w:val="20"/>
          <w:szCs w:val="20"/>
        </w:rPr>
        <w:t>C.  _</w:t>
      </w:r>
      <w:proofErr w:type="gramEnd"/>
      <w:r>
        <w:rPr>
          <w:rFonts w:ascii="Times New Roman" w:hAnsi="Times New Roman"/>
          <w:b/>
          <w:sz w:val="20"/>
          <w:szCs w:val="20"/>
        </w:rPr>
        <w:t>___</w:t>
      </w:r>
      <w:r w:rsidR="003B021B">
        <w:rPr>
          <w:rFonts w:ascii="Times New Roman" w:hAnsi="Times New Roman"/>
          <w:b/>
          <w:sz w:val="20"/>
          <w:szCs w:val="20"/>
        </w:rPr>
        <w:t>X</w:t>
      </w:r>
      <w:r>
        <w:rPr>
          <w:rFonts w:ascii="Times New Roman" w:hAnsi="Times New Roman"/>
          <w:b/>
          <w:sz w:val="20"/>
          <w:szCs w:val="20"/>
        </w:rPr>
        <w:t xml:space="preserve">____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02056E12" w14:textId="77777777" w:rsidR="00B5269A" w:rsidRPr="00897D80" w:rsidRDefault="00B5269A" w:rsidP="00B5269A">
      <w:pPr>
        <w:pStyle w:val="MediumGrid1-Accent21"/>
        <w:ind w:left="360"/>
        <w:rPr>
          <w:rFonts w:ascii="Times New Roman" w:hAnsi="Times New Roman"/>
          <w:b/>
          <w:sz w:val="20"/>
          <w:szCs w:val="20"/>
        </w:rPr>
      </w:pPr>
      <w:r>
        <w:rPr>
          <w:rFonts w:ascii="Times New Roman" w:hAnsi="Times New Roman"/>
          <w:b/>
          <w:sz w:val="20"/>
          <w:szCs w:val="20"/>
        </w:rPr>
        <w:t xml:space="preserve">D. _________ </w:t>
      </w:r>
      <w:proofErr w:type="gramStart"/>
      <w:r>
        <w:rPr>
          <w:rFonts w:ascii="Times New Roman" w:hAnsi="Times New Roman"/>
          <w:b/>
          <w:sz w:val="20"/>
          <w:szCs w:val="20"/>
        </w:rPr>
        <w:t>Focused</w:t>
      </w:r>
      <w:proofErr w:type="gramEnd"/>
      <w:r>
        <w:rPr>
          <w:rFonts w:ascii="Times New Roman" w:hAnsi="Times New Roman"/>
          <w:b/>
          <w:sz w:val="20"/>
          <w:szCs w:val="20"/>
        </w:rPr>
        <w:t xml:space="preserve"> exclusively on the direct assessment measurement of General Education Natural Sciences learning outcomes    </w:t>
      </w:r>
    </w:p>
    <w:p w14:paraId="255C630F" w14:textId="77777777" w:rsidR="00B5269A" w:rsidRPr="00897D80" w:rsidRDefault="00B5269A" w:rsidP="00B5269A">
      <w:pPr>
        <w:pStyle w:val="MediumGrid1-Accent21"/>
        <w:ind w:left="360"/>
        <w:rPr>
          <w:rFonts w:ascii="Times New Roman" w:hAnsi="Times New Roman"/>
          <w:b/>
          <w:sz w:val="20"/>
          <w:szCs w:val="20"/>
        </w:rPr>
      </w:pPr>
    </w:p>
    <w:p w14:paraId="64510AF8" w14:textId="77777777" w:rsidR="00B5269A" w:rsidRPr="00897D80" w:rsidRDefault="00B5269A" w:rsidP="00B5269A">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141EB8BE" w14:textId="77777777" w:rsidR="00B5269A" w:rsidRPr="00897D80" w:rsidRDefault="00B5269A" w:rsidP="00B5269A">
      <w:pPr>
        <w:pStyle w:val="MediumGrid1-Accent21"/>
        <w:numPr>
          <w:ilvl w:val="0"/>
          <w:numId w:val="2"/>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79A21308" w14:textId="77777777" w:rsidR="00B5269A" w:rsidRPr="00897D80" w:rsidRDefault="00B5269A" w:rsidP="00B5269A">
      <w:pPr>
        <w:pStyle w:val="MediumGrid1-Accent21"/>
        <w:numPr>
          <w:ilvl w:val="0"/>
          <w:numId w:val="2"/>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59C11B15" w14:textId="77777777" w:rsidR="00B5269A" w:rsidRPr="00897D80" w:rsidRDefault="00B5269A" w:rsidP="00B5269A">
      <w:pPr>
        <w:pStyle w:val="MediumGrid1-Accent21"/>
        <w:numPr>
          <w:ilvl w:val="0"/>
          <w:numId w:val="2"/>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6038D429" w14:textId="77777777" w:rsidR="00B5269A" w:rsidRPr="000A6AF5" w:rsidRDefault="00B5269A" w:rsidP="00B5269A">
      <w:pPr>
        <w:pStyle w:val="MediumGrid1-Accent21"/>
        <w:numPr>
          <w:ilvl w:val="0"/>
          <w:numId w:val="2"/>
        </w:numPr>
        <w:rPr>
          <w:rFonts w:ascii="Times New Roman" w:hAnsi="Times New Roman"/>
          <w:b/>
          <w:color w:val="FF0000"/>
          <w:sz w:val="20"/>
          <w:szCs w:val="20"/>
        </w:rPr>
      </w:pPr>
      <w:r w:rsidRPr="000A6AF5">
        <w:rPr>
          <w:rFonts w:ascii="Times New Roman" w:hAnsi="Times New Roman"/>
          <w:color w:val="FF0000"/>
          <w:sz w:val="20"/>
          <w:szCs w:val="20"/>
        </w:rPr>
        <w:t xml:space="preserve">if your department implemented </w:t>
      </w:r>
      <w:r w:rsidRPr="000A6AF5">
        <w:rPr>
          <w:rFonts w:ascii="Times New Roman" w:hAnsi="Times New Roman"/>
          <w:b/>
          <w:color w:val="FF0000"/>
          <w:sz w:val="20"/>
          <w:szCs w:val="20"/>
        </w:rPr>
        <w:t>option C</w:t>
      </w:r>
      <w:r w:rsidRPr="000A6AF5">
        <w:rPr>
          <w:rFonts w:ascii="Times New Roman" w:hAnsi="Times New Roman"/>
          <w:color w:val="FF0000"/>
          <w:sz w:val="20"/>
          <w:szCs w:val="20"/>
        </w:rPr>
        <w:t>, identify the program modifications that were adopted, and the relation between program modifications and past and future assessment activities</w:t>
      </w:r>
    </w:p>
    <w:p w14:paraId="7F30196F" w14:textId="77777777" w:rsidR="00B5269A" w:rsidRPr="00626609" w:rsidRDefault="00B5269A" w:rsidP="00B5269A">
      <w:pPr>
        <w:pStyle w:val="MediumGrid1-Accent21"/>
        <w:numPr>
          <w:ilvl w:val="0"/>
          <w:numId w:val="2"/>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14:paraId="734CB0C8" w14:textId="77777777" w:rsidR="00B5269A" w:rsidRPr="00B5269A" w:rsidRDefault="00B5269A" w:rsidP="00B5269A">
      <w:pPr>
        <w:pStyle w:val="MediumGrid1-Accent21"/>
        <w:numPr>
          <w:ilvl w:val="0"/>
          <w:numId w:val="2"/>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6026D36D" w14:textId="77777777" w:rsidR="00B5269A" w:rsidRPr="00460A3D" w:rsidRDefault="00B5269A" w:rsidP="00B5269A">
      <w:pPr>
        <w:pStyle w:val="MediumGrid1-Accent21"/>
        <w:numPr>
          <w:ilvl w:val="0"/>
          <w:numId w:val="2"/>
        </w:numPr>
        <w:rPr>
          <w:rFonts w:ascii="Times New Roman" w:hAnsi="Times New Roman"/>
          <w:b/>
          <w:sz w:val="20"/>
          <w:szCs w:val="20"/>
        </w:rPr>
      </w:pPr>
      <w:r>
        <w:rPr>
          <w:rFonts w:ascii="Times New Roman" w:hAnsi="Times New Roman"/>
          <w:sz w:val="20"/>
          <w:szCs w:val="20"/>
        </w:rPr>
        <w:t xml:space="preserve"> </w:t>
      </w:r>
      <w:r w:rsidRPr="0015729C">
        <w:rPr>
          <w:rFonts w:ascii="Times New Roman" w:hAnsi="Times New Roman"/>
          <w:sz w:val="20"/>
          <w:szCs w:val="20"/>
        </w:rPr>
        <w:t>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14:paraId="4C89F6A8" w14:textId="77777777" w:rsidR="00B5269A" w:rsidRDefault="00B5269A" w:rsidP="00B5269A">
      <w:pPr>
        <w:pStyle w:val="MediumGrid1-Accent21"/>
        <w:ind w:left="360"/>
        <w:rPr>
          <w:rFonts w:ascii="Times New Roman" w:hAnsi="Times New Roman"/>
          <w:b/>
          <w:sz w:val="20"/>
          <w:szCs w:val="20"/>
        </w:rPr>
      </w:pPr>
    </w:p>
    <w:p w14:paraId="63C860BF" w14:textId="77777777" w:rsidR="00B5269A" w:rsidRDefault="000A6AF5" w:rsidP="00B5269A">
      <w:pPr>
        <w:pStyle w:val="MediumGrid1-Accent21"/>
        <w:ind w:left="360"/>
        <w:rPr>
          <w:rFonts w:ascii="Times New Roman" w:hAnsi="Times New Roman"/>
          <w:b/>
          <w:sz w:val="20"/>
          <w:szCs w:val="20"/>
        </w:rPr>
      </w:pPr>
      <w:r>
        <w:rPr>
          <w:rFonts w:ascii="Times New Roman" w:hAnsi="Times New Roman"/>
          <w:b/>
          <w:sz w:val="20"/>
          <w:szCs w:val="20"/>
        </w:rPr>
        <w:t xml:space="preserve">Option C: </w:t>
      </w:r>
    </w:p>
    <w:p w14:paraId="193477CD" w14:textId="1CBB55C2" w:rsidR="00B5269A" w:rsidRDefault="00B5269A" w:rsidP="00B5269A">
      <w:pPr>
        <w:pStyle w:val="MediumGrid1-Accent21"/>
        <w:ind w:left="360"/>
        <w:rPr>
          <w:rFonts w:ascii="Times New Roman" w:hAnsi="Times New Roman"/>
          <w:b/>
          <w:sz w:val="20"/>
          <w:szCs w:val="20"/>
        </w:rPr>
      </w:pPr>
      <w:r>
        <w:rPr>
          <w:rFonts w:ascii="Times New Roman" w:hAnsi="Times New Roman"/>
          <w:b/>
          <w:sz w:val="20"/>
          <w:szCs w:val="20"/>
        </w:rPr>
        <w:t xml:space="preserve">Even though the CSUN MPA program is not a new program, </w:t>
      </w:r>
      <w:r w:rsidR="00BB0EB5">
        <w:rPr>
          <w:rFonts w:ascii="Times New Roman" w:hAnsi="Times New Roman"/>
          <w:b/>
          <w:sz w:val="20"/>
          <w:szCs w:val="20"/>
        </w:rPr>
        <w:t xml:space="preserve">its </w:t>
      </w:r>
      <w:r>
        <w:rPr>
          <w:rFonts w:ascii="Times New Roman" w:hAnsi="Times New Roman"/>
          <w:b/>
          <w:sz w:val="20"/>
          <w:szCs w:val="20"/>
        </w:rPr>
        <w:t xml:space="preserve">last assessment report was generated in </w:t>
      </w:r>
      <w:r w:rsidR="00BB0EB5">
        <w:rPr>
          <w:rFonts w:ascii="Times New Roman" w:hAnsi="Times New Roman"/>
          <w:b/>
          <w:sz w:val="20"/>
          <w:szCs w:val="20"/>
        </w:rPr>
        <w:t xml:space="preserve">the </w:t>
      </w:r>
      <w:r>
        <w:rPr>
          <w:rFonts w:ascii="Times New Roman" w:hAnsi="Times New Roman"/>
          <w:b/>
          <w:sz w:val="20"/>
          <w:szCs w:val="20"/>
        </w:rPr>
        <w:t xml:space="preserve">2013-14 academic year. Since that time the program has gone through changes by shifting the academic oversight from the self-support side to the College of Social and Behavioral Sciences. Also, in 2016 the program hired a new director, Dr. Mylon Winn, in order to insure academic integrity and continuity. One of the major changes that the program </w:t>
      </w:r>
      <w:r w:rsidR="00164BD0">
        <w:rPr>
          <w:rFonts w:ascii="Times New Roman" w:hAnsi="Times New Roman"/>
          <w:b/>
          <w:sz w:val="20"/>
          <w:szCs w:val="20"/>
        </w:rPr>
        <w:t>adopted was a shift</w:t>
      </w:r>
      <w:r>
        <w:rPr>
          <w:rFonts w:ascii="Times New Roman" w:hAnsi="Times New Roman"/>
          <w:b/>
          <w:sz w:val="20"/>
          <w:szCs w:val="20"/>
        </w:rPr>
        <w:t xml:space="preserve"> </w:t>
      </w:r>
      <w:r w:rsidR="00164BD0">
        <w:rPr>
          <w:rFonts w:ascii="Times New Roman" w:hAnsi="Times New Roman"/>
          <w:b/>
          <w:sz w:val="20"/>
          <w:szCs w:val="20"/>
        </w:rPr>
        <w:t>from</w:t>
      </w:r>
      <w:r>
        <w:rPr>
          <w:rFonts w:ascii="Times New Roman" w:hAnsi="Times New Roman"/>
          <w:b/>
          <w:sz w:val="20"/>
          <w:szCs w:val="20"/>
        </w:rPr>
        <w:t xml:space="preserve"> culminating experience </w:t>
      </w:r>
      <w:r w:rsidR="00164BD0">
        <w:rPr>
          <w:rFonts w:ascii="Times New Roman" w:hAnsi="Times New Roman"/>
          <w:b/>
          <w:sz w:val="20"/>
          <w:szCs w:val="20"/>
        </w:rPr>
        <w:lastRenderedPageBreak/>
        <w:t>MPA 697S - Comprehensive E</w:t>
      </w:r>
      <w:r>
        <w:rPr>
          <w:rFonts w:ascii="Times New Roman" w:hAnsi="Times New Roman"/>
          <w:b/>
          <w:sz w:val="20"/>
          <w:szCs w:val="20"/>
        </w:rPr>
        <w:t xml:space="preserve">xam to </w:t>
      </w:r>
      <w:r w:rsidR="00164BD0">
        <w:rPr>
          <w:rFonts w:ascii="Times New Roman" w:hAnsi="Times New Roman"/>
          <w:b/>
          <w:sz w:val="20"/>
          <w:szCs w:val="20"/>
        </w:rPr>
        <w:t xml:space="preserve">MPA 698S - Graduate Project. </w:t>
      </w:r>
      <w:r>
        <w:rPr>
          <w:rFonts w:ascii="Times New Roman" w:hAnsi="Times New Roman"/>
          <w:b/>
          <w:sz w:val="20"/>
          <w:szCs w:val="20"/>
        </w:rPr>
        <w:t>For th</w:t>
      </w:r>
      <w:r w:rsidR="00164BD0">
        <w:rPr>
          <w:rFonts w:ascii="Times New Roman" w:hAnsi="Times New Roman"/>
          <w:b/>
          <w:sz w:val="20"/>
          <w:szCs w:val="20"/>
        </w:rPr>
        <w:t xml:space="preserve">e first time, in summer of 2018, MPA 698S - </w:t>
      </w:r>
      <w:r>
        <w:rPr>
          <w:rFonts w:ascii="Times New Roman" w:hAnsi="Times New Roman"/>
          <w:b/>
          <w:sz w:val="20"/>
          <w:szCs w:val="20"/>
        </w:rPr>
        <w:t xml:space="preserve">graduate project was implemented across six cohorts. After consultation with </w:t>
      </w:r>
      <w:r w:rsidR="00164BD0">
        <w:rPr>
          <w:rFonts w:ascii="Times New Roman" w:hAnsi="Times New Roman"/>
          <w:b/>
          <w:sz w:val="20"/>
          <w:szCs w:val="20"/>
        </w:rPr>
        <w:t xml:space="preserve">3 core </w:t>
      </w:r>
      <w:r>
        <w:rPr>
          <w:rFonts w:ascii="Times New Roman" w:hAnsi="Times New Roman"/>
          <w:b/>
          <w:sz w:val="20"/>
          <w:szCs w:val="20"/>
        </w:rPr>
        <w:t>faculty the MPA program assess</w:t>
      </w:r>
      <w:r w:rsidR="00164BD0">
        <w:rPr>
          <w:rFonts w:ascii="Times New Roman" w:hAnsi="Times New Roman"/>
          <w:b/>
          <w:sz w:val="20"/>
          <w:szCs w:val="20"/>
        </w:rPr>
        <w:t>ed</w:t>
      </w:r>
      <w:r>
        <w:rPr>
          <w:rFonts w:ascii="Times New Roman" w:hAnsi="Times New Roman"/>
          <w:b/>
          <w:sz w:val="20"/>
          <w:szCs w:val="20"/>
        </w:rPr>
        <w:t xml:space="preserve"> a sample of graduate projects in order to identify whether student teaching and learning meet programmatic objectives. </w:t>
      </w:r>
    </w:p>
    <w:p w14:paraId="0CE4A2FB" w14:textId="77777777" w:rsidR="00B5269A" w:rsidRDefault="00B5269A" w:rsidP="00B5269A">
      <w:pPr>
        <w:pStyle w:val="MediumGrid1-Accent21"/>
        <w:ind w:left="360"/>
        <w:rPr>
          <w:rFonts w:ascii="Times New Roman" w:hAnsi="Times New Roman"/>
          <w:b/>
          <w:sz w:val="20"/>
          <w:szCs w:val="20"/>
        </w:rPr>
      </w:pPr>
    </w:p>
    <w:p w14:paraId="3A4D30CE" w14:textId="77777777" w:rsidR="00B5269A" w:rsidRDefault="00B5269A" w:rsidP="00B5269A">
      <w:pPr>
        <w:pStyle w:val="MediumGrid1-Accent21"/>
        <w:ind w:left="360"/>
        <w:rPr>
          <w:rFonts w:ascii="Times New Roman" w:hAnsi="Times New Roman"/>
          <w:b/>
          <w:sz w:val="20"/>
          <w:szCs w:val="20"/>
        </w:rPr>
      </w:pPr>
      <w:r>
        <w:rPr>
          <w:rFonts w:ascii="Times New Roman" w:hAnsi="Times New Roman"/>
          <w:b/>
          <w:sz w:val="20"/>
          <w:szCs w:val="20"/>
        </w:rPr>
        <w:t xml:space="preserve">Part of the assessment plan the program has identified </w:t>
      </w:r>
      <w:r w:rsidR="00E10A9E">
        <w:rPr>
          <w:rFonts w:ascii="Times New Roman" w:hAnsi="Times New Roman"/>
          <w:b/>
          <w:sz w:val="20"/>
          <w:szCs w:val="20"/>
        </w:rPr>
        <w:t>six new SLOs in line with the NASPAA competencies. These competencies are as followings:</w:t>
      </w:r>
    </w:p>
    <w:p w14:paraId="3E561C76" w14:textId="77777777" w:rsidR="00E10A9E" w:rsidRDefault="00E10A9E" w:rsidP="00B5269A">
      <w:pPr>
        <w:pStyle w:val="MediumGrid1-Accent21"/>
        <w:ind w:left="360"/>
        <w:rPr>
          <w:rFonts w:ascii="Times New Roman" w:hAnsi="Times New Roman"/>
          <w:b/>
          <w:sz w:val="20"/>
          <w:szCs w:val="20"/>
        </w:rPr>
      </w:pPr>
    </w:p>
    <w:p w14:paraId="088EBB9A" w14:textId="77777777" w:rsidR="00E10A9E" w:rsidRDefault="00E10A9E" w:rsidP="00E10A9E">
      <w:pPr>
        <w:pStyle w:val="MediumGrid1-Accent21"/>
        <w:numPr>
          <w:ilvl w:val="0"/>
          <w:numId w:val="4"/>
        </w:numPr>
        <w:rPr>
          <w:rFonts w:ascii="Times New Roman" w:hAnsi="Times New Roman"/>
          <w:b/>
          <w:sz w:val="20"/>
          <w:szCs w:val="20"/>
        </w:rPr>
      </w:pPr>
      <w:r>
        <w:rPr>
          <w:rFonts w:ascii="Times New Roman" w:hAnsi="Times New Roman"/>
          <w:b/>
          <w:sz w:val="20"/>
          <w:szCs w:val="20"/>
        </w:rPr>
        <w:t>Articulate and Apply Public Service Perspective</w:t>
      </w:r>
    </w:p>
    <w:p w14:paraId="66BFC987" w14:textId="77777777" w:rsidR="00E10A9E" w:rsidRDefault="00E10A9E" w:rsidP="00E10A9E">
      <w:pPr>
        <w:pStyle w:val="MediumGrid1-Accent21"/>
        <w:numPr>
          <w:ilvl w:val="0"/>
          <w:numId w:val="4"/>
        </w:numPr>
        <w:rPr>
          <w:rFonts w:ascii="Times New Roman" w:hAnsi="Times New Roman"/>
          <w:b/>
          <w:sz w:val="20"/>
          <w:szCs w:val="20"/>
        </w:rPr>
      </w:pPr>
      <w:r>
        <w:rPr>
          <w:rFonts w:ascii="Times New Roman" w:hAnsi="Times New Roman"/>
          <w:b/>
          <w:sz w:val="20"/>
          <w:szCs w:val="20"/>
        </w:rPr>
        <w:t>Lead and Manage in Public Governance</w:t>
      </w:r>
    </w:p>
    <w:p w14:paraId="66A31DED" w14:textId="77777777" w:rsidR="00E10A9E" w:rsidRDefault="00E10A9E" w:rsidP="00E10A9E">
      <w:pPr>
        <w:pStyle w:val="MediumGrid1-Accent21"/>
        <w:numPr>
          <w:ilvl w:val="0"/>
          <w:numId w:val="4"/>
        </w:numPr>
        <w:rPr>
          <w:rFonts w:ascii="Times New Roman" w:hAnsi="Times New Roman"/>
          <w:b/>
          <w:sz w:val="20"/>
          <w:szCs w:val="20"/>
        </w:rPr>
      </w:pPr>
      <w:r>
        <w:rPr>
          <w:rFonts w:ascii="Times New Roman" w:hAnsi="Times New Roman"/>
          <w:b/>
          <w:sz w:val="20"/>
          <w:szCs w:val="20"/>
        </w:rPr>
        <w:t>Participate in and Contribute to the Public Policy Process</w:t>
      </w:r>
    </w:p>
    <w:p w14:paraId="1ABFFDCB" w14:textId="77777777" w:rsidR="00E10A9E" w:rsidRDefault="00E10A9E" w:rsidP="00E10A9E">
      <w:pPr>
        <w:pStyle w:val="MediumGrid1-Accent21"/>
        <w:numPr>
          <w:ilvl w:val="0"/>
          <w:numId w:val="4"/>
        </w:numPr>
        <w:rPr>
          <w:rFonts w:ascii="Times New Roman" w:hAnsi="Times New Roman"/>
          <w:b/>
          <w:sz w:val="20"/>
          <w:szCs w:val="20"/>
        </w:rPr>
      </w:pPr>
      <w:r>
        <w:rPr>
          <w:rFonts w:ascii="Times New Roman" w:hAnsi="Times New Roman"/>
          <w:b/>
          <w:sz w:val="20"/>
          <w:szCs w:val="20"/>
        </w:rPr>
        <w:t>Analyze, Synthesize, Think Creatively, Solve Problems, and Make decisions</w:t>
      </w:r>
    </w:p>
    <w:p w14:paraId="52780F6A" w14:textId="77777777" w:rsidR="00E10A9E" w:rsidRDefault="00E10A9E" w:rsidP="00E10A9E">
      <w:pPr>
        <w:pStyle w:val="MediumGrid1-Accent21"/>
        <w:numPr>
          <w:ilvl w:val="0"/>
          <w:numId w:val="4"/>
        </w:numPr>
        <w:rPr>
          <w:rFonts w:ascii="Times New Roman" w:hAnsi="Times New Roman"/>
          <w:b/>
          <w:sz w:val="20"/>
          <w:szCs w:val="20"/>
        </w:rPr>
      </w:pPr>
      <w:r>
        <w:rPr>
          <w:rFonts w:ascii="Times New Roman" w:hAnsi="Times New Roman"/>
          <w:b/>
          <w:sz w:val="20"/>
          <w:szCs w:val="20"/>
        </w:rPr>
        <w:t xml:space="preserve">Communicate and Interact Productively with Diverse and Changing Workforce and Citizenry </w:t>
      </w:r>
    </w:p>
    <w:p w14:paraId="62F437F6" w14:textId="77777777" w:rsidR="00E10A9E" w:rsidRDefault="00E10A9E" w:rsidP="00E10A9E">
      <w:pPr>
        <w:pStyle w:val="MediumGrid1-Accent21"/>
        <w:numPr>
          <w:ilvl w:val="0"/>
          <w:numId w:val="4"/>
        </w:numPr>
        <w:rPr>
          <w:rFonts w:ascii="Times New Roman" w:hAnsi="Times New Roman"/>
          <w:b/>
          <w:sz w:val="20"/>
          <w:szCs w:val="20"/>
        </w:rPr>
      </w:pPr>
      <w:r>
        <w:rPr>
          <w:rFonts w:ascii="Times New Roman" w:hAnsi="Times New Roman"/>
          <w:b/>
          <w:sz w:val="20"/>
          <w:szCs w:val="20"/>
        </w:rPr>
        <w:t>To Rely on Professional Ethics While Making Policy, Managerial and Program Decisions</w:t>
      </w:r>
    </w:p>
    <w:p w14:paraId="4E13CC22" w14:textId="77777777" w:rsidR="00E10A9E" w:rsidRDefault="00E10A9E" w:rsidP="00E10A9E">
      <w:pPr>
        <w:pStyle w:val="MediumGrid1-Accent21"/>
        <w:ind w:left="0"/>
        <w:rPr>
          <w:rFonts w:ascii="Times New Roman" w:hAnsi="Times New Roman"/>
          <w:b/>
          <w:sz w:val="20"/>
          <w:szCs w:val="20"/>
        </w:rPr>
      </w:pPr>
    </w:p>
    <w:p w14:paraId="688B002D" w14:textId="519AC98F" w:rsidR="00E10A9E" w:rsidRDefault="00E10A9E" w:rsidP="00E10A9E">
      <w:pPr>
        <w:pStyle w:val="MediumGrid1-Accent21"/>
        <w:ind w:left="360"/>
        <w:rPr>
          <w:rFonts w:ascii="Times New Roman" w:hAnsi="Times New Roman"/>
          <w:b/>
          <w:sz w:val="20"/>
          <w:szCs w:val="20"/>
        </w:rPr>
      </w:pPr>
      <w:r>
        <w:rPr>
          <w:rFonts w:ascii="Times New Roman" w:hAnsi="Times New Roman"/>
          <w:b/>
          <w:sz w:val="20"/>
          <w:szCs w:val="20"/>
        </w:rPr>
        <w:t xml:space="preserve">The main SLO that </w:t>
      </w:r>
      <w:r w:rsidR="00164BD0">
        <w:rPr>
          <w:rFonts w:ascii="Times New Roman" w:hAnsi="Times New Roman"/>
          <w:b/>
          <w:sz w:val="20"/>
          <w:szCs w:val="20"/>
        </w:rPr>
        <w:t>was utilized for assessment was</w:t>
      </w:r>
      <w:r>
        <w:rPr>
          <w:rFonts w:ascii="Times New Roman" w:hAnsi="Times New Roman"/>
          <w:b/>
          <w:sz w:val="20"/>
          <w:szCs w:val="20"/>
        </w:rPr>
        <w:t xml:space="preserve"> SLO number 2, Lead and Manage in Public Governance. </w:t>
      </w:r>
      <w:r w:rsidR="00DD07CD">
        <w:rPr>
          <w:rFonts w:ascii="Times New Roman" w:hAnsi="Times New Roman"/>
          <w:b/>
          <w:sz w:val="20"/>
          <w:szCs w:val="20"/>
        </w:rPr>
        <w:t xml:space="preserve">The faculty has prepared the following rubric for identifying student competency in the program. The graduate project as a final culminating experience encompasses all theoretical and analytical skills that a student should have acquired throughout program, thus </w:t>
      </w:r>
      <w:r w:rsidR="00BB0EB5">
        <w:rPr>
          <w:rFonts w:ascii="Times New Roman" w:hAnsi="Times New Roman"/>
          <w:b/>
          <w:sz w:val="20"/>
          <w:szCs w:val="20"/>
        </w:rPr>
        <w:t>the assessment becomes</w:t>
      </w:r>
      <w:r w:rsidR="00DD07CD">
        <w:rPr>
          <w:rFonts w:ascii="Times New Roman" w:hAnsi="Times New Roman"/>
          <w:b/>
          <w:sz w:val="20"/>
          <w:szCs w:val="20"/>
        </w:rPr>
        <w:t xml:space="preserve"> the ideal mechanism for </w:t>
      </w:r>
      <w:r w:rsidR="00BB0EB5">
        <w:rPr>
          <w:rFonts w:ascii="Times New Roman" w:hAnsi="Times New Roman"/>
          <w:b/>
          <w:sz w:val="20"/>
          <w:szCs w:val="20"/>
        </w:rPr>
        <w:t xml:space="preserve">evaluating </w:t>
      </w:r>
      <w:r w:rsidR="008E42E2">
        <w:rPr>
          <w:rFonts w:ascii="Times New Roman" w:hAnsi="Times New Roman"/>
          <w:b/>
          <w:sz w:val="20"/>
          <w:szCs w:val="20"/>
        </w:rPr>
        <w:t>the e</w:t>
      </w:r>
      <w:r w:rsidR="00BB0EB5">
        <w:rPr>
          <w:rFonts w:ascii="Times New Roman" w:hAnsi="Times New Roman"/>
          <w:b/>
          <w:sz w:val="20"/>
          <w:szCs w:val="20"/>
        </w:rPr>
        <w:t xml:space="preserve">ffectiveness of </w:t>
      </w:r>
      <w:r w:rsidR="00DD07CD">
        <w:rPr>
          <w:rFonts w:ascii="Times New Roman" w:hAnsi="Times New Roman"/>
          <w:b/>
          <w:sz w:val="20"/>
          <w:szCs w:val="20"/>
        </w:rPr>
        <w:t xml:space="preserve">faculty teaching and student learning. </w:t>
      </w:r>
    </w:p>
    <w:p w14:paraId="3792B7A8" w14:textId="77777777" w:rsidR="00DD07CD" w:rsidRDefault="00DD07CD" w:rsidP="00E10A9E">
      <w:pPr>
        <w:pStyle w:val="MediumGrid1-Accent21"/>
        <w:ind w:left="360"/>
        <w:rPr>
          <w:rFonts w:ascii="Times New Roman" w:hAnsi="Times New Roman"/>
          <w:b/>
          <w:sz w:val="20"/>
          <w:szCs w:val="20"/>
        </w:rPr>
      </w:pPr>
    </w:p>
    <w:p w14:paraId="129C84CC" w14:textId="573E7F25" w:rsidR="00BB0EB5" w:rsidRDefault="00BB0EB5" w:rsidP="00B5269A">
      <w:pPr>
        <w:rPr>
          <w:rFonts w:ascii="Times New Roman" w:hAnsi="Times New Roman"/>
          <w:b/>
          <w:sz w:val="20"/>
          <w:szCs w:val="20"/>
        </w:rPr>
      </w:pPr>
      <w:r>
        <w:rPr>
          <w:rFonts w:ascii="Times New Roman" w:hAnsi="Times New Roman"/>
          <w:b/>
          <w:sz w:val="20"/>
          <w:szCs w:val="20"/>
        </w:rPr>
        <w:t xml:space="preserve">We </w:t>
      </w:r>
      <w:r w:rsidR="00164BD0">
        <w:rPr>
          <w:rFonts w:ascii="Times New Roman" w:hAnsi="Times New Roman"/>
          <w:b/>
          <w:sz w:val="20"/>
          <w:szCs w:val="20"/>
        </w:rPr>
        <w:t>sampled</w:t>
      </w:r>
      <w:r>
        <w:rPr>
          <w:rFonts w:ascii="Times New Roman" w:hAnsi="Times New Roman"/>
          <w:b/>
          <w:sz w:val="20"/>
          <w:szCs w:val="20"/>
        </w:rPr>
        <w:t xml:space="preserve"> </w:t>
      </w:r>
      <w:r w:rsidR="00C8589B">
        <w:rPr>
          <w:rFonts w:ascii="Times New Roman" w:hAnsi="Times New Roman"/>
          <w:b/>
          <w:sz w:val="20"/>
          <w:szCs w:val="20"/>
        </w:rPr>
        <w:t>3</w:t>
      </w:r>
      <w:r w:rsidR="00164BD0">
        <w:rPr>
          <w:rFonts w:ascii="Times New Roman" w:hAnsi="Times New Roman"/>
          <w:b/>
          <w:sz w:val="20"/>
          <w:szCs w:val="20"/>
        </w:rPr>
        <w:t>5 out of</w:t>
      </w:r>
      <w:r>
        <w:rPr>
          <w:rFonts w:ascii="Times New Roman" w:hAnsi="Times New Roman"/>
          <w:b/>
          <w:sz w:val="20"/>
          <w:szCs w:val="20"/>
        </w:rPr>
        <w:t xml:space="preserve"> </w:t>
      </w:r>
      <w:r w:rsidR="00C8589B">
        <w:rPr>
          <w:rFonts w:ascii="Times New Roman" w:hAnsi="Times New Roman"/>
          <w:b/>
          <w:sz w:val="20"/>
          <w:szCs w:val="20"/>
        </w:rPr>
        <w:t>117</w:t>
      </w:r>
      <w:r>
        <w:rPr>
          <w:rFonts w:ascii="Times New Roman" w:hAnsi="Times New Roman"/>
          <w:b/>
          <w:sz w:val="20"/>
          <w:szCs w:val="20"/>
        </w:rPr>
        <w:t xml:space="preserve"> graduate projects using the rubric provided above. The report will utilize summative format indicating the frequency that students in each area of the rubric.  </w:t>
      </w:r>
    </w:p>
    <w:p w14:paraId="199F34A4" w14:textId="77777777" w:rsidR="00B5269A" w:rsidRPr="00DD07CD" w:rsidRDefault="00DD07CD" w:rsidP="00B5269A">
      <w:pPr>
        <w:rPr>
          <w:rFonts w:ascii="Times New Roman" w:hAnsi="Times New Roman"/>
          <w:b/>
          <w:sz w:val="20"/>
          <w:szCs w:val="20"/>
        </w:rPr>
      </w:pPr>
      <w:r w:rsidRPr="00DD07CD">
        <w:rPr>
          <w:rFonts w:ascii="Times New Roman" w:hAnsi="Times New Roman"/>
          <w:b/>
          <w:sz w:val="20"/>
          <w:szCs w:val="20"/>
        </w:rPr>
        <w:t xml:space="preserve">After </w:t>
      </w:r>
      <w:r>
        <w:rPr>
          <w:rFonts w:ascii="Times New Roman" w:hAnsi="Times New Roman"/>
          <w:b/>
          <w:sz w:val="20"/>
          <w:szCs w:val="20"/>
        </w:rPr>
        <w:t xml:space="preserve">the consultation with faculty, </w:t>
      </w:r>
      <w:r w:rsidR="00BB0EB5">
        <w:rPr>
          <w:rFonts w:ascii="Times New Roman" w:hAnsi="Times New Roman"/>
          <w:b/>
          <w:sz w:val="20"/>
          <w:szCs w:val="20"/>
        </w:rPr>
        <w:t>we</w:t>
      </w:r>
      <w:r>
        <w:rPr>
          <w:rFonts w:ascii="Times New Roman" w:hAnsi="Times New Roman"/>
          <w:b/>
          <w:sz w:val="20"/>
          <w:szCs w:val="20"/>
        </w:rPr>
        <w:t xml:space="preserve"> will </w:t>
      </w:r>
      <w:r w:rsidR="00BB0EB5">
        <w:rPr>
          <w:rFonts w:ascii="Times New Roman" w:hAnsi="Times New Roman"/>
          <w:b/>
          <w:sz w:val="20"/>
          <w:szCs w:val="20"/>
        </w:rPr>
        <w:t>continue with the same assessment process</w:t>
      </w:r>
      <w:r>
        <w:rPr>
          <w:rFonts w:ascii="Times New Roman" w:hAnsi="Times New Roman"/>
          <w:b/>
          <w:sz w:val="20"/>
          <w:szCs w:val="20"/>
        </w:rPr>
        <w:t xml:space="preserve"> for 2018-2019 academic year with results to be reported in </w:t>
      </w:r>
      <w:proofErr w:type="gramStart"/>
      <w:r>
        <w:rPr>
          <w:rFonts w:ascii="Times New Roman" w:hAnsi="Times New Roman"/>
          <w:b/>
          <w:sz w:val="20"/>
          <w:szCs w:val="20"/>
        </w:rPr>
        <w:t>Fall</w:t>
      </w:r>
      <w:proofErr w:type="gramEnd"/>
      <w:r>
        <w:rPr>
          <w:rFonts w:ascii="Times New Roman" w:hAnsi="Times New Roman"/>
          <w:b/>
          <w:sz w:val="20"/>
          <w:szCs w:val="20"/>
        </w:rPr>
        <w:t xml:space="preserve"> of 2019 to the Office of Academic Assessment and Program Review. </w:t>
      </w:r>
    </w:p>
    <w:p w14:paraId="0BB349B4" w14:textId="77777777" w:rsidR="00DD07CD" w:rsidRDefault="00DD07CD" w:rsidP="00B5269A"/>
    <w:p w14:paraId="781F34DC" w14:textId="77777777" w:rsidR="00DD07CD" w:rsidRDefault="00DD07CD" w:rsidP="00DD07CD">
      <w:pPr>
        <w:pStyle w:val="MediumGrid1-Accent21"/>
        <w:numPr>
          <w:ilvl w:val="0"/>
          <w:numId w:val="1"/>
        </w:numPr>
        <w:rPr>
          <w:rFonts w:ascii="Times New Roman" w:hAnsi="Times New Roman"/>
          <w:sz w:val="20"/>
          <w:szCs w:val="20"/>
        </w:rPr>
      </w:pPr>
      <w:r>
        <w:rPr>
          <w:rFonts w:ascii="Times New Roman" w:hAnsi="Times New Roman"/>
          <w:b/>
          <w:sz w:val="20"/>
          <w:szCs w:val="20"/>
        </w:rPr>
        <w:t>Preview of planned assessment activities for 201</w:t>
      </w:r>
      <w:r w:rsidR="000A10F9">
        <w:rPr>
          <w:rFonts w:ascii="Times New Roman" w:hAnsi="Times New Roman"/>
          <w:b/>
          <w:sz w:val="20"/>
          <w:szCs w:val="20"/>
        </w:rPr>
        <w:t>7-18</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603BDE25" w14:textId="77777777" w:rsidR="00DD07CD" w:rsidRDefault="00DD07CD" w:rsidP="00DD07CD">
      <w:pPr>
        <w:pStyle w:val="MediumGrid1-Accent21"/>
        <w:ind w:left="0"/>
        <w:rPr>
          <w:rFonts w:ascii="Times New Roman" w:hAnsi="Times New Roman"/>
          <w:sz w:val="20"/>
          <w:szCs w:val="20"/>
        </w:rPr>
      </w:pPr>
    </w:p>
    <w:p w14:paraId="73C625F4" w14:textId="0C724703" w:rsidR="00E66374" w:rsidRPr="007E702C" w:rsidRDefault="00DD07CD" w:rsidP="007E702C">
      <w:pPr>
        <w:pStyle w:val="MediumGrid1-Accent21"/>
        <w:ind w:left="0"/>
        <w:rPr>
          <w:rFonts w:ascii="Times New Roman" w:hAnsi="Times New Roman"/>
          <w:b/>
          <w:sz w:val="20"/>
          <w:szCs w:val="20"/>
        </w:rPr>
      </w:pPr>
      <w:r w:rsidRPr="00DD07CD">
        <w:rPr>
          <w:rFonts w:ascii="Times New Roman" w:hAnsi="Times New Roman"/>
          <w:b/>
          <w:sz w:val="20"/>
          <w:szCs w:val="20"/>
        </w:rPr>
        <w:t xml:space="preserve">MPA program </w:t>
      </w:r>
      <w:r>
        <w:rPr>
          <w:rFonts w:ascii="Times New Roman" w:hAnsi="Times New Roman"/>
          <w:b/>
          <w:sz w:val="20"/>
          <w:szCs w:val="20"/>
        </w:rPr>
        <w:t xml:space="preserve">will focus on SLO number 2, as determined by our assessment planning for this program in transition. </w:t>
      </w:r>
      <w:r w:rsidR="0094639D">
        <w:rPr>
          <w:rFonts w:ascii="Times New Roman" w:hAnsi="Times New Roman"/>
          <w:b/>
          <w:sz w:val="20"/>
          <w:szCs w:val="20"/>
        </w:rPr>
        <w:t xml:space="preserve">The program utilized NASPAA’s competency #2 as the overarching measurements of teaching and learning in the MPA program. </w:t>
      </w:r>
      <w:r w:rsidR="000A10F9">
        <w:rPr>
          <w:rFonts w:ascii="Times New Roman" w:hAnsi="Times New Roman"/>
          <w:b/>
          <w:sz w:val="20"/>
          <w:szCs w:val="20"/>
        </w:rPr>
        <w:t>For the 2017-18 academic year assessment, the program committee adopted 4 MPA 698S classes offered during the summer of 2018. MPA 698S – Graduate Project is culminating experience course where students undertake writing a major work (15-25 pages) examining a specific issue in the area of field of study. This course requires from the students to identify a problem/researchable topic, identify a body if peer reviewed literature examining the issue at hand, identify an appropriate methodology, if the case was going to be implemented what methods would be utilized and finally overall organization and writing style. Table below shows the percentage of students across 4 classes MPA 698S. The number</w:t>
      </w:r>
      <w:r w:rsidR="00906A4C">
        <w:rPr>
          <w:rFonts w:ascii="Times New Roman" w:hAnsi="Times New Roman"/>
          <w:b/>
          <w:sz w:val="20"/>
          <w:szCs w:val="20"/>
        </w:rPr>
        <w:t>s</w:t>
      </w:r>
      <w:r w:rsidR="000A10F9">
        <w:rPr>
          <w:rFonts w:ascii="Times New Roman" w:hAnsi="Times New Roman"/>
          <w:b/>
          <w:sz w:val="20"/>
          <w:szCs w:val="20"/>
        </w:rPr>
        <w:t xml:space="preserve"> of students were approximately </w:t>
      </w:r>
      <w:r w:rsidR="00906A4C">
        <w:rPr>
          <w:rFonts w:ascii="Times New Roman" w:hAnsi="Times New Roman"/>
          <w:b/>
          <w:sz w:val="20"/>
          <w:szCs w:val="20"/>
        </w:rPr>
        <w:t xml:space="preserve">117 students. Random sample of 30 percent (n= 35) was utilized in order to reach the assessment of teaching and learning for the MPA program. </w:t>
      </w:r>
      <w:r w:rsidR="001C2C4C">
        <w:rPr>
          <w:rFonts w:ascii="Times New Roman" w:hAnsi="Times New Roman"/>
          <w:b/>
          <w:sz w:val="20"/>
          <w:szCs w:val="20"/>
        </w:rPr>
        <w:t xml:space="preserve">Random sampling of the 117 students across four MPA 698S courses suggests that student ability to identify a researchable question (after working with faculty closely) stands at 60 percent satisfactory and 30 percent unsatisfactory. The main challenge with unsatisfactory research question and objective is related to the type of topics that students choose. This is reflective of lack of coordination within the program with student class projects and students are allowed to write on topic not directly related to the field of study. Another major finding is that majority of students are incapable of </w:t>
      </w:r>
      <w:r w:rsidR="005864CC">
        <w:rPr>
          <w:rFonts w:ascii="Times New Roman" w:hAnsi="Times New Roman"/>
          <w:b/>
          <w:sz w:val="20"/>
          <w:szCs w:val="20"/>
        </w:rPr>
        <w:t xml:space="preserve">identifying appropriate literature relevant to the field of study. Use of academic resources remained limited and command of literature limited. This is direct reflection of the limitations to what occurs in classes or the depth of coverage and student learning. Considering that MPA program does not have full-time tenured/tenure-track faculty (only 3 faculty with the subject matter expertise with appointments in 2 different departments) suggests that coverage and exposure to the latest literature and research remains limited. The MPA program offers 16-20 courses per semester, and majority of classes are taught by faculty from various field of studies or by adjunct faculty. Successful teaching and student learning requires more faculty with subject matter expertise. </w:t>
      </w:r>
    </w:p>
    <w:p w14:paraId="13AAECCB" w14:textId="77777777" w:rsidR="00E66374" w:rsidRDefault="00E66374" w:rsidP="00B5269A"/>
    <w:tbl>
      <w:tblPr>
        <w:tblStyle w:val="TableGrid"/>
        <w:tblW w:w="0" w:type="auto"/>
        <w:tblLook w:val="04A0" w:firstRow="1" w:lastRow="0" w:firstColumn="1" w:lastColumn="0" w:noHBand="0" w:noVBand="1"/>
      </w:tblPr>
      <w:tblGrid>
        <w:gridCol w:w="2394"/>
        <w:gridCol w:w="2394"/>
        <w:gridCol w:w="2394"/>
        <w:gridCol w:w="2394"/>
      </w:tblGrid>
      <w:tr w:rsidR="00E66374" w14:paraId="3A6449ED" w14:textId="77777777" w:rsidTr="007E702C">
        <w:trPr>
          <w:trHeight w:val="845"/>
        </w:trPr>
        <w:tc>
          <w:tcPr>
            <w:tcW w:w="2394" w:type="dxa"/>
          </w:tcPr>
          <w:p w14:paraId="1F4AD1A2" w14:textId="77777777" w:rsidR="00E66374" w:rsidRDefault="00E66374" w:rsidP="00E66374">
            <w:pPr>
              <w:pStyle w:val="Default"/>
              <w:rPr>
                <w:b/>
                <w:bCs/>
                <w:sz w:val="16"/>
                <w:szCs w:val="16"/>
              </w:rPr>
            </w:pPr>
            <w:r>
              <w:rPr>
                <w:b/>
                <w:bCs/>
                <w:sz w:val="20"/>
                <w:szCs w:val="20"/>
              </w:rPr>
              <w:t xml:space="preserve">Graduate Project </w:t>
            </w:r>
            <w:r>
              <w:rPr>
                <w:b/>
                <w:bCs/>
                <w:sz w:val="16"/>
                <w:szCs w:val="16"/>
              </w:rPr>
              <w:t xml:space="preserve"> </w:t>
            </w:r>
            <w:r>
              <w:rPr>
                <w:b/>
                <w:bCs/>
                <w:sz w:val="20"/>
                <w:szCs w:val="20"/>
              </w:rPr>
              <w:t>C</w:t>
            </w:r>
            <w:r>
              <w:rPr>
                <w:b/>
                <w:bCs/>
                <w:sz w:val="16"/>
                <w:szCs w:val="16"/>
              </w:rPr>
              <w:t xml:space="preserve">OMPETENCIES </w:t>
            </w:r>
          </w:p>
          <w:p w14:paraId="1458FBF0" w14:textId="77777777" w:rsidR="00E66374" w:rsidRDefault="00E66374" w:rsidP="00E66374">
            <w:pPr>
              <w:pStyle w:val="Default"/>
              <w:rPr>
                <w:b/>
                <w:bCs/>
                <w:sz w:val="16"/>
                <w:szCs w:val="16"/>
              </w:rPr>
            </w:pPr>
            <w:r>
              <w:rPr>
                <w:b/>
                <w:bCs/>
                <w:sz w:val="16"/>
                <w:szCs w:val="16"/>
              </w:rPr>
              <w:t>Assessment</w:t>
            </w:r>
          </w:p>
          <w:p w14:paraId="34C5CFA0" w14:textId="77777777" w:rsidR="00E66374" w:rsidRDefault="00E66374" w:rsidP="00E66374">
            <w:pPr>
              <w:pStyle w:val="Default"/>
              <w:rPr>
                <w:b/>
                <w:bCs/>
                <w:sz w:val="16"/>
                <w:szCs w:val="16"/>
              </w:rPr>
            </w:pPr>
          </w:p>
          <w:p w14:paraId="23BAF1C3" w14:textId="77777777" w:rsidR="00E66374" w:rsidRDefault="00E66374" w:rsidP="00B5269A"/>
        </w:tc>
        <w:tc>
          <w:tcPr>
            <w:tcW w:w="2394" w:type="dxa"/>
          </w:tcPr>
          <w:p w14:paraId="55D98800" w14:textId="2ADC619C" w:rsidR="00E66374" w:rsidRDefault="00E66374" w:rsidP="001C2C4C">
            <w:pPr>
              <w:jc w:val="center"/>
            </w:pPr>
            <w:r>
              <w:rPr>
                <w:sz w:val="20"/>
                <w:szCs w:val="20"/>
              </w:rPr>
              <w:t>Unsatisfactory</w:t>
            </w:r>
          </w:p>
        </w:tc>
        <w:tc>
          <w:tcPr>
            <w:tcW w:w="2394" w:type="dxa"/>
          </w:tcPr>
          <w:p w14:paraId="154350C1" w14:textId="77777777" w:rsidR="00E66374" w:rsidRDefault="00E66374" w:rsidP="001C2C4C">
            <w:pPr>
              <w:jc w:val="center"/>
            </w:pPr>
            <w:r>
              <w:rPr>
                <w:sz w:val="20"/>
                <w:szCs w:val="20"/>
              </w:rPr>
              <w:t>Satisfactory</w:t>
            </w:r>
          </w:p>
        </w:tc>
        <w:tc>
          <w:tcPr>
            <w:tcW w:w="2394" w:type="dxa"/>
          </w:tcPr>
          <w:p w14:paraId="527DAD0A" w14:textId="77777777" w:rsidR="00E66374" w:rsidRDefault="00E66374" w:rsidP="001C2C4C">
            <w:pPr>
              <w:jc w:val="center"/>
            </w:pPr>
            <w:r>
              <w:rPr>
                <w:sz w:val="20"/>
                <w:szCs w:val="20"/>
              </w:rPr>
              <w:t>Exemplary</w:t>
            </w:r>
          </w:p>
        </w:tc>
      </w:tr>
      <w:tr w:rsidR="00E66374" w14:paraId="6B93728E" w14:textId="77777777" w:rsidTr="00E66374">
        <w:tc>
          <w:tcPr>
            <w:tcW w:w="2394" w:type="dxa"/>
          </w:tcPr>
          <w:p w14:paraId="3474D527" w14:textId="77777777" w:rsidR="007E702C" w:rsidRDefault="007E702C" w:rsidP="007E702C">
            <w:pPr>
              <w:pStyle w:val="Default"/>
              <w:rPr>
                <w:sz w:val="20"/>
                <w:szCs w:val="20"/>
              </w:rPr>
            </w:pPr>
            <w:r>
              <w:rPr>
                <w:sz w:val="20"/>
                <w:szCs w:val="20"/>
              </w:rPr>
              <w:t xml:space="preserve">1. Research objectives/ research question(s) </w:t>
            </w:r>
          </w:p>
          <w:p w14:paraId="0121FAA9" w14:textId="77777777" w:rsidR="00E66374" w:rsidRDefault="00E66374" w:rsidP="00B5269A"/>
        </w:tc>
        <w:tc>
          <w:tcPr>
            <w:tcW w:w="2394" w:type="dxa"/>
          </w:tcPr>
          <w:p w14:paraId="0F99CF6F" w14:textId="2E870E2F" w:rsidR="00E66374" w:rsidRDefault="001C2C4C" w:rsidP="001C2C4C">
            <w:pPr>
              <w:jc w:val="center"/>
            </w:pPr>
            <w:r>
              <w:t>30%</w:t>
            </w:r>
          </w:p>
        </w:tc>
        <w:tc>
          <w:tcPr>
            <w:tcW w:w="2394" w:type="dxa"/>
          </w:tcPr>
          <w:p w14:paraId="1AB784FB" w14:textId="63995BC9" w:rsidR="00E66374" w:rsidRDefault="001C2C4C" w:rsidP="001C2C4C">
            <w:pPr>
              <w:jc w:val="center"/>
            </w:pPr>
            <w:r>
              <w:t>60%</w:t>
            </w:r>
          </w:p>
        </w:tc>
        <w:tc>
          <w:tcPr>
            <w:tcW w:w="2394" w:type="dxa"/>
          </w:tcPr>
          <w:p w14:paraId="0D75643F" w14:textId="0D631E1E" w:rsidR="00E66374" w:rsidRDefault="001C2C4C" w:rsidP="001C2C4C">
            <w:pPr>
              <w:jc w:val="center"/>
            </w:pPr>
            <w:r>
              <w:t>10%</w:t>
            </w:r>
          </w:p>
        </w:tc>
      </w:tr>
      <w:tr w:rsidR="00E66374" w14:paraId="6A825047" w14:textId="77777777" w:rsidTr="00E66374">
        <w:tc>
          <w:tcPr>
            <w:tcW w:w="2394" w:type="dxa"/>
          </w:tcPr>
          <w:p w14:paraId="129E937C" w14:textId="77777777" w:rsidR="007E702C" w:rsidRDefault="007E702C" w:rsidP="007E702C">
            <w:pPr>
              <w:pStyle w:val="Default"/>
              <w:rPr>
                <w:sz w:val="20"/>
                <w:szCs w:val="20"/>
              </w:rPr>
            </w:pPr>
            <w:r>
              <w:rPr>
                <w:sz w:val="20"/>
                <w:szCs w:val="20"/>
              </w:rPr>
              <w:t xml:space="preserve">2. Organization </w:t>
            </w:r>
          </w:p>
          <w:p w14:paraId="688CA87A" w14:textId="77777777" w:rsidR="00E66374" w:rsidRDefault="00E66374" w:rsidP="00B5269A"/>
        </w:tc>
        <w:tc>
          <w:tcPr>
            <w:tcW w:w="2394" w:type="dxa"/>
          </w:tcPr>
          <w:p w14:paraId="77284581" w14:textId="207119E7" w:rsidR="00E66374" w:rsidRDefault="001C2C4C" w:rsidP="001C2C4C">
            <w:pPr>
              <w:jc w:val="center"/>
            </w:pPr>
            <w:r>
              <w:t>40%</w:t>
            </w:r>
          </w:p>
        </w:tc>
        <w:tc>
          <w:tcPr>
            <w:tcW w:w="2394" w:type="dxa"/>
          </w:tcPr>
          <w:p w14:paraId="5EFF695C" w14:textId="0E37FE23" w:rsidR="00E66374" w:rsidRDefault="001C2C4C" w:rsidP="001C2C4C">
            <w:pPr>
              <w:jc w:val="center"/>
            </w:pPr>
            <w:r>
              <w:t>50%</w:t>
            </w:r>
          </w:p>
        </w:tc>
        <w:tc>
          <w:tcPr>
            <w:tcW w:w="2394" w:type="dxa"/>
          </w:tcPr>
          <w:p w14:paraId="0779E63C" w14:textId="151D4F1F" w:rsidR="00E66374" w:rsidRDefault="001C2C4C" w:rsidP="001C2C4C">
            <w:pPr>
              <w:jc w:val="center"/>
            </w:pPr>
            <w:r>
              <w:t>10%</w:t>
            </w:r>
          </w:p>
        </w:tc>
      </w:tr>
      <w:tr w:rsidR="00E66374" w14:paraId="1EFEE330" w14:textId="77777777" w:rsidTr="00E66374">
        <w:tc>
          <w:tcPr>
            <w:tcW w:w="2394" w:type="dxa"/>
          </w:tcPr>
          <w:p w14:paraId="244EB4BF" w14:textId="77777777" w:rsidR="007E702C" w:rsidRDefault="007E702C" w:rsidP="007E702C">
            <w:pPr>
              <w:pStyle w:val="Default"/>
              <w:rPr>
                <w:sz w:val="20"/>
                <w:szCs w:val="20"/>
              </w:rPr>
            </w:pPr>
            <w:r>
              <w:rPr>
                <w:sz w:val="20"/>
                <w:szCs w:val="20"/>
              </w:rPr>
              <w:t xml:space="preserve">3. Command of literature </w:t>
            </w:r>
          </w:p>
          <w:p w14:paraId="7A78CE03" w14:textId="77777777" w:rsidR="00E66374" w:rsidRDefault="00E66374" w:rsidP="00B5269A"/>
        </w:tc>
        <w:tc>
          <w:tcPr>
            <w:tcW w:w="2394" w:type="dxa"/>
          </w:tcPr>
          <w:p w14:paraId="07844600" w14:textId="2DFB6AE4" w:rsidR="00E66374" w:rsidRDefault="001C2C4C" w:rsidP="001C2C4C">
            <w:pPr>
              <w:jc w:val="center"/>
            </w:pPr>
            <w:r>
              <w:t>70%</w:t>
            </w:r>
          </w:p>
        </w:tc>
        <w:tc>
          <w:tcPr>
            <w:tcW w:w="2394" w:type="dxa"/>
          </w:tcPr>
          <w:p w14:paraId="787E19AE" w14:textId="21407A9B" w:rsidR="00E66374" w:rsidRDefault="001C2C4C" w:rsidP="001C2C4C">
            <w:pPr>
              <w:jc w:val="center"/>
            </w:pPr>
            <w:r>
              <w:t>25%</w:t>
            </w:r>
          </w:p>
        </w:tc>
        <w:tc>
          <w:tcPr>
            <w:tcW w:w="2394" w:type="dxa"/>
          </w:tcPr>
          <w:p w14:paraId="18AC2472" w14:textId="41AC549D" w:rsidR="00E66374" w:rsidRDefault="001C2C4C" w:rsidP="001C2C4C">
            <w:pPr>
              <w:jc w:val="center"/>
            </w:pPr>
            <w:r>
              <w:t>5%</w:t>
            </w:r>
          </w:p>
        </w:tc>
      </w:tr>
      <w:tr w:rsidR="00E66374" w14:paraId="1B72E77D" w14:textId="77777777" w:rsidTr="00E66374">
        <w:tc>
          <w:tcPr>
            <w:tcW w:w="2394" w:type="dxa"/>
          </w:tcPr>
          <w:p w14:paraId="335E5DA3" w14:textId="77777777" w:rsidR="007E702C" w:rsidRDefault="007E702C" w:rsidP="007E702C">
            <w:pPr>
              <w:pStyle w:val="Default"/>
              <w:rPr>
                <w:sz w:val="20"/>
                <w:szCs w:val="20"/>
              </w:rPr>
            </w:pPr>
            <w:r>
              <w:rPr>
                <w:sz w:val="20"/>
                <w:szCs w:val="20"/>
              </w:rPr>
              <w:t xml:space="preserve">4. Methodology and research design </w:t>
            </w:r>
          </w:p>
          <w:p w14:paraId="463B0EB5" w14:textId="77777777" w:rsidR="00E66374" w:rsidRDefault="00E66374" w:rsidP="00B5269A"/>
        </w:tc>
        <w:tc>
          <w:tcPr>
            <w:tcW w:w="2394" w:type="dxa"/>
          </w:tcPr>
          <w:p w14:paraId="62AFFD15" w14:textId="0B36EFBE" w:rsidR="00E66374" w:rsidRDefault="001C2C4C" w:rsidP="001C2C4C">
            <w:pPr>
              <w:jc w:val="center"/>
            </w:pPr>
            <w:r>
              <w:t>70%</w:t>
            </w:r>
          </w:p>
        </w:tc>
        <w:tc>
          <w:tcPr>
            <w:tcW w:w="2394" w:type="dxa"/>
          </w:tcPr>
          <w:p w14:paraId="148D0BD6" w14:textId="5598044B" w:rsidR="00E66374" w:rsidRDefault="001C2C4C" w:rsidP="001C2C4C">
            <w:pPr>
              <w:jc w:val="center"/>
            </w:pPr>
            <w:r>
              <w:t>30%</w:t>
            </w:r>
          </w:p>
        </w:tc>
        <w:tc>
          <w:tcPr>
            <w:tcW w:w="2394" w:type="dxa"/>
          </w:tcPr>
          <w:p w14:paraId="020BD83A" w14:textId="77777777" w:rsidR="00E66374" w:rsidRDefault="00E66374" w:rsidP="001C2C4C">
            <w:pPr>
              <w:jc w:val="center"/>
            </w:pPr>
          </w:p>
        </w:tc>
      </w:tr>
      <w:tr w:rsidR="00E66374" w14:paraId="76B02EBF" w14:textId="77777777" w:rsidTr="00E66374">
        <w:tc>
          <w:tcPr>
            <w:tcW w:w="2394" w:type="dxa"/>
          </w:tcPr>
          <w:p w14:paraId="222765A7" w14:textId="77777777" w:rsidR="007E702C" w:rsidRDefault="007E702C" w:rsidP="007E702C">
            <w:pPr>
              <w:pStyle w:val="Default"/>
              <w:rPr>
                <w:sz w:val="20"/>
                <w:szCs w:val="20"/>
              </w:rPr>
            </w:pPr>
            <w:r>
              <w:rPr>
                <w:sz w:val="20"/>
                <w:szCs w:val="20"/>
              </w:rPr>
              <w:t xml:space="preserve">5. Use of sources </w:t>
            </w:r>
          </w:p>
          <w:p w14:paraId="5C738DD6" w14:textId="77777777" w:rsidR="00E66374" w:rsidRDefault="00E66374" w:rsidP="00B5269A"/>
        </w:tc>
        <w:tc>
          <w:tcPr>
            <w:tcW w:w="2394" w:type="dxa"/>
          </w:tcPr>
          <w:p w14:paraId="5815203C" w14:textId="43E99AE5" w:rsidR="00E66374" w:rsidRDefault="001C2C4C" w:rsidP="001C2C4C">
            <w:pPr>
              <w:jc w:val="center"/>
            </w:pPr>
            <w:r>
              <w:t>50%</w:t>
            </w:r>
          </w:p>
        </w:tc>
        <w:tc>
          <w:tcPr>
            <w:tcW w:w="2394" w:type="dxa"/>
          </w:tcPr>
          <w:p w14:paraId="3D82814D" w14:textId="73E82160" w:rsidR="00E66374" w:rsidRDefault="001C2C4C" w:rsidP="001C2C4C">
            <w:pPr>
              <w:jc w:val="center"/>
            </w:pPr>
            <w:r>
              <w:t>40%</w:t>
            </w:r>
          </w:p>
        </w:tc>
        <w:tc>
          <w:tcPr>
            <w:tcW w:w="2394" w:type="dxa"/>
          </w:tcPr>
          <w:p w14:paraId="52A74934" w14:textId="2B554614" w:rsidR="00E66374" w:rsidRDefault="001C2C4C" w:rsidP="001C2C4C">
            <w:pPr>
              <w:jc w:val="center"/>
            </w:pPr>
            <w:r>
              <w:t>10%</w:t>
            </w:r>
          </w:p>
        </w:tc>
      </w:tr>
      <w:tr w:rsidR="00E66374" w14:paraId="54252D39" w14:textId="77777777" w:rsidTr="00E66374">
        <w:tc>
          <w:tcPr>
            <w:tcW w:w="2394" w:type="dxa"/>
          </w:tcPr>
          <w:p w14:paraId="5FFE53F0" w14:textId="77777777" w:rsidR="007E702C" w:rsidRDefault="007E702C" w:rsidP="007E702C">
            <w:pPr>
              <w:pStyle w:val="Default"/>
              <w:rPr>
                <w:sz w:val="20"/>
                <w:szCs w:val="20"/>
              </w:rPr>
            </w:pPr>
            <w:r>
              <w:rPr>
                <w:sz w:val="20"/>
                <w:szCs w:val="20"/>
              </w:rPr>
              <w:t xml:space="preserve">6. Formatting, mechanics of writing (e.g., grammar, spelling, documentation </w:t>
            </w:r>
          </w:p>
          <w:p w14:paraId="3AE71673" w14:textId="77777777" w:rsidR="00E66374" w:rsidRDefault="00E66374" w:rsidP="00B5269A"/>
        </w:tc>
        <w:tc>
          <w:tcPr>
            <w:tcW w:w="2394" w:type="dxa"/>
          </w:tcPr>
          <w:p w14:paraId="4E5501B5" w14:textId="016E3DD1" w:rsidR="00E66374" w:rsidRDefault="001C2C4C" w:rsidP="001C2C4C">
            <w:pPr>
              <w:jc w:val="center"/>
            </w:pPr>
            <w:r>
              <w:t>65%</w:t>
            </w:r>
          </w:p>
        </w:tc>
        <w:tc>
          <w:tcPr>
            <w:tcW w:w="2394" w:type="dxa"/>
          </w:tcPr>
          <w:p w14:paraId="2E2F64FB" w14:textId="7D463883" w:rsidR="00E66374" w:rsidRDefault="001C2C4C" w:rsidP="001C2C4C">
            <w:pPr>
              <w:jc w:val="center"/>
            </w:pPr>
            <w:r>
              <w:t>35%</w:t>
            </w:r>
          </w:p>
        </w:tc>
        <w:tc>
          <w:tcPr>
            <w:tcW w:w="2394" w:type="dxa"/>
          </w:tcPr>
          <w:p w14:paraId="6B41BE0F" w14:textId="77777777" w:rsidR="00E66374" w:rsidRDefault="00E66374" w:rsidP="001C2C4C">
            <w:pPr>
              <w:jc w:val="center"/>
            </w:pPr>
          </w:p>
        </w:tc>
      </w:tr>
      <w:tr w:rsidR="007E702C" w14:paraId="7BCB161B" w14:textId="77777777" w:rsidTr="00E66374">
        <w:tc>
          <w:tcPr>
            <w:tcW w:w="2394" w:type="dxa"/>
          </w:tcPr>
          <w:p w14:paraId="3144D394" w14:textId="77777777" w:rsidR="007E702C" w:rsidRDefault="007E702C" w:rsidP="007E702C">
            <w:pPr>
              <w:pStyle w:val="Default"/>
              <w:rPr>
                <w:sz w:val="20"/>
                <w:szCs w:val="20"/>
              </w:rPr>
            </w:pPr>
            <w:r>
              <w:rPr>
                <w:sz w:val="20"/>
                <w:szCs w:val="20"/>
              </w:rPr>
              <w:t xml:space="preserve">7. Quality of writing </w:t>
            </w:r>
          </w:p>
          <w:p w14:paraId="38758F83" w14:textId="77777777" w:rsidR="007E702C" w:rsidRDefault="007E702C" w:rsidP="007E702C">
            <w:pPr>
              <w:pStyle w:val="Default"/>
              <w:rPr>
                <w:sz w:val="20"/>
                <w:szCs w:val="20"/>
              </w:rPr>
            </w:pPr>
          </w:p>
        </w:tc>
        <w:tc>
          <w:tcPr>
            <w:tcW w:w="2394" w:type="dxa"/>
          </w:tcPr>
          <w:p w14:paraId="110F57A7" w14:textId="09F305A3" w:rsidR="007E702C" w:rsidRDefault="001C2C4C" w:rsidP="001C2C4C">
            <w:pPr>
              <w:jc w:val="center"/>
            </w:pPr>
            <w:r>
              <w:t>50%</w:t>
            </w:r>
          </w:p>
        </w:tc>
        <w:tc>
          <w:tcPr>
            <w:tcW w:w="2394" w:type="dxa"/>
          </w:tcPr>
          <w:p w14:paraId="14A26AF3" w14:textId="4B2BE999" w:rsidR="007E702C" w:rsidRDefault="001C2C4C" w:rsidP="001C2C4C">
            <w:pPr>
              <w:jc w:val="center"/>
            </w:pPr>
            <w:r>
              <w:t>50%</w:t>
            </w:r>
          </w:p>
        </w:tc>
        <w:tc>
          <w:tcPr>
            <w:tcW w:w="2394" w:type="dxa"/>
          </w:tcPr>
          <w:p w14:paraId="35EDB87B" w14:textId="77777777" w:rsidR="007E702C" w:rsidRDefault="007E702C" w:rsidP="001C2C4C">
            <w:pPr>
              <w:jc w:val="center"/>
            </w:pPr>
          </w:p>
        </w:tc>
      </w:tr>
    </w:tbl>
    <w:p w14:paraId="391BF854" w14:textId="77777777" w:rsidR="00E66374" w:rsidRPr="00B5269A" w:rsidRDefault="00E66374" w:rsidP="00B5269A"/>
    <w:sectPr w:rsidR="00E66374" w:rsidRPr="00B52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37CDF"/>
    <w:multiLevelType w:val="multilevel"/>
    <w:tmpl w:val="808E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792B2F80"/>
    <w:multiLevelType w:val="hybridMultilevel"/>
    <w:tmpl w:val="5A70F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9A"/>
    <w:rsid w:val="000A10F9"/>
    <w:rsid w:val="000A6AF5"/>
    <w:rsid w:val="00164BD0"/>
    <w:rsid w:val="001C2C4C"/>
    <w:rsid w:val="003B021B"/>
    <w:rsid w:val="004E00A2"/>
    <w:rsid w:val="005864CC"/>
    <w:rsid w:val="006A1278"/>
    <w:rsid w:val="007E702C"/>
    <w:rsid w:val="008E42E2"/>
    <w:rsid w:val="00906A4C"/>
    <w:rsid w:val="0094639D"/>
    <w:rsid w:val="00A01100"/>
    <w:rsid w:val="00B5269A"/>
    <w:rsid w:val="00BB0EB5"/>
    <w:rsid w:val="00C430BF"/>
    <w:rsid w:val="00C8589B"/>
    <w:rsid w:val="00DD07CD"/>
    <w:rsid w:val="00E10A9E"/>
    <w:rsid w:val="00E66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2E1E7"/>
  <w15:docId w15:val="{E4198F28-C8F6-4E0D-BBA1-EDCE6865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9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B5269A"/>
    <w:pPr>
      <w:ind w:left="720"/>
      <w:contextualSpacing/>
    </w:pPr>
  </w:style>
  <w:style w:type="character" w:styleId="Hyperlink">
    <w:name w:val="Hyperlink"/>
    <w:uiPriority w:val="99"/>
    <w:unhideWhenUsed/>
    <w:rsid w:val="00B5269A"/>
    <w:rPr>
      <w:color w:val="0000FF"/>
      <w:u w:val="single"/>
    </w:rPr>
  </w:style>
  <w:style w:type="paragraph" w:customStyle="1" w:styleId="Default">
    <w:name w:val="Default"/>
    <w:rsid w:val="00E10A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E4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2E2"/>
    <w:rPr>
      <w:rFonts w:ascii="Segoe UI" w:eastAsia="Times New Roman" w:hAnsi="Segoe UI" w:cs="Segoe UI"/>
      <w:sz w:val="18"/>
      <w:szCs w:val="18"/>
    </w:rPr>
  </w:style>
  <w:style w:type="table" w:styleId="TableGrid">
    <w:name w:val="Table Grid"/>
    <w:basedOn w:val="TableNormal"/>
    <w:uiPriority w:val="39"/>
    <w:rsid w:val="00E66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9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solomon@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Palasani-Minassians, Henrik</dc:creator>
  <cp:keywords/>
  <dc:description/>
  <cp:lastModifiedBy>Zepeda, Diana</cp:lastModifiedBy>
  <cp:revision>2</cp:revision>
  <cp:lastPrinted>2018-11-14T00:53:00Z</cp:lastPrinted>
  <dcterms:created xsi:type="dcterms:W3CDTF">2018-12-18T18:57:00Z</dcterms:created>
  <dcterms:modified xsi:type="dcterms:W3CDTF">2018-12-18T18:57:00Z</dcterms:modified>
</cp:coreProperties>
</file>