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68" w:rsidRPr="00515856" w:rsidRDefault="00BF4E71" w:rsidP="004F6B68">
      <w:pPr>
        <w:jc w:val="center"/>
        <w:rPr>
          <w:rFonts w:ascii="Times New Roman" w:hAnsi="Times New Roman" w:cs="Times New Roman"/>
          <w:b/>
          <w:smallCaps/>
          <w:sz w:val="22"/>
          <w:szCs w:val="22"/>
        </w:rPr>
      </w:pPr>
      <w:r w:rsidRPr="00515856">
        <w:rPr>
          <w:rFonts w:ascii="Times New Roman" w:hAnsi="Times New Roman" w:cs="Times New Roman"/>
          <w:b/>
          <w:smallCaps/>
          <w:sz w:val="22"/>
          <w:szCs w:val="22"/>
        </w:rPr>
        <w:t xml:space="preserve">GWS </w:t>
      </w:r>
      <w:r w:rsidR="004F6B68" w:rsidRPr="00515856">
        <w:rPr>
          <w:rFonts w:ascii="Times New Roman" w:hAnsi="Times New Roman" w:cs="Times New Roman"/>
          <w:b/>
          <w:smallCaps/>
          <w:sz w:val="22"/>
          <w:szCs w:val="22"/>
        </w:rPr>
        <w:t>Assessment 2017-2018</w:t>
      </w:r>
    </w:p>
    <w:p w:rsidR="00831B91" w:rsidRPr="00515856" w:rsidRDefault="00831B91" w:rsidP="00831B91">
      <w:pPr>
        <w:pStyle w:val="NoSpacing"/>
        <w:jc w:val="center"/>
        <w:rPr>
          <w:rFonts w:ascii="Times New Roman" w:hAnsi="Times New Roman" w:cs="Times New Roman"/>
          <w:sz w:val="22"/>
          <w:szCs w:val="22"/>
        </w:rPr>
      </w:pPr>
      <w:r w:rsidRPr="00515856">
        <w:rPr>
          <w:rFonts w:ascii="Times New Roman" w:hAnsi="Times New Roman" w:cs="Times New Roman"/>
          <w:sz w:val="22"/>
          <w:szCs w:val="22"/>
        </w:rPr>
        <w:t>Prepared by Khanum Shaikh</w:t>
      </w:r>
    </w:p>
    <w:p w:rsidR="00831B91" w:rsidRPr="00515856" w:rsidRDefault="00831B91" w:rsidP="00831B91">
      <w:pPr>
        <w:pStyle w:val="NoSpacing"/>
        <w:jc w:val="center"/>
        <w:rPr>
          <w:rFonts w:ascii="Times New Roman" w:hAnsi="Times New Roman" w:cs="Times New Roman"/>
          <w:b/>
          <w:sz w:val="22"/>
          <w:szCs w:val="22"/>
        </w:rPr>
      </w:pPr>
    </w:p>
    <w:p w:rsidR="00831B91" w:rsidRPr="00515856" w:rsidRDefault="00831B91" w:rsidP="00831B91">
      <w:pPr>
        <w:pStyle w:val="NoSpacing"/>
        <w:jc w:val="center"/>
        <w:rPr>
          <w:rFonts w:ascii="Times New Roman" w:hAnsi="Times New Roman" w:cs="Times New Roman"/>
          <w:b/>
          <w:sz w:val="22"/>
          <w:szCs w:val="22"/>
        </w:rPr>
      </w:pPr>
    </w:p>
    <w:p w:rsidR="003434CE" w:rsidRPr="00515856" w:rsidRDefault="003434CE" w:rsidP="00831B91">
      <w:pPr>
        <w:pStyle w:val="NoSpacing"/>
        <w:rPr>
          <w:rFonts w:ascii="Times New Roman" w:hAnsi="Times New Roman" w:cs="Times New Roman"/>
          <w:b/>
          <w:sz w:val="22"/>
          <w:szCs w:val="22"/>
        </w:rPr>
      </w:pPr>
      <w:r w:rsidRPr="00515856">
        <w:rPr>
          <w:rFonts w:ascii="Times New Roman" w:hAnsi="Times New Roman" w:cs="Times New Roman"/>
          <w:b/>
          <w:sz w:val="22"/>
          <w:szCs w:val="22"/>
        </w:rPr>
        <w:t>Last Years’ Assessment Conclusion</w:t>
      </w:r>
      <w:r w:rsidR="00752BF4" w:rsidRPr="00515856">
        <w:rPr>
          <w:rFonts w:ascii="Times New Roman" w:hAnsi="Times New Roman" w:cs="Times New Roman"/>
          <w:b/>
          <w:sz w:val="22"/>
          <w:szCs w:val="22"/>
        </w:rPr>
        <w:t xml:space="preserve"> (</w:t>
      </w:r>
      <w:r w:rsidR="00EF3AAD" w:rsidRPr="00515856">
        <w:rPr>
          <w:rFonts w:ascii="Times New Roman" w:hAnsi="Times New Roman" w:cs="Times New Roman"/>
          <w:b/>
          <w:sz w:val="22"/>
          <w:szCs w:val="22"/>
        </w:rPr>
        <w:t>2016-2017)</w:t>
      </w:r>
    </w:p>
    <w:p w:rsidR="003434CE" w:rsidRPr="00515856" w:rsidRDefault="003434CE" w:rsidP="00752BF4">
      <w:pPr>
        <w:pStyle w:val="ListParagraph"/>
        <w:numPr>
          <w:ilvl w:val="0"/>
          <w:numId w:val="1"/>
        </w:numPr>
        <w:autoSpaceDE w:val="0"/>
        <w:autoSpaceDN w:val="0"/>
        <w:adjustRightInd w:val="0"/>
        <w:rPr>
          <w:rFonts w:eastAsia="Calibri"/>
          <w:sz w:val="22"/>
          <w:szCs w:val="22"/>
        </w:rPr>
      </w:pPr>
      <w:r w:rsidRPr="00515856">
        <w:rPr>
          <w:rFonts w:eastAsia="Calibri"/>
          <w:sz w:val="22"/>
          <w:szCs w:val="22"/>
        </w:rPr>
        <w:t>First, our departmental learning outcomes are quite broad and difficult to measure. If SLOs are meant to be measurable, then this assessment reveals the need to simplify our departmental SLOs in the future. This issue will be discussed in su</w:t>
      </w:r>
      <w:r w:rsidR="00752BF4" w:rsidRPr="00515856">
        <w:rPr>
          <w:rFonts w:eastAsia="Calibri"/>
          <w:sz w:val="22"/>
          <w:szCs w:val="22"/>
        </w:rPr>
        <w:t>bsequent departmental meetings.</w:t>
      </w:r>
    </w:p>
    <w:p w:rsidR="00EF3AAD" w:rsidRPr="00515856" w:rsidRDefault="00EF3AAD" w:rsidP="00EF3AAD">
      <w:pPr>
        <w:pStyle w:val="ListParagraph"/>
        <w:numPr>
          <w:ilvl w:val="0"/>
          <w:numId w:val="1"/>
        </w:numPr>
        <w:autoSpaceDE w:val="0"/>
        <w:autoSpaceDN w:val="0"/>
        <w:adjustRightInd w:val="0"/>
        <w:rPr>
          <w:rFonts w:eastAsia="Calibri"/>
          <w:sz w:val="22"/>
          <w:szCs w:val="22"/>
        </w:rPr>
      </w:pPr>
      <w:r w:rsidRPr="00515856">
        <w:rPr>
          <w:rFonts w:eastAsia="Calibri"/>
          <w:sz w:val="22"/>
          <w:szCs w:val="22"/>
        </w:rPr>
        <w:t xml:space="preserve">Second, our departmental SLOs are not always aligned with GWS course SLOs. Indeed, many of our full and part-time </w:t>
      </w:r>
      <w:proofErr w:type="gramStart"/>
      <w:r w:rsidRPr="00515856">
        <w:rPr>
          <w:rFonts w:eastAsia="Calibri"/>
          <w:sz w:val="22"/>
          <w:szCs w:val="22"/>
        </w:rPr>
        <w:t>faculty remain</w:t>
      </w:r>
      <w:proofErr w:type="gramEnd"/>
      <w:r w:rsidRPr="00515856">
        <w:rPr>
          <w:rFonts w:eastAsia="Calibri"/>
          <w:sz w:val="22"/>
          <w:szCs w:val="22"/>
        </w:rPr>
        <w:t xml:space="preserve"> unaware that each course should attempt to align with some of the departmental SLOs. As a department, we need to articulate these internal connections between specific course and department SLOs more clearly. This issue is of particular concern for our part-time </w:t>
      </w:r>
      <w:proofErr w:type="gramStart"/>
      <w:r w:rsidRPr="00515856">
        <w:rPr>
          <w:rFonts w:eastAsia="Calibri"/>
          <w:sz w:val="22"/>
          <w:szCs w:val="22"/>
        </w:rPr>
        <w:t>faculty who carry</w:t>
      </w:r>
      <w:proofErr w:type="gramEnd"/>
      <w:r w:rsidRPr="00515856">
        <w:rPr>
          <w:rFonts w:eastAsia="Calibri"/>
          <w:sz w:val="22"/>
          <w:szCs w:val="22"/>
        </w:rPr>
        <w:t xml:space="preserve"> a large portion of our courses and receive little guidance as they pick up courses to teach each semester. </w:t>
      </w:r>
    </w:p>
    <w:p w:rsidR="00752BF4" w:rsidRPr="00515856" w:rsidRDefault="00EF3AAD" w:rsidP="00752BF4">
      <w:pPr>
        <w:pStyle w:val="ListParagraph"/>
        <w:numPr>
          <w:ilvl w:val="0"/>
          <w:numId w:val="1"/>
        </w:numPr>
        <w:autoSpaceDE w:val="0"/>
        <w:autoSpaceDN w:val="0"/>
        <w:adjustRightInd w:val="0"/>
        <w:rPr>
          <w:rFonts w:eastAsia="Calibri"/>
          <w:sz w:val="22"/>
          <w:szCs w:val="22"/>
        </w:rPr>
      </w:pPr>
      <w:r w:rsidRPr="00515856">
        <w:rPr>
          <w:rFonts w:eastAsia="Calibri"/>
          <w:sz w:val="22"/>
          <w:szCs w:val="22"/>
        </w:rPr>
        <w:t xml:space="preserve">The third issue emerges from the second one. </w:t>
      </w:r>
      <w:r w:rsidR="00752BF4" w:rsidRPr="00515856">
        <w:rPr>
          <w:rFonts w:eastAsia="Calibri"/>
          <w:sz w:val="22"/>
          <w:szCs w:val="22"/>
        </w:rPr>
        <w:t>At the departmental level there is lack of clarity on which SLOS should be addressed in which courses. Even if we decide not to closely tie individual courses to specific SLOs (to allow flexibility in teaching styles for different teachers), this issue merits further discussion as to whether it is useful to create loose guidelines delineating which course should seek to fulfill which department SLOs.</w:t>
      </w:r>
    </w:p>
    <w:p w:rsidR="00EF3AAD" w:rsidRPr="00515856" w:rsidRDefault="00EF3AAD" w:rsidP="00EF3AAD">
      <w:pPr>
        <w:pStyle w:val="ListParagraph"/>
        <w:numPr>
          <w:ilvl w:val="0"/>
          <w:numId w:val="1"/>
        </w:numPr>
        <w:autoSpaceDE w:val="0"/>
        <w:autoSpaceDN w:val="0"/>
        <w:adjustRightInd w:val="0"/>
        <w:rPr>
          <w:rFonts w:eastAsia="Calibri"/>
          <w:sz w:val="22"/>
          <w:szCs w:val="22"/>
        </w:rPr>
      </w:pPr>
      <w:r w:rsidRPr="00515856">
        <w:rPr>
          <w:rFonts w:eastAsia="Calibri"/>
          <w:sz w:val="22"/>
          <w:szCs w:val="22"/>
        </w:rPr>
        <w:t>Fourth, this assessment reveals a deeper pedagogical issue that may be reflective</w:t>
      </w:r>
    </w:p>
    <w:p w:rsidR="00EF3AAD" w:rsidRPr="00515856" w:rsidRDefault="00EF3AAD" w:rsidP="00EF3AAD">
      <w:pPr>
        <w:autoSpaceDE w:val="0"/>
        <w:autoSpaceDN w:val="0"/>
        <w:adjustRightInd w:val="0"/>
        <w:ind w:left="720"/>
        <w:rPr>
          <w:rFonts w:ascii="Times New Roman" w:eastAsia="Calibri" w:hAnsi="Times New Roman" w:cs="Times New Roman"/>
          <w:sz w:val="22"/>
          <w:szCs w:val="22"/>
        </w:rPr>
      </w:pPr>
      <w:proofErr w:type="gramStart"/>
      <w:r w:rsidRPr="00515856">
        <w:rPr>
          <w:rFonts w:ascii="Times New Roman" w:eastAsia="Calibri" w:hAnsi="Times New Roman" w:cs="Times New Roman"/>
          <w:sz w:val="22"/>
          <w:szCs w:val="22"/>
        </w:rPr>
        <w:t>of</w:t>
      </w:r>
      <w:proofErr w:type="gramEnd"/>
      <w:r w:rsidRPr="00515856">
        <w:rPr>
          <w:rFonts w:ascii="Times New Roman" w:eastAsia="Calibri" w:hAnsi="Times New Roman" w:cs="Times New Roman"/>
          <w:sz w:val="22"/>
          <w:szCs w:val="22"/>
        </w:rPr>
        <w:t xml:space="preserve"> a broader trend in GWS teaching. Do we as faculty emphasize the development of clearly identified skills (e.g. defining the issues, explaining a concept, giving an example, articulating an analysis, etc.) in our courses? In other words, as GWS teachers are we mostly succeeding in building student knowledge of the content in our field, or are we also consciously working toward teaching students how to grasp, assess and analyze materials? If not, then either we must consider revising our SLOs, or our teaching practices. </w:t>
      </w:r>
    </w:p>
    <w:p w:rsidR="00EF3AAD" w:rsidRPr="00515856" w:rsidRDefault="00EF3AAD" w:rsidP="00EF3AAD">
      <w:pPr>
        <w:pStyle w:val="ListParagraph"/>
        <w:autoSpaceDE w:val="0"/>
        <w:autoSpaceDN w:val="0"/>
        <w:adjustRightInd w:val="0"/>
        <w:rPr>
          <w:rFonts w:eastAsia="Calibri"/>
          <w:sz w:val="22"/>
          <w:szCs w:val="22"/>
        </w:rPr>
      </w:pPr>
    </w:p>
    <w:p w:rsidR="00831B91" w:rsidRPr="00515856" w:rsidRDefault="00831B91" w:rsidP="00831B91">
      <w:pPr>
        <w:autoSpaceDE w:val="0"/>
        <w:autoSpaceDN w:val="0"/>
        <w:adjustRightInd w:val="0"/>
        <w:rPr>
          <w:rFonts w:ascii="Times New Roman" w:eastAsia="Calibri" w:hAnsi="Times New Roman" w:cs="Times New Roman"/>
          <w:sz w:val="22"/>
          <w:szCs w:val="22"/>
        </w:rPr>
      </w:pPr>
    </w:p>
    <w:p w:rsidR="001A5A7B" w:rsidRPr="00515856" w:rsidRDefault="00831B91" w:rsidP="001A5A7B">
      <w:pPr>
        <w:autoSpaceDE w:val="0"/>
        <w:autoSpaceDN w:val="0"/>
        <w:adjustRightInd w:val="0"/>
        <w:rPr>
          <w:rFonts w:ascii="Times New Roman" w:eastAsia="Calibri" w:hAnsi="Times New Roman" w:cs="Times New Roman"/>
          <w:sz w:val="22"/>
          <w:szCs w:val="22"/>
        </w:rPr>
      </w:pPr>
      <w:r w:rsidRPr="00515856">
        <w:rPr>
          <w:rFonts w:ascii="Times New Roman" w:eastAsia="Calibri" w:hAnsi="Times New Roman" w:cs="Times New Roman"/>
          <w:sz w:val="22"/>
          <w:szCs w:val="22"/>
        </w:rPr>
        <w:t>Based on the</w:t>
      </w:r>
      <w:r w:rsidR="00936A8C" w:rsidRPr="00515856">
        <w:rPr>
          <w:rFonts w:ascii="Times New Roman" w:eastAsia="Calibri" w:hAnsi="Times New Roman" w:cs="Times New Roman"/>
          <w:sz w:val="22"/>
          <w:szCs w:val="22"/>
        </w:rPr>
        <w:t xml:space="preserve"> above conclusions </w:t>
      </w:r>
      <w:r w:rsidRPr="00515856">
        <w:rPr>
          <w:rFonts w:ascii="Times New Roman" w:eastAsia="Calibri" w:hAnsi="Times New Roman" w:cs="Times New Roman"/>
          <w:sz w:val="22"/>
          <w:szCs w:val="22"/>
        </w:rPr>
        <w:t xml:space="preserve">we decided that the first step is to simplify the </w:t>
      </w:r>
      <w:r w:rsidR="00936A8C" w:rsidRPr="00515856">
        <w:rPr>
          <w:rFonts w:ascii="Times New Roman" w:eastAsia="Calibri" w:hAnsi="Times New Roman" w:cs="Times New Roman"/>
          <w:sz w:val="22"/>
          <w:szCs w:val="22"/>
        </w:rPr>
        <w:t xml:space="preserve">GWS </w:t>
      </w:r>
      <w:r w:rsidR="001A5A7B" w:rsidRPr="00515856">
        <w:rPr>
          <w:rFonts w:ascii="Times New Roman" w:eastAsia="Calibri" w:hAnsi="Times New Roman" w:cs="Times New Roman"/>
          <w:sz w:val="22"/>
          <w:szCs w:val="22"/>
        </w:rPr>
        <w:t>Student Learning Outcomes</w:t>
      </w:r>
      <w:r w:rsidR="00936A8C" w:rsidRPr="00515856">
        <w:rPr>
          <w:rFonts w:ascii="Times New Roman" w:eastAsia="Calibri" w:hAnsi="Times New Roman" w:cs="Times New Roman"/>
          <w:sz w:val="22"/>
          <w:szCs w:val="22"/>
        </w:rPr>
        <w:t xml:space="preserve">. </w:t>
      </w:r>
      <w:r w:rsidRPr="00515856">
        <w:rPr>
          <w:rFonts w:ascii="Times New Roman" w:eastAsia="Calibri" w:hAnsi="Times New Roman" w:cs="Times New Roman"/>
          <w:sz w:val="22"/>
          <w:szCs w:val="22"/>
        </w:rPr>
        <w:t xml:space="preserve">We agreed </w:t>
      </w:r>
      <w:r w:rsidR="00936A8C" w:rsidRPr="00515856">
        <w:rPr>
          <w:rFonts w:ascii="Times New Roman" w:eastAsia="Calibri" w:hAnsi="Times New Roman" w:cs="Times New Roman"/>
          <w:sz w:val="22"/>
          <w:szCs w:val="22"/>
        </w:rPr>
        <w:t>that while our current SLOs are to</w:t>
      </w:r>
      <w:r w:rsidR="001A5A7B" w:rsidRPr="00515856">
        <w:rPr>
          <w:rFonts w:ascii="Times New Roman" w:eastAsia="Calibri" w:hAnsi="Times New Roman" w:cs="Times New Roman"/>
          <w:sz w:val="22"/>
          <w:szCs w:val="22"/>
        </w:rPr>
        <w:t>o</w:t>
      </w:r>
      <w:r w:rsidR="00936A8C" w:rsidRPr="00515856">
        <w:rPr>
          <w:rFonts w:ascii="Times New Roman" w:eastAsia="Calibri" w:hAnsi="Times New Roman" w:cs="Times New Roman"/>
          <w:sz w:val="22"/>
          <w:szCs w:val="22"/>
        </w:rPr>
        <w:t xml:space="preserve"> broad, they </w:t>
      </w:r>
      <w:r w:rsidRPr="00515856">
        <w:rPr>
          <w:rFonts w:ascii="Times New Roman" w:eastAsia="Calibri" w:hAnsi="Times New Roman" w:cs="Times New Roman"/>
          <w:sz w:val="22"/>
          <w:szCs w:val="22"/>
        </w:rPr>
        <w:t>represent our departments</w:t>
      </w:r>
      <w:r w:rsidR="00490D69" w:rsidRPr="00515856">
        <w:rPr>
          <w:rFonts w:ascii="Times New Roman" w:eastAsia="Calibri" w:hAnsi="Times New Roman" w:cs="Times New Roman"/>
          <w:sz w:val="22"/>
          <w:szCs w:val="22"/>
        </w:rPr>
        <w:t xml:space="preserve"> theoretical and pedagogical</w:t>
      </w:r>
      <w:r w:rsidRPr="00515856">
        <w:rPr>
          <w:rFonts w:ascii="Times New Roman" w:eastAsia="Calibri" w:hAnsi="Times New Roman" w:cs="Times New Roman"/>
          <w:sz w:val="22"/>
          <w:szCs w:val="22"/>
        </w:rPr>
        <w:t xml:space="preserve"> commitments</w:t>
      </w:r>
      <w:r w:rsidR="001A5A7B" w:rsidRPr="00515856">
        <w:rPr>
          <w:rFonts w:ascii="Times New Roman" w:eastAsia="Calibri" w:hAnsi="Times New Roman" w:cs="Times New Roman"/>
          <w:sz w:val="22"/>
          <w:szCs w:val="22"/>
        </w:rPr>
        <w:t>, and rather than discarding them all together we will move parts of the existing SLOs into our</w:t>
      </w:r>
      <w:r w:rsidRPr="00515856">
        <w:rPr>
          <w:rFonts w:ascii="Times New Roman" w:eastAsia="Calibri" w:hAnsi="Times New Roman" w:cs="Times New Roman"/>
          <w:sz w:val="22"/>
          <w:szCs w:val="22"/>
        </w:rPr>
        <w:t xml:space="preserve"> Program</w:t>
      </w:r>
      <w:r w:rsidR="0004512B" w:rsidRPr="00515856">
        <w:rPr>
          <w:rFonts w:ascii="Times New Roman" w:eastAsia="Calibri" w:hAnsi="Times New Roman" w:cs="Times New Roman"/>
          <w:sz w:val="22"/>
          <w:szCs w:val="22"/>
        </w:rPr>
        <w:t xml:space="preserve"> Education Goals</w:t>
      </w:r>
      <w:r w:rsidRPr="00515856">
        <w:rPr>
          <w:rFonts w:ascii="Times New Roman" w:eastAsia="Calibri" w:hAnsi="Times New Roman" w:cs="Times New Roman"/>
          <w:sz w:val="22"/>
          <w:szCs w:val="22"/>
        </w:rPr>
        <w:t>.</w:t>
      </w:r>
      <w:r w:rsidR="00E013DE" w:rsidRPr="00515856">
        <w:rPr>
          <w:rFonts w:ascii="Times New Roman" w:eastAsia="Calibri" w:hAnsi="Times New Roman" w:cs="Times New Roman"/>
          <w:sz w:val="22"/>
          <w:szCs w:val="22"/>
        </w:rPr>
        <w:t xml:space="preserve"> </w:t>
      </w:r>
      <w:r w:rsidR="001A5A7B" w:rsidRPr="00515856">
        <w:rPr>
          <w:rFonts w:ascii="Times New Roman" w:eastAsia="Calibri" w:hAnsi="Times New Roman" w:cs="Times New Roman"/>
          <w:sz w:val="22"/>
          <w:szCs w:val="22"/>
        </w:rPr>
        <w:t xml:space="preserve">We also decided to update our SLO matrix because even though we have added new elective courses </w:t>
      </w:r>
      <w:r w:rsidR="009D1679">
        <w:rPr>
          <w:rFonts w:ascii="Times New Roman" w:eastAsia="Calibri" w:hAnsi="Times New Roman" w:cs="Times New Roman"/>
          <w:sz w:val="22"/>
          <w:szCs w:val="22"/>
        </w:rPr>
        <w:t xml:space="preserve">to our curriculum our matrix was not </w:t>
      </w:r>
      <w:bookmarkStart w:id="0" w:name="_GoBack"/>
      <w:bookmarkEnd w:id="0"/>
      <w:r w:rsidR="001A5A7B" w:rsidRPr="00515856">
        <w:rPr>
          <w:rFonts w:ascii="Times New Roman" w:eastAsia="Calibri" w:hAnsi="Times New Roman" w:cs="Times New Roman"/>
          <w:sz w:val="22"/>
          <w:szCs w:val="22"/>
        </w:rPr>
        <w:t xml:space="preserve">updated in the last 10 years to </w:t>
      </w:r>
      <w:r w:rsidR="00755592">
        <w:rPr>
          <w:rFonts w:ascii="Times New Roman" w:eastAsia="Calibri" w:hAnsi="Times New Roman" w:cs="Times New Roman"/>
          <w:sz w:val="22"/>
          <w:szCs w:val="22"/>
        </w:rPr>
        <w:t xml:space="preserve">reflect these </w:t>
      </w:r>
      <w:r w:rsidR="001A5A7B" w:rsidRPr="00515856">
        <w:rPr>
          <w:rFonts w:ascii="Times New Roman" w:eastAsia="Calibri" w:hAnsi="Times New Roman" w:cs="Times New Roman"/>
          <w:sz w:val="22"/>
          <w:szCs w:val="22"/>
        </w:rPr>
        <w:t>changes.</w:t>
      </w:r>
    </w:p>
    <w:p w:rsidR="001A5A7B" w:rsidRPr="00515856" w:rsidRDefault="001A5A7B" w:rsidP="001A5A7B">
      <w:pPr>
        <w:autoSpaceDE w:val="0"/>
        <w:autoSpaceDN w:val="0"/>
        <w:adjustRightInd w:val="0"/>
        <w:rPr>
          <w:rFonts w:ascii="Times New Roman" w:eastAsia="Calibri" w:hAnsi="Times New Roman" w:cs="Times New Roman"/>
          <w:sz w:val="22"/>
          <w:szCs w:val="22"/>
        </w:rPr>
      </w:pPr>
    </w:p>
    <w:p w:rsidR="00490D69" w:rsidRPr="00515856" w:rsidRDefault="00515856" w:rsidP="001A5A7B">
      <w:pPr>
        <w:autoSpaceDE w:val="0"/>
        <w:autoSpaceDN w:val="0"/>
        <w:adjustRightInd w:val="0"/>
        <w:rPr>
          <w:rFonts w:ascii="Times New Roman" w:eastAsia="Calibri" w:hAnsi="Times New Roman" w:cs="Times New Roman"/>
          <w:sz w:val="22"/>
          <w:szCs w:val="22"/>
        </w:rPr>
      </w:pPr>
      <w:r w:rsidRPr="00515856">
        <w:rPr>
          <w:rFonts w:ascii="Times New Roman" w:eastAsia="Calibri" w:hAnsi="Times New Roman" w:cs="Times New Roman"/>
          <w:sz w:val="22"/>
          <w:szCs w:val="22"/>
        </w:rPr>
        <w:t>In this report you will find</w:t>
      </w:r>
      <w:r w:rsidR="00E013DE" w:rsidRPr="00515856">
        <w:rPr>
          <w:rFonts w:ascii="Times New Roman" w:eastAsia="Calibri" w:hAnsi="Times New Roman" w:cs="Times New Roman"/>
          <w:sz w:val="22"/>
          <w:szCs w:val="22"/>
        </w:rPr>
        <w:t xml:space="preserve"> revised depa</w:t>
      </w:r>
      <w:r w:rsidRPr="00515856">
        <w:rPr>
          <w:rFonts w:ascii="Times New Roman" w:eastAsia="Calibri" w:hAnsi="Times New Roman" w:cs="Times New Roman"/>
          <w:sz w:val="22"/>
          <w:szCs w:val="22"/>
        </w:rPr>
        <w:t xml:space="preserve">rtmental SLOs, </w:t>
      </w:r>
      <w:r w:rsidR="00E013DE" w:rsidRPr="00515856">
        <w:rPr>
          <w:rFonts w:ascii="Times New Roman" w:eastAsia="Calibri" w:hAnsi="Times New Roman" w:cs="Times New Roman"/>
          <w:sz w:val="22"/>
          <w:szCs w:val="22"/>
        </w:rPr>
        <w:t>a matrix linking specif</w:t>
      </w:r>
      <w:r w:rsidR="00B52534" w:rsidRPr="00515856">
        <w:rPr>
          <w:rFonts w:ascii="Times New Roman" w:eastAsia="Calibri" w:hAnsi="Times New Roman" w:cs="Times New Roman"/>
          <w:sz w:val="22"/>
          <w:szCs w:val="22"/>
        </w:rPr>
        <w:t>ic courses to the</w:t>
      </w:r>
      <w:r w:rsidRPr="00515856">
        <w:rPr>
          <w:rFonts w:ascii="Times New Roman" w:eastAsia="Calibri" w:hAnsi="Times New Roman" w:cs="Times New Roman"/>
          <w:sz w:val="22"/>
          <w:szCs w:val="22"/>
        </w:rPr>
        <w:t xml:space="preserve"> new SLOs, and</w:t>
      </w:r>
      <w:r w:rsidR="001A5A7B" w:rsidRPr="00515856">
        <w:rPr>
          <w:rFonts w:ascii="Times New Roman" w:eastAsia="Calibri" w:hAnsi="Times New Roman" w:cs="Times New Roman"/>
          <w:sz w:val="22"/>
          <w:szCs w:val="22"/>
        </w:rPr>
        <w:t xml:space="preserve"> </w:t>
      </w:r>
      <w:r w:rsidRPr="00515856">
        <w:rPr>
          <w:rFonts w:ascii="Times New Roman" w:eastAsia="Calibri" w:hAnsi="Times New Roman" w:cs="Times New Roman"/>
          <w:sz w:val="22"/>
          <w:szCs w:val="22"/>
        </w:rPr>
        <w:t>future assessment priorities.</w:t>
      </w:r>
    </w:p>
    <w:p w:rsidR="00490D69" w:rsidRPr="00515856" w:rsidRDefault="00490D69" w:rsidP="00831B91">
      <w:pPr>
        <w:autoSpaceDE w:val="0"/>
        <w:autoSpaceDN w:val="0"/>
        <w:adjustRightInd w:val="0"/>
        <w:rPr>
          <w:rFonts w:ascii="Times New Roman" w:eastAsia="Calibri" w:hAnsi="Times New Roman" w:cs="Times New Roman"/>
          <w:sz w:val="22"/>
          <w:szCs w:val="22"/>
        </w:rPr>
      </w:pPr>
    </w:p>
    <w:p w:rsidR="00BF4E71" w:rsidRPr="00515856" w:rsidRDefault="00BF4E71" w:rsidP="003434CE">
      <w:pPr>
        <w:rPr>
          <w:rFonts w:ascii="Times New Roman" w:hAnsi="Times New Roman" w:cs="Times New Roman"/>
          <w:b/>
          <w:smallCaps/>
          <w:sz w:val="22"/>
          <w:szCs w:val="22"/>
        </w:rPr>
      </w:pPr>
    </w:p>
    <w:p w:rsidR="00E013DE" w:rsidRPr="00515856" w:rsidRDefault="00E013DE">
      <w:pPr>
        <w:rPr>
          <w:rFonts w:ascii="Times New Roman" w:hAnsi="Times New Roman" w:cs="Times New Roman"/>
          <w:b/>
          <w:smallCaps/>
          <w:sz w:val="22"/>
          <w:szCs w:val="22"/>
        </w:rPr>
      </w:pPr>
      <w:r w:rsidRPr="00515856">
        <w:rPr>
          <w:rFonts w:ascii="Times New Roman" w:hAnsi="Times New Roman" w:cs="Times New Roman"/>
          <w:b/>
          <w:smallCaps/>
          <w:sz w:val="22"/>
          <w:szCs w:val="22"/>
        </w:rPr>
        <w:br w:type="page"/>
      </w:r>
    </w:p>
    <w:p w:rsidR="00752BF4" w:rsidRPr="00515856" w:rsidRDefault="00752BF4" w:rsidP="00831B91">
      <w:pPr>
        <w:rPr>
          <w:rFonts w:ascii="Times New Roman" w:hAnsi="Times New Roman" w:cs="Times New Roman"/>
          <w:b/>
          <w:smallCaps/>
          <w:sz w:val="22"/>
          <w:szCs w:val="22"/>
        </w:rPr>
      </w:pPr>
    </w:p>
    <w:p w:rsidR="004F6B68" w:rsidRPr="00515856" w:rsidRDefault="004F6B68" w:rsidP="00831B91">
      <w:pPr>
        <w:pStyle w:val="NoSpacing"/>
        <w:rPr>
          <w:rFonts w:ascii="Times New Roman" w:hAnsi="Times New Roman" w:cs="Times New Roman"/>
          <w:b/>
          <w:sz w:val="28"/>
          <w:szCs w:val="2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15856">
        <w:rPr>
          <w:rFonts w:ascii="Times New Roman" w:hAnsi="Times New Roman" w:cs="Times New Roman"/>
          <w:b/>
          <w:sz w:val="28"/>
          <w:szCs w:val="2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Goals</w:t>
      </w:r>
      <w:r w:rsidR="003434CE" w:rsidRPr="00515856">
        <w:rPr>
          <w:rFonts w:ascii="Times New Roman" w:hAnsi="Times New Roman" w:cs="Times New Roman"/>
          <w:b/>
          <w:sz w:val="28"/>
          <w:szCs w:val="2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for 2017-2018 </w:t>
      </w:r>
      <w:proofErr w:type="gramStart"/>
      <w:r w:rsidR="003434CE" w:rsidRPr="00515856">
        <w:rPr>
          <w:rFonts w:ascii="Times New Roman" w:hAnsi="Times New Roman" w:cs="Times New Roman"/>
          <w:b/>
          <w:sz w:val="28"/>
          <w:szCs w:val="2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Assessment</w:t>
      </w:r>
      <w:proofErr w:type="gramEnd"/>
      <w:r w:rsidR="00831B91" w:rsidRPr="00515856">
        <w:rPr>
          <w:rFonts w:ascii="Times New Roman" w:hAnsi="Times New Roman" w:cs="Times New Roman"/>
          <w:b/>
          <w:sz w:val="28"/>
          <w:szCs w:val="2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of Gender and Women’s Studies</w:t>
      </w:r>
    </w:p>
    <w:p w:rsidR="00515856" w:rsidRPr="00515856" w:rsidRDefault="00515856" w:rsidP="00831B91">
      <w:pPr>
        <w:pStyle w:val="NoSpacing"/>
        <w:rPr>
          <w:rFonts w:ascii="Times New Roman" w:hAnsi="Times New Roman" w:cs="Times New Roman"/>
          <w:b/>
          <w:sz w:val="22"/>
          <w:szCs w:val="2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F4E71" w:rsidRPr="00515856" w:rsidRDefault="00EF3AAD" w:rsidP="00831B91">
      <w:pPr>
        <w:pStyle w:val="ListParagraph"/>
        <w:numPr>
          <w:ilvl w:val="0"/>
          <w:numId w:val="5"/>
        </w:numPr>
        <w:rPr>
          <w:sz w:val="22"/>
          <w:szCs w:val="22"/>
        </w:rPr>
      </w:pPr>
      <w:r w:rsidRPr="00515856">
        <w:rPr>
          <w:sz w:val="22"/>
          <w:szCs w:val="22"/>
        </w:rPr>
        <w:t>Simplify GWS Student Learning Outcomes</w:t>
      </w:r>
      <w:r w:rsidR="002A2FD3" w:rsidRPr="00515856">
        <w:rPr>
          <w:sz w:val="22"/>
          <w:szCs w:val="22"/>
        </w:rPr>
        <w:t>.</w:t>
      </w:r>
    </w:p>
    <w:p w:rsidR="004F6B68" w:rsidRPr="00515856" w:rsidRDefault="001A5A7B" w:rsidP="00831B91">
      <w:pPr>
        <w:pStyle w:val="ListParagraph"/>
        <w:numPr>
          <w:ilvl w:val="0"/>
          <w:numId w:val="5"/>
        </w:numPr>
        <w:rPr>
          <w:sz w:val="22"/>
          <w:szCs w:val="22"/>
        </w:rPr>
      </w:pPr>
      <w:r w:rsidRPr="00515856">
        <w:rPr>
          <w:sz w:val="22"/>
          <w:szCs w:val="22"/>
        </w:rPr>
        <w:t>Update the</w:t>
      </w:r>
      <w:r w:rsidR="004F6B68" w:rsidRPr="00515856">
        <w:rPr>
          <w:sz w:val="22"/>
          <w:szCs w:val="22"/>
        </w:rPr>
        <w:t xml:space="preserve"> matrix to show which courses </w:t>
      </w:r>
      <w:r w:rsidR="00BF4E71" w:rsidRPr="00515856">
        <w:rPr>
          <w:sz w:val="22"/>
          <w:szCs w:val="22"/>
        </w:rPr>
        <w:t>meet</w:t>
      </w:r>
      <w:r w:rsidR="004F6B68" w:rsidRPr="00515856">
        <w:rPr>
          <w:sz w:val="22"/>
          <w:szCs w:val="22"/>
        </w:rPr>
        <w:t xml:space="preserve"> </w:t>
      </w:r>
      <w:r w:rsidR="00BF4E71" w:rsidRPr="00515856">
        <w:rPr>
          <w:sz w:val="22"/>
          <w:szCs w:val="22"/>
        </w:rPr>
        <w:t>which SLO</w:t>
      </w:r>
      <w:r w:rsidRPr="00515856">
        <w:rPr>
          <w:sz w:val="22"/>
          <w:szCs w:val="22"/>
        </w:rPr>
        <w:t>s</w:t>
      </w:r>
      <w:r w:rsidR="004F6B68" w:rsidRPr="00515856">
        <w:rPr>
          <w:sz w:val="22"/>
          <w:szCs w:val="22"/>
        </w:rPr>
        <w:t xml:space="preserve"> and to what extent</w:t>
      </w:r>
      <w:r w:rsidR="002A2FD3" w:rsidRPr="00515856">
        <w:rPr>
          <w:sz w:val="22"/>
          <w:szCs w:val="22"/>
        </w:rPr>
        <w:t>.</w:t>
      </w:r>
    </w:p>
    <w:p w:rsidR="002A2FD3" w:rsidRPr="00515856" w:rsidRDefault="002A2FD3" w:rsidP="00831B91">
      <w:pPr>
        <w:pStyle w:val="ListParagraph"/>
        <w:numPr>
          <w:ilvl w:val="0"/>
          <w:numId w:val="5"/>
        </w:numPr>
        <w:rPr>
          <w:sz w:val="22"/>
          <w:szCs w:val="22"/>
        </w:rPr>
      </w:pPr>
      <w:r w:rsidRPr="00515856">
        <w:rPr>
          <w:sz w:val="22"/>
          <w:szCs w:val="22"/>
        </w:rPr>
        <w:t>Share with all faculty in the department.</w:t>
      </w:r>
    </w:p>
    <w:p w:rsidR="002A2FD3" w:rsidRPr="00515856" w:rsidRDefault="002A2FD3" w:rsidP="00831B91">
      <w:pPr>
        <w:jc w:val="center"/>
        <w:rPr>
          <w:rFonts w:ascii="Times New Roman" w:hAnsi="Times New Roman" w:cs="Times New Roman"/>
          <w:sz w:val="22"/>
          <w:szCs w:val="22"/>
        </w:rPr>
      </w:pPr>
    </w:p>
    <w:p w:rsidR="00515856" w:rsidRPr="00515856" w:rsidRDefault="00515856" w:rsidP="00831B91">
      <w:pPr>
        <w:jc w:val="center"/>
        <w:rPr>
          <w:rFonts w:ascii="Times New Roman" w:hAnsi="Times New Roman" w:cs="Times New Roman"/>
          <w:sz w:val="22"/>
          <w:szCs w:val="22"/>
        </w:rPr>
      </w:pPr>
    </w:p>
    <w:p w:rsidR="00831B91" w:rsidRPr="00515856" w:rsidRDefault="00831B91" w:rsidP="00E013DE">
      <w:pPr>
        <w:jc w:val="center"/>
        <w:rPr>
          <w:rFonts w:ascii="Times New Roman" w:hAnsi="Times New Roman" w:cs="Times New Roman"/>
          <w:b/>
          <w:sz w:val="22"/>
          <w:szCs w:val="22"/>
        </w:rPr>
      </w:pPr>
      <w:r w:rsidRPr="00515856">
        <w:rPr>
          <w:rFonts w:ascii="Times New Roman" w:hAnsi="Times New Roman" w:cs="Times New Roman"/>
          <w:b/>
          <w:sz w:val="22"/>
          <w:szCs w:val="22"/>
        </w:rPr>
        <w:t>I. Simplify GWS Student Learning Outcomes</w:t>
      </w:r>
    </w:p>
    <w:p w:rsidR="00831B91" w:rsidRPr="00515856" w:rsidRDefault="00831B91" w:rsidP="00831B91">
      <w:pPr>
        <w:pStyle w:val="NoSpacing"/>
        <w:rPr>
          <w:rFonts w:ascii="Times New Roman" w:hAnsi="Times New Roman" w:cs="Times New Roman"/>
          <w:b/>
          <w:sz w:val="22"/>
          <w:szCs w:val="22"/>
        </w:rPr>
      </w:pPr>
    </w:p>
    <w:p w:rsidR="00831B91" w:rsidRPr="00515856" w:rsidRDefault="00831B91" w:rsidP="00831B91">
      <w:pPr>
        <w:pStyle w:val="NoSpacing"/>
        <w:rPr>
          <w:rFonts w:ascii="Times New Roman" w:hAnsi="Times New Roman" w:cs="Times New Roman"/>
          <w:b/>
          <w:sz w:val="22"/>
          <w:szCs w:val="22"/>
        </w:rPr>
      </w:pPr>
      <w:r w:rsidRPr="00515856">
        <w:rPr>
          <w:rFonts w:ascii="Times New Roman" w:hAnsi="Times New Roman" w:cs="Times New Roman"/>
          <w:b/>
          <w:sz w:val="22"/>
          <w:szCs w:val="22"/>
        </w:rPr>
        <w:t>Existing GWS Student Learning Outcomes</w:t>
      </w:r>
    </w:p>
    <w:p w:rsidR="00831B91" w:rsidRPr="00515856" w:rsidRDefault="00831B91" w:rsidP="00831B91">
      <w:pPr>
        <w:numPr>
          <w:ilvl w:val="0"/>
          <w:numId w:val="2"/>
        </w:numPr>
        <w:autoSpaceDE w:val="0"/>
        <w:autoSpaceDN w:val="0"/>
        <w:adjustRightInd w:val="0"/>
        <w:rPr>
          <w:rFonts w:ascii="Times New Roman" w:eastAsia="Calibri" w:hAnsi="Times New Roman" w:cs="Times New Roman"/>
          <w:sz w:val="22"/>
          <w:szCs w:val="22"/>
        </w:rPr>
      </w:pPr>
      <w:r w:rsidRPr="00515856">
        <w:rPr>
          <w:rFonts w:ascii="Times New Roman" w:eastAsia="Calibri" w:hAnsi="Times New Roman" w:cs="Times New Roman"/>
          <w:sz w:val="22"/>
          <w:szCs w:val="22"/>
        </w:rPr>
        <w:t xml:space="preserve">Students will obtain a level of proficiency in the discipline of Gender and Women’s Studies, which can include but are not limited to knowledge of feminist movements, </w:t>
      </w:r>
      <w:proofErr w:type="spellStart"/>
      <w:r w:rsidRPr="00515856">
        <w:rPr>
          <w:rFonts w:ascii="Times New Roman" w:eastAsia="Calibri" w:hAnsi="Times New Roman" w:cs="Times New Roman"/>
          <w:sz w:val="22"/>
          <w:szCs w:val="22"/>
        </w:rPr>
        <w:t>intersectionality</w:t>
      </w:r>
      <w:proofErr w:type="spellEnd"/>
      <w:r w:rsidRPr="00515856">
        <w:rPr>
          <w:rFonts w:ascii="Times New Roman" w:eastAsia="Calibri" w:hAnsi="Times New Roman" w:cs="Times New Roman"/>
          <w:sz w:val="22"/>
          <w:szCs w:val="22"/>
        </w:rPr>
        <w:t>, queer and trans* studies, imperialism and colonialist, transnational feminisms, feminist theories and/or feminist research methods.</w:t>
      </w:r>
    </w:p>
    <w:p w:rsidR="00831B91" w:rsidRPr="00515856" w:rsidRDefault="00831B91" w:rsidP="00831B91">
      <w:pPr>
        <w:numPr>
          <w:ilvl w:val="0"/>
          <w:numId w:val="2"/>
        </w:numPr>
        <w:autoSpaceDE w:val="0"/>
        <w:autoSpaceDN w:val="0"/>
        <w:adjustRightInd w:val="0"/>
        <w:rPr>
          <w:rFonts w:ascii="Times New Roman" w:eastAsia="Calibri" w:hAnsi="Times New Roman" w:cs="Times New Roman"/>
          <w:sz w:val="22"/>
          <w:szCs w:val="22"/>
        </w:rPr>
      </w:pPr>
      <w:r w:rsidRPr="00515856">
        <w:rPr>
          <w:rFonts w:ascii="Times New Roman" w:eastAsia="Calibri" w:hAnsi="Times New Roman" w:cs="Times New Roman"/>
          <w:sz w:val="22"/>
          <w:szCs w:val="22"/>
        </w:rPr>
        <w:t>Students recognize the gender dimension of social, economic, cultural, historical, political, national and global inequalities, become familiar with a range of past and present major issues affecting women and men in society; and learn how to critically assess these issues from a feminist perspective.</w:t>
      </w:r>
    </w:p>
    <w:p w:rsidR="00831B91" w:rsidRPr="00515856" w:rsidRDefault="00831B91" w:rsidP="00831B91">
      <w:pPr>
        <w:numPr>
          <w:ilvl w:val="0"/>
          <w:numId w:val="2"/>
        </w:numPr>
        <w:autoSpaceDE w:val="0"/>
        <w:autoSpaceDN w:val="0"/>
        <w:adjustRightInd w:val="0"/>
        <w:rPr>
          <w:rFonts w:ascii="Times New Roman" w:eastAsia="Calibri" w:hAnsi="Times New Roman" w:cs="Times New Roman"/>
          <w:sz w:val="22"/>
          <w:szCs w:val="22"/>
        </w:rPr>
      </w:pPr>
      <w:r w:rsidRPr="00515856">
        <w:rPr>
          <w:rFonts w:ascii="Times New Roman" w:eastAsia="Calibri" w:hAnsi="Times New Roman" w:cs="Times New Roman"/>
          <w:sz w:val="22"/>
          <w:szCs w:val="22"/>
        </w:rPr>
        <w:t>Students articulate ethical propositions, demonstrate self-reflexivity about their ideas and social and political positions, and practice empathetic listening with each other and with the underprivileged that promote gender, race, class, sexual justice and democratic values.</w:t>
      </w:r>
    </w:p>
    <w:p w:rsidR="00831B91" w:rsidRPr="00515856" w:rsidRDefault="00831B91" w:rsidP="00831B91">
      <w:pPr>
        <w:numPr>
          <w:ilvl w:val="0"/>
          <w:numId w:val="2"/>
        </w:numPr>
        <w:autoSpaceDE w:val="0"/>
        <w:autoSpaceDN w:val="0"/>
        <w:adjustRightInd w:val="0"/>
        <w:rPr>
          <w:rFonts w:ascii="Times New Roman" w:eastAsia="Calibri" w:hAnsi="Times New Roman" w:cs="Times New Roman"/>
          <w:sz w:val="22"/>
          <w:szCs w:val="22"/>
        </w:rPr>
      </w:pPr>
      <w:r w:rsidRPr="00515856">
        <w:rPr>
          <w:rFonts w:ascii="Times New Roman" w:eastAsia="Calibri" w:hAnsi="Times New Roman" w:cs="Times New Roman"/>
          <w:sz w:val="22"/>
          <w:szCs w:val="22"/>
        </w:rPr>
        <w:t>Students develop a sense of agency grounded in the development of their skills in oral and written communication. They learn to express ideas effectively, tailoring arguments and presentation styles to audience and context.</w:t>
      </w:r>
    </w:p>
    <w:p w:rsidR="00831B91" w:rsidRPr="00515856" w:rsidRDefault="00831B91" w:rsidP="00831B91">
      <w:pPr>
        <w:numPr>
          <w:ilvl w:val="0"/>
          <w:numId w:val="2"/>
        </w:numPr>
        <w:autoSpaceDE w:val="0"/>
        <w:autoSpaceDN w:val="0"/>
        <w:adjustRightInd w:val="0"/>
        <w:rPr>
          <w:rFonts w:ascii="Times New Roman" w:eastAsia="Calibri" w:hAnsi="Times New Roman" w:cs="Times New Roman"/>
          <w:sz w:val="22"/>
          <w:szCs w:val="22"/>
        </w:rPr>
      </w:pPr>
      <w:r w:rsidRPr="00515856">
        <w:rPr>
          <w:rFonts w:ascii="Times New Roman" w:eastAsia="Calibri" w:hAnsi="Times New Roman" w:cs="Times New Roman"/>
          <w:sz w:val="22"/>
          <w:szCs w:val="22"/>
        </w:rPr>
        <w:t>Students obtain media literacy and information competency by learning how to use visual media and new technologies to assess, interpret and generate information from a variety of sources, including print and electronic media, film and video, and Internet technologies.</w:t>
      </w:r>
    </w:p>
    <w:p w:rsidR="00831B91" w:rsidRPr="00515856" w:rsidRDefault="00831B91" w:rsidP="00831B91">
      <w:pPr>
        <w:pStyle w:val="NoSpacing"/>
        <w:rPr>
          <w:rFonts w:ascii="Times New Roman" w:hAnsi="Times New Roman" w:cs="Times New Roman"/>
          <w:b/>
          <w:sz w:val="22"/>
          <w:szCs w:val="22"/>
        </w:rPr>
      </w:pPr>
    </w:p>
    <w:p w:rsidR="00831B91" w:rsidRPr="00515856" w:rsidRDefault="00831B91" w:rsidP="00831B91">
      <w:pPr>
        <w:pStyle w:val="NoSpacing"/>
        <w:rPr>
          <w:rFonts w:ascii="Times New Roman" w:hAnsi="Times New Roman" w:cs="Times New Roman"/>
          <w:b/>
          <w:sz w:val="22"/>
          <w:szCs w:val="22"/>
        </w:rPr>
      </w:pPr>
    </w:p>
    <w:p w:rsidR="00660EA6" w:rsidRPr="00515856" w:rsidRDefault="00660EA6" w:rsidP="001A5A7B">
      <w:pPr>
        <w:pStyle w:val="NoSpacing"/>
        <w:rPr>
          <w:rFonts w:ascii="Times New Roman" w:hAnsi="Times New Roman" w:cs="Times New Roman"/>
          <w:b/>
          <w:sz w:val="22"/>
          <w:szCs w:val="22"/>
        </w:rPr>
      </w:pPr>
      <w:r w:rsidRPr="00515856">
        <w:rPr>
          <w:rFonts w:ascii="Times New Roman" w:hAnsi="Times New Roman" w:cs="Times New Roman"/>
          <w:b/>
          <w:sz w:val="22"/>
          <w:szCs w:val="22"/>
        </w:rPr>
        <w:t xml:space="preserve">New </w:t>
      </w:r>
      <w:r w:rsidR="00831B91" w:rsidRPr="00515856">
        <w:rPr>
          <w:rFonts w:ascii="Times New Roman" w:hAnsi="Times New Roman" w:cs="Times New Roman"/>
          <w:b/>
          <w:sz w:val="22"/>
          <w:szCs w:val="22"/>
        </w:rPr>
        <w:t xml:space="preserve">Gender and Women’s Studies </w:t>
      </w:r>
      <w:r w:rsidRPr="00515856">
        <w:rPr>
          <w:rFonts w:ascii="Times New Roman" w:hAnsi="Times New Roman" w:cs="Times New Roman"/>
          <w:b/>
          <w:sz w:val="22"/>
          <w:szCs w:val="22"/>
        </w:rPr>
        <w:t>SLOs</w:t>
      </w:r>
      <w:r w:rsidR="00831B91" w:rsidRPr="00515856">
        <w:rPr>
          <w:rFonts w:ascii="Times New Roman" w:hAnsi="Times New Roman" w:cs="Times New Roman"/>
          <w:b/>
          <w:sz w:val="22"/>
          <w:szCs w:val="22"/>
        </w:rPr>
        <w:t xml:space="preserve"> (approved by GWS d</w:t>
      </w:r>
      <w:r w:rsidR="003434CE" w:rsidRPr="00515856">
        <w:rPr>
          <w:rFonts w:ascii="Times New Roman" w:hAnsi="Times New Roman" w:cs="Times New Roman"/>
          <w:b/>
          <w:sz w:val="22"/>
          <w:szCs w:val="22"/>
        </w:rPr>
        <w:t>epartment)</w:t>
      </w:r>
    </w:p>
    <w:p w:rsidR="00660EA6" w:rsidRPr="00515856" w:rsidRDefault="00660EA6" w:rsidP="00660EA6">
      <w:pPr>
        <w:autoSpaceDE w:val="0"/>
        <w:autoSpaceDN w:val="0"/>
        <w:adjustRightInd w:val="0"/>
        <w:rPr>
          <w:rFonts w:ascii="Times New Roman" w:eastAsia="Calibri" w:hAnsi="Times New Roman" w:cs="Times New Roman"/>
          <w:sz w:val="22"/>
          <w:szCs w:val="22"/>
        </w:rPr>
      </w:pPr>
      <w:r w:rsidRPr="00515856">
        <w:rPr>
          <w:rFonts w:ascii="Times New Roman" w:eastAsia="Calibri" w:hAnsi="Times New Roman" w:cs="Times New Roman"/>
          <w:sz w:val="22"/>
          <w:szCs w:val="22"/>
        </w:rPr>
        <w:t>Students graduating with a minor or major in GWS will be able to:</w:t>
      </w:r>
    </w:p>
    <w:p w:rsidR="00660EA6" w:rsidRPr="00515856" w:rsidRDefault="00660EA6" w:rsidP="00660EA6">
      <w:pPr>
        <w:pStyle w:val="ListParagraph"/>
        <w:numPr>
          <w:ilvl w:val="0"/>
          <w:numId w:val="3"/>
        </w:numPr>
        <w:autoSpaceDE w:val="0"/>
        <w:autoSpaceDN w:val="0"/>
        <w:adjustRightInd w:val="0"/>
        <w:rPr>
          <w:rFonts w:eastAsia="Calibri"/>
          <w:sz w:val="22"/>
          <w:szCs w:val="22"/>
        </w:rPr>
      </w:pPr>
      <w:r w:rsidRPr="00515856">
        <w:rPr>
          <w:rFonts w:eastAsia="Calibri"/>
          <w:sz w:val="22"/>
          <w:szCs w:val="22"/>
        </w:rPr>
        <w:t>Identify and explain core con</w:t>
      </w:r>
      <w:r w:rsidR="00752BF4" w:rsidRPr="00515856">
        <w:rPr>
          <w:rFonts w:eastAsia="Calibri"/>
          <w:sz w:val="22"/>
          <w:szCs w:val="22"/>
        </w:rPr>
        <w:t>cepts in the field of gender,</w:t>
      </w:r>
      <w:r w:rsidRPr="00515856">
        <w:rPr>
          <w:rFonts w:eastAsia="Calibri"/>
          <w:sz w:val="22"/>
          <w:szCs w:val="22"/>
        </w:rPr>
        <w:t xml:space="preserve"> women’s </w:t>
      </w:r>
      <w:r w:rsidR="00752BF4" w:rsidRPr="00515856">
        <w:rPr>
          <w:rFonts w:eastAsia="Calibri"/>
          <w:sz w:val="22"/>
          <w:szCs w:val="22"/>
        </w:rPr>
        <w:t xml:space="preserve">and sexuality </w:t>
      </w:r>
      <w:r w:rsidRPr="00515856">
        <w:rPr>
          <w:rFonts w:eastAsia="Calibri"/>
          <w:sz w:val="22"/>
          <w:szCs w:val="22"/>
        </w:rPr>
        <w:t>studies.</w:t>
      </w:r>
    </w:p>
    <w:p w:rsidR="00660EA6" w:rsidRPr="00515856" w:rsidRDefault="00660EA6" w:rsidP="00660EA6">
      <w:pPr>
        <w:pStyle w:val="ListParagraph"/>
        <w:numPr>
          <w:ilvl w:val="0"/>
          <w:numId w:val="3"/>
        </w:numPr>
        <w:autoSpaceDE w:val="0"/>
        <w:autoSpaceDN w:val="0"/>
        <w:adjustRightInd w:val="0"/>
        <w:rPr>
          <w:rFonts w:eastAsia="Calibri"/>
          <w:sz w:val="22"/>
          <w:szCs w:val="22"/>
        </w:rPr>
      </w:pPr>
      <w:r w:rsidRPr="00515856">
        <w:rPr>
          <w:rFonts w:eastAsia="Calibri"/>
          <w:sz w:val="22"/>
          <w:szCs w:val="22"/>
        </w:rPr>
        <w:t>Critically analyze historical and contemporary issues from a feminist perspective.</w:t>
      </w:r>
    </w:p>
    <w:p w:rsidR="00660EA6" w:rsidRPr="00515856" w:rsidRDefault="00660EA6" w:rsidP="00660EA6">
      <w:pPr>
        <w:pStyle w:val="ListParagraph"/>
        <w:numPr>
          <w:ilvl w:val="0"/>
          <w:numId w:val="3"/>
        </w:numPr>
        <w:autoSpaceDE w:val="0"/>
        <w:autoSpaceDN w:val="0"/>
        <w:adjustRightInd w:val="0"/>
        <w:rPr>
          <w:rFonts w:eastAsia="Calibri"/>
          <w:sz w:val="22"/>
          <w:szCs w:val="22"/>
        </w:rPr>
      </w:pPr>
      <w:r w:rsidRPr="00515856">
        <w:rPr>
          <w:rFonts w:eastAsia="Calibri"/>
          <w:sz w:val="22"/>
          <w:szCs w:val="22"/>
        </w:rPr>
        <w:t xml:space="preserve">Demonstrate proficiency in specialized topics in the field that may include knowledge of feminist movements, </w:t>
      </w:r>
      <w:r w:rsidR="00752BF4" w:rsidRPr="00515856">
        <w:rPr>
          <w:rFonts w:eastAsia="Calibri"/>
          <w:sz w:val="22"/>
          <w:szCs w:val="22"/>
        </w:rPr>
        <w:t>global</w:t>
      </w:r>
      <w:r w:rsidR="003B133D" w:rsidRPr="00515856">
        <w:rPr>
          <w:rFonts w:eastAsia="Calibri"/>
          <w:sz w:val="22"/>
          <w:szCs w:val="22"/>
        </w:rPr>
        <w:t xml:space="preserve"> sexualities, </w:t>
      </w:r>
      <w:proofErr w:type="gramStart"/>
      <w:r w:rsidR="003B133D" w:rsidRPr="00515856">
        <w:rPr>
          <w:rFonts w:eastAsia="Calibri"/>
          <w:sz w:val="22"/>
          <w:szCs w:val="22"/>
        </w:rPr>
        <w:t>intersectional</w:t>
      </w:r>
      <w:proofErr w:type="gramEnd"/>
      <w:r w:rsidR="003B133D" w:rsidRPr="00515856">
        <w:rPr>
          <w:rFonts w:eastAsia="Calibri"/>
          <w:sz w:val="22"/>
          <w:szCs w:val="22"/>
        </w:rPr>
        <w:t xml:space="preserve">, transnational and </w:t>
      </w:r>
      <w:proofErr w:type="spellStart"/>
      <w:r w:rsidR="003B133D" w:rsidRPr="00515856">
        <w:rPr>
          <w:rFonts w:eastAsia="Calibri"/>
          <w:sz w:val="22"/>
          <w:szCs w:val="22"/>
        </w:rPr>
        <w:t>decolonial</w:t>
      </w:r>
      <w:proofErr w:type="spellEnd"/>
      <w:r w:rsidR="003B133D" w:rsidRPr="00515856">
        <w:rPr>
          <w:rFonts w:eastAsia="Calibri"/>
          <w:sz w:val="22"/>
          <w:szCs w:val="22"/>
        </w:rPr>
        <w:t xml:space="preserve"> theories,</w:t>
      </w:r>
      <w:r w:rsidRPr="00515856">
        <w:rPr>
          <w:rFonts w:eastAsia="Calibri"/>
          <w:sz w:val="22"/>
          <w:szCs w:val="22"/>
        </w:rPr>
        <w:t xml:space="preserve"> </w:t>
      </w:r>
      <w:r w:rsidR="003B133D" w:rsidRPr="00515856">
        <w:rPr>
          <w:rFonts w:eastAsia="Calibri"/>
          <w:sz w:val="22"/>
          <w:szCs w:val="22"/>
        </w:rPr>
        <w:t>masculinity studies,</w:t>
      </w:r>
      <w:r w:rsidR="00E013DE" w:rsidRPr="00515856">
        <w:rPr>
          <w:rFonts w:eastAsia="Calibri"/>
          <w:sz w:val="22"/>
          <w:szCs w:val="22"/>
        </w:rPr>
        <w:t xml:space="preserve"> critical development studies,</w:t>
      </w:r>
      <w:r w:rsidR="003B133D" w:rsidRPr="00515856">
        <w:rPr>
          <w:rFonts w:eastAsia="Calibri"/>
          <w:sz w:val="22"/>
          <w:szCs w:val="22"/>
        </w:rPr>
        <w:t xml:space="preserve"> gender-based violence, and </w:t>
      </w:r>
      <w:r w:rsidR="0004512B" w:rsidRPr="00515856">
        <w:rPr>
          <w:rFonts w:eastAsia="Calibri"/>
          <w:sz w:val="22"/>
          <w:szCs w:val="22"/>
        </w:rPr>
        <w:t xml:space="preserve">gender and </w:t>
      </w:r>
      <w:r w:rsidR="003B133D" w:rsidRPr="00515856">
        <w:rPr>
          <w:rFonts w:eastAsia="Calibri"/>
          <w:sz w:val="22"/>
          <w:szCs w:val="22"/>
        </w:rPr>
        <w:t>human rights,</w:t>
      </w:r>
      <w:r w:rsidR="00752BF4" w:rsidRPr="00515856">
        <w:rPr>
          <w:rFonts w:eastAsia="Calibri"/>
          <w:sz w:val="22"/>
          <w:szCs w:val="22"/>
        </w:rPr>
        <w:t xml:space="preserve"> etc. </w:t>
      </w:r>
    </w:p>
    <w:p w:rsidR="00660EA6" w:rsidRPr="00515856" w:rsidRDefault="00660EA6" w:rsidP="00660EA6">
      <w:pPr>
        <w:pStyle w:val="ListParagraph"/>
        <w:numPr>
          <w:ilvl w:val="0"/>
          <w:numId w:val="3"/>
        </w:numPr>
        <w:autoSpaceDE w:val="0"/>
        <w:autoSpaceDN w:val="0"/>
        <w:adjustRightInd w:val="0"/>
        <w:rPr>
          <w:rFonts w:eastAsia="Calibri"/>
          <w:sz w:val="22"/>
          <w:szCs w:val="22"/>
        </w:rPr>
      </w:pPr>
      <w:r w:rsidRPr="00515856">
        <w:rPr>
          <w:rFonts w:eastAsia="Calibri"/>
          <w:sz w:val="22"/>
          <w:szCs w:val="22"/>
        </w:rPr>
        <w:t>Articulate and employ theories and methods of feminist research and knowledge production.</w:t>
      </w:r>
    </w:p>
    <w:p w:rsidR="00660EA6" w:rsidRPr="00515856" w:rsidRDefault="00660EA6" w:rsidP="00660EA6">
      <w:pPr>
        <w:pStyle w:val="ListParagraph"/>
        <w:numPr>
          <w:ilvl w:val="0"/>
          <w:numId w:val="3"/>
        </w:numPr>
        <w:autoSpaceDE w:val="0"/>
        <w:autoSpaceDN w:val="0"/>
        <w:adjustRightInd w:val="0"/>
        <w:rPr>
          <w:rFonts w:eastAsia="Calibri"/>
          <w:sz w:val="22"/>
          <w:szCs w:val="22"/>
        </w:rPr>
      </w:pPr>
      <w:r w:rsidRPr="00515856">
        <w:rPr>
          <w:rFonts w:eastAsia="Calibri"/>
          <w:sz w:val="22"/>
          <w:szCs w:val="22"/>
        </w:rPr>
        <w:t>Develop effective communication skills through oral and written assignments.</w:t>
      </w:r>
    </w:p>
    <w:p w:rsidR="00660EA6" w:rsidRPr="00515856" w:rsidRDefault="003B133D" w:rsidP="00660EA6">
      <w:pPr>
        <w:pStyle w:val="ListParagraph"/>
        <w:numPr>
          <w:ilvl w:val="0"/>
          <w:numId w:val="3"/>
        </w:numPr>
        <w:autoSpaceDE w:val="0"/>
        <w:autoSpaceDN w:val="0"/>
        <w:adjustRightInd w:val="0"/>
        <w:rPr>
          <w:rFonts w:eastAsia="Calibri"/>
          <w:sz w:val="22"/>
          <w:szCs w:val="22"/>
        </w:rPr>
      </w:pPr>
      <w:r w:rsidRPr="00515856">
        <w:rPr>
          <w:rFonts w:eastAsia="Calibri"/>
          <w:sz w:val="22"/>
          <w:szCs w:val="22"/>
        </w:rPr>
        <w:t>Obtain</w:t>
      </w:r>
      <w:r w:rsidR="00660EA6" w:rsidRPr="00515856">
        <w:rPr>
          <w:rFonts w:eastAsia="Calibri"/>
          <w:sz w:val="22"/>
          <w:szCs w:val="22"/>
        </w:rPr>
        <w:t xml:space="preserve"> media literacy </w:t>
      </w:r>
      <w:r w:rsidR="00660EA6" w:rsidRPr="00515856">
        <w:rPr>
          <w:rFonts w:eastAsia="Calibri"/>
          <w:color w:val="000000" w:themeColor="text1"/>
          <w:sz w:val="22"/>
          <w:szCs w:val="22"/>
        </w:rPr>
        <w:t xml:space="preserve">and information competency </w:t>
      </w:r>
      <w:r w:rsidR="00660EA6" w:rsidRPr="00515856">
        <w:rPr>
          <w:rFonts w:eastAsia="Calibri"/>
          <w:sz w:val="22"/>
          <w:szCs w:val="22"/>
        </w:rPr>
        <w:t>by learning how to use visual media and new technologies to assess, interpret and generate information from a variety of sources.</w:t>
      </w:r>
    </w:p>
    <w:p w:rsidR="00660EA6" w:rsidRPr="00515856" w:rsidRDefault="00660EA6" w:rsidP="00660EA6">
      <w:pPr>
        <w:pStyle w:val="ListParagraph"/>
        <w:numPr>
          <w:ilvl w:val="0"/>
          <w:numId w:val="3"/>
        </w:numPr>
        <w:autoSpaceDE w:val="0"/>
        <w:autoSpaceDN w:val="0"/>
        <w:adjustRightInd w:val="0"/>
        <w:rPr>
          <w:rFonts w:eastAsia="Calibri"/>
          <w:sz w:val="22"/>
          <w:szCs w:val="22"/>
        </w:rPr>
      </w:pPr>
      <w:r w:rsidRPr="00515856">
        <w:rPr>
          <w:rFonts w:eastAsia="Calibri"/>
          <w:sz w:val="22"/>
          <w:szCs w:val="22"/>
        </w:rPr>
        <w:t xml:space="preserve">Develop a sense of </w:t>
      </w:r>
      <w:r w:rsidR="00752BF4" w:rsidRPr="00515856">
        <w:rPr>
          <w:rFonts w:eastAsia="Calibri"/>
          <w:sz w:val="22"/>
          <w:szCs w:val="22"/>
        </w:rPr>
        <w:t xml:space="preserve">feminist </w:t>
      </w:r>
      <w:r w:rsidRPr="00515856">
        <w:rPr>
          <w:rFonts w:eastAsia="Calibri"/>
          <w:sz w:val="22"/>
          <w:szCs w:val="22"/>
        </w:rPr>
        <w:t xml:space="preserve">agency </w:t>
      </w:r>
      <w:r w:rsidR="00D26574" w:rsidRPr="00515856">
        <w:rPr>
          <w:rFonts w:eastAsia="Calibri"/>
          <w:sz w:val="22"/>
          <w:szCs w:val="22"/>
        </w:rPr>
        <w:t xml:space="preserve">to further principles of equality and justice </w:t>
      </w:r>
      <w:r w:rsidRPr="00515856">
        <w:rPr>
          <w:rFonts w:eastAsia="Calibri"/>
          <w:sz w:val="22"/>
          <w:szCs w:val="22"/>
        </w:rPr>
        <w:t xml:space="preserve">through </w:t>
      </w:r>
      <w:r w:rsidR="00E013DE" w:rsidRPr="00515856">
        <w:rPr>
          <w:rFonts w:eastAsia="Calibri"/>
          <w:sz w:val="22"/>
          <w:szCs w:val="22"/>
        </w:rPr>
        <w:t>c</w:t>
      </w:r>
      <w:r w:rsidRPr="00515856">
        <w:rPr>
          <w:rFonts w:eastAsia="Calibri"/>
          <w:sz w:val="22"/>
          <w:szCs w:val="22"/>
        </w:rPr>
        <w:t>ivic engagement within and beyond CSUN.</w:t>
      </w:r>
    </w:p>
    <w:p w:rsidR="00660EA6" w:rsidRDefault="00660EA6" w:rsidP="004F6B68">
      <w:pPr>
        <w:rPr>
          <w:rFonts w:ascii="Times New Roman" w:hAnsi="Times New Roman" w:cs="Times New Roman"/>
          <w:b/>
          <w:sz w:val="22"/>
          <w:szCs w:val="22"/>
        </w:rPr>
      </w:pPr>
    </w:p>
    <w:p w:rsidR="00515856" w:rsidRDefault="00515856" w:rsidP="004F6B68">
      <w:pPr>
        <w:rPr>
          <w:rFonts w:ascii="Times New Roman" w:hAnsi="Times New Roman" w:cs="Times New Roman"/>
          <w:b/>
          <w:sz w:val="22"/>
          <w:szCs w:val="22"/>
        </w:rPr>
      </w:pPr>
    </w:p>
    <w:p w:rsidR="00515856" w:rsidRDefault="00515856" w:rsidP="004F6B68">
      <w:pPr>
        <w:rPr>
          <w:rFonts w:ascii="Times New Roman" w:hAnsi="Times New Roman" w:cs="Times New Roman"/>
          <w:b/>
          <w:sz w:val="22"/>
          <w:szCs w:val="22"/>
        </w:rPr>
      </w:pPr>
    </w:p>
    <w:p w:rsidR="00515856" w:rsidRDefault="00515856" w:rsidP="004F6B68">
      <w:pPr>
        <w:rPr>
          <w:rFonts w:ascii="Times New Roman" w:hAnsi="Times New Roman" w:cs="Times New Roman"/>
          <w:b/>
          <w:sz w:val="22"/>
          <w:szCs w:val="22"/>
        </w:rPr>
      </w:pPr>
    </w:p>
    <w:p w:rsidR="00515856" w:rsidRDefault="00515856" w:rsidP="004F6B68">
      <w:pPr>
        <w:rPr>
          <w:rFonts w:ascii="Times New Roman" w:hAnsi="Times New Roman" w:cs="Times New Roman"/>
          <w:b/>
          <w:sz w:val="22"/>
          <w:szCs w:val="22"/>
        </w:rPr>
      </w:pPr>
    </w:p>
    <w:p w:rsidR="00515856" w:rsidRDefault="00515856" w:rsidP="004F6B68">
      <w:pPr>
        <w:rPr>
          <w:rFonts w:ascii="Times New Roman" w:hAnsi="Times New Roman" w:cs="Times New Roman"/>
          <w:b/>
          <w:sz w:val="22"/>
          <w:szCs w:val="22"/>
        </w:rPr>
      </w:pPr>
    </w:p>
    <w:p w:rsidR="00515856" w:rsidRDefault="00515856" w:rsidP="004F6B68">
      <w:pPr>
        <w:rPr>
          <w:rFonts w:ascii="Times New Roman" w:hAnsi="Times New Roman" w:cs="Times New Roman"/>
          <w:b/>
          <w:sz w:val="22"/>
          <w:szCs w:val="22"/>
        </w:rPr>
      </w:pPr>
    </w:p>
    <w:p w:rsidR="00515856" w:rsidRPr="00515856" w:rsidRDefault="00515856" w:rsidP="004F6B68">
      <w:pPr>
        <w:rPr>
          <w:rFonts w:ascii="Times New Roman" w:hAnsi="Times New Roman" w:cs="Times New Roman"/>
          <w:b/>
          <w:sz w:val="22"/>
          <w:szCs w:val="22"/>
        </w:rPr>
      </w:pPr>
    </w:p>
    <w:p w:rsidR="00660EA6" w:rsidRPr="00515856" w:rsidRDefault="00752BF4" w:rsidP="00F35E19">
      <w:pPr>
        <w:jc w:val="center"/>
        <w:rPr>
          <w:rFonts w:ascii="Times New Roman" w:hAnsi="Times New Roman" w:cs="Times New Roman"/>
          <w:b/>
          <w:sz w:val="22"/>
          <w:szCs w:val="22"/>
        </w:rPr>
      </w:pPr>
      <w:r w:rsidRPr="00515856">
        <w:rPr>
          <w:rFonts w:ascii="Times New Roman" w:hAnsi="Times New Roman" w:cs="Times New Roman"/>
          <w:b/>
          <w:sz w:val="22"/>
          <w:szCs w:val="22"/>
        </w:rPr>
        <w:t xml:space="preserve">Part II. </w:t>
      </w:r>
      <w:r w:rsidR="00F35E19" w:rsidRPr="00515856">
        <w:rPr>
          <w:rFonts w:ascii="Times New Roman" w:hAnsi="Times New Roman" w:cs="Times New Roman"/>
          <w:b/>
          <w:sz w:val="22"/>
          <w:szCs w:val="22"/>
        </w:rPr>
        <w:t xml:space="preserve">Matrix </w:t>
      </w:r>
      <w:r w:rsidR="00F35E19" w:rsidRPr="00755592">
        <w:rPr>
          <w:rFonts w:ascii="Times New Roman" w:hAnsi="Times New Roman" w:cs="Times New Roman"/>
          <w:b/>
          <w:sz w:val="22"/>
          <w:szCs w:val="22"/>
        </w:rPr>
        <w:t>aligning</w:t>
      </w:r>
      <w:r w:rsidR="00F35E19" w:rsidRPr="00515856">
        <w:rPr>
          <w:rFonts w:ascii="Times New Roman" w:hAnsi="Times New Roman" w:cs="Times New Roman"/>
          <w:b/>
          <w:sz w:val="22"/>
          <w:szCs w:val="22"/>
        </w:rPr>
        <w:t xml:space="preserve"> new department </w:t>
      </w:r>
      <w:r w:rsidR="00660EA6" w:rsidRPr="00515856">
        <w:rPr>
          <w:rFonts w:ascii="Times New Roman" w:hAnsi="Times New Roman" w:cs="Times New Roman"/>
          <w:b/>
          <w:sz w:val="22"/>
          <w:szCs w:val="22"/>
        </w:rPr>
        <w:t>SLO</w:t>
      </w:r>
      <w:r w:rsidRPr="00515856">
        <w:rPr>
          <w:rFonts w:ascii="Times New Roman" w:hAnsi="Times New Roman" w:cs="Times New Roman"/>
          <w:b/>
          <w:sz w:val="22"/>
          <w:szCs w:val="22"/>
        </w:rPr>
        <w:t>s</w:t>
      </w:r>
      <w:r w:rsidR="00F35E19" w:rsidRPr="00515856">
        <w:rPr>
          <w:rFonts w:ascii="Times New Roman" w:hAnsi="Times New Roman" w:cs="Times New Roman"/>
          <w:b/>
          <w:sz w:val="22"/>
          <w:szCs w:val="22"/>
        </w:rPr>
        <w:t xml:space="preserve"> with GWS courses</w:t>
      </w:r>
    </w:p>
    <w:p w:rsidR="007158CC" w:rsidRPr="00515856" w:rsidRDefault="00660EA6" w:rsidP="00752BF4">
      <w:pPr>
        <w:spacing w:before="100" w:beforeAutospacing="1" w:after="100" w:afterAutospacing="1"/>
        <w:jc w:val="center"/>
        <w:rPr>
          <w:rFonts w:ascii="Times New Roman" w:hAnsi="Times New Roman" w:cs="Times New Roman"/>
          <w:color w:val="000000"/>
          <w:sz w:val="22"/>
          <w:szCs w:val="22"/>
        </w:rPr>
      </w:pPr>
      <w:r w:rsidRPr="00515856">
        <w:rPr>
          <w:rFonts w:ascii="Times New Roman" w:hAnsi="Times New Roman" w:cs="Times New Roman"/>
          <w:color w:val="000000"/>
          <w:sz w:val="22"/>
          <w:szCs w:val="22"/>
        </w:rPr>
        <w:t xml:space="preserve">Matrix for lower and upper division courses using new </w:t>
      </w:r>
      <w:r w:rsidR="00831B91" w:rsidRPr="00515856">
        <w:rPr>
          <w:rFonts w:ascii="Times New Roman" w:hAnsi="Times New Roman" w:cs="Times New Roman"/>
          <w:color w:val="000000"/>
          <w:sz w:val="22"/>
          <w:szCs w:val="22"/>
        </w:rPr>
        <w:t xml:space="preserve">GWS </w:t>
      </w:r>
      <w:r w:rsidRPr="00515856">
        <w:rPr>
          <w:rFonts w:ascii="Times New Roman" w:hAnsi="Times New Roman" w:cs="Times New Roman"/>
          <w:color w:val="000000"/>
          <w:sz w:val="22"/>
          <w:szCs w:val="22"/>
        </w:rPr>
        <w:t xml:space="preserve">SLOs. </w:t>
      </w:r>
      <w:r w:rsidR="007158CC" w:rsidRPr="00515856">
        <w:rPr>
          <w:rFonts w:ascii="Times New Roman" w:hAnsi="Times New Roman" w:cs="Times New Roman"/>
          <w:sz w:val="22"/>
          <w:szCs w:val="22"/>
        </w:rPr>
        <w:t>Specify whether the material is (I) introduced, (D) developed or (M) mastered.</w:t>
      </w:r>
    </w:p>
    <w:tbl>
      <w:tblPr>
        <w:tblStyle w:val="MediumGrid1-Accent2"/>
        <w:tblpPr w:leftFromText="180" w:rightFromText="180" w:vertAnchor="text" w:horzAnchor="page" w:tblpXSpec="center" w:tblpY="486"/>
        <w:tblW w:w="0" w:type="auto"/>
        <w:tblLook w:val="04A0" w:firstRow="1" w:lastRow="0" w:firstColumn="1" w:lastColumn="0" w:noHBand="0" w:noVBand="1"/>
      </w:tblPr>
      <w:tblGrid>
        <w:gridCol w:w="1515"/>
        <w:gridCol w:w="1118"/>
        <w:gridCol w:w="1068"/>
        <w:gridCol w:w="1145"/>
        <w:gridCol w:w="1096"/>
        <w:gridCol w:w="1023"/>
        <w:gridCol w:w="1390"/>
        <w:gridCol w:w="1221"/>
      </w:tblGrid>
      <w:tr w:rsidR="005B0C0F" w:rsidRPr="00515856" w:rsidTr="00B525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p>
        </w:tc>
        <w:tc>
          <w:tcPr>
            <w:tcW w:w="1125" w:type="dxa"/>
          </w:tcPr>
          <w:p w:rsidR="006801FC" w:rsidRPr="00515856" w:rsidRDefault="006801FC" w:rsidP="005B0C0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66FF"/>
                <w:sz w:val="22"/>
                <w:szCs w:val="22"/>
              </w:rPr>
            </w:pPr>
            <w:r w:rsidRPr="00515856">
              <w:rPr>
                <w:rFonts w:ascii="Times New Roman" w:hAnsi="Times New Roman" w:cs="Times New Roman"/>
                <w:color w:val="3366FF"/>
                <w:sz w:val="22"/>
                <w:szCs w:val="22"/>
              </w:rPr>
              <w:t>SLO 1</w:t>
            </w:r>
          </w:p>
          <w:p w:rsidR="005B0C0F" w:rsidRPr="00515856" w:rsidRDefault="005B0C0F" w:rsidP="005B0C0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66FF"/>
                <w:sz w:val="22"/>
                <w:szCs w:val="22"/>
              </w:rPr>
            </w:pPr>
            <w:r w:rsidRPr="00515856">
              <w:rPr>
                <w:rFonts w:ascii="Times New Roman" w:hAnsi="Times New Roman" w:cs="Times New Roman"/>
                <w:color w:val="3366FF"/>
                <w:sz w:val="22"/>
                <w:szCs w:val="22"/>
              </w:rPr>
              <w:t>Concepts</w:t>
            </w:r>
          </w:p>
        </w:tc>
        <w:tc>
          <w:tcPr>
            <w:tcW w:w="1080" w:type="dxa"/>
          </w:tcPr>
          <w:p w:rsidR="006801FC" w:rsidRPr="00515856" w:rsidRDefault="006801FC" w:rsidP="005B0C0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66FF"/>
                <w:sz w:val="22"/>
                <w:szCs w:val="22"/>
              </w:rPr>
            </w:pPr>
            <w:r w:rsidRPr="00515856">
              <w:rPr>
                <w:rFonts w:ascii="Times New Roman" w:hAnsi="Times New Roman" w:cs="Times New Roman"/>
                <w:color w:val="3366FF"/>
                <w:sz w:val="22"/>
                <w:szCs w:val="22"/>
              </w:rPr>
              <w:t>SLO 2</w:t>
            </w:r>
          </w:p>
          <w:p w:rsidR="005B0C0F" w:rsidRPr="00515856" w:rsidRDefault="005B0C0F" w:rsidP="005B0C0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66FF"/>
                <w:sz w:val="22"/>
                <w:szCs w:val="22"/>
              </w:rPr>
            </w:pPr>
            <w:r w:rsidRPr="00515856">
              <w:rPr>
                <w:rFonts w:ascii="Times New Roman" w:hAnsi="Times New Roman" w:cs="Times New Roman"/>
                <w:color w:val="3366FF"/>
                <w:sz w:val="22"/>
                <w:szCs w:val="22"/>
              </w:rPr>
              <w:t>Analysis</w:t>
            </w:r>
          </w:p>
        </w:tc>
        <w:tc>
          <w:tcPr>
            <w:tcW w:w="990" w:type="dxa"/>
          </w:tcPr>
          <w:p w:rsidR="006801FC" w:rsidRPr="00515856" w:rsidRDefault="006801FC" w:rsidP="005B0C0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66FF"/>
                <w:sz w:val="22"/>
                <w:szCs w:val="22"/>
              </w:rPr>
            </w:pPr>
            <w:r w:rsidRPr="00515856">
              <w:rPr>
                <w:rFonts w:ascii="Times New Roman" w:hAnsi="Times New Roman" w:cs="Times New Roman"/>
                <w:color w:val="3366FF"/>
                <w:sz w:val="22"/>
                <w:szCs w:val="22"/>
              </w:rPr>
              <w:t>SLO 3</w:t>
            </w:r>
          </w:p>
          <w:p w:rsidR="005B0C0F" w:rsidRPr="00515856" w:rsidRDefault="005B0C0F" w:rsidP="005B0C0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66FF"/>
                <w:sz w:val="22"/>
                <w:szCs w:val="22"/>
              </w:rPr>
            </w:pPr>
            <w:r w:rsidRPr="00515856">
              <w:rPr>
                <w:rFonts w:ascii="Times New Roman" w:hAnsi="Times New Roman" w:cs="Times New Roman"/>
                <w:color w:val="3366FF"/>
                <w:sz w:val="22"/>
                <w:szCs w:val="22"/>
              </w:rPr>
              <w:t>Specialize</w:t>
            </w:r>
          </w:p>
        </w:tc>
        <w:tc>
          <w:tcPr>
            <w:tcW w:w="900" w:type="dxa"/>
          </w:tcPr>
          <w:p w:rsidR="006801FC" w:rsidRPr="00515856" w:rsidRDefault="006801FC" w:rsidP="005B0C0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66FF"/>
                <w:sz w:val="22"/>
                <w:szCs w:val="22"/>
              </w:rPr>
            </w:pPr>
            <w:r w:rsidRPr="00515856">
              <w:rPr>
                <w:rFonts w:ascii="Times New Roman" w:hAnsi="Times New Roman" w:cs="Times New Roman"/>
                <w:color w:val="3366FF"/>
                <w:sz w:val="22"/>
                <w:szCs w:val="22"/>
              </w:rPr>
              <w:t>SLO 4</w:t>
            </w:r>
          </w:p>
          <w:p w:rsidR="005B0C0F" w:rsidRPr="00515856" w:rsidRDefault="005B0C0F" w:rsidP="005B0C0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66FF"/>
                <w:sz w:val="22"/>
                <w:szCs w:val="22"/>
              </w:rPr>
            </w:pPr>
            <w:r w:rsidRPr="00515856">
              <w:rPr>
                <w:rFonts w:ascii="Times New Roman" w:hAnsi="Times New Roman" w:cs="Times New Roman"/>
                <w:color w:val="3366FF"/>
                <w:sz w:val="22"/>
                <w:szCs w:val="22"/>
              </w:rPr>
              <w:t>Theories/</w:t>
            </w:r>
          </w:p>
          <w:p w:rsidR="005B0C0F" w:rsidRPr="00515856" w:rsidRDefault="005B0C0F" w:rsidP="005B0C0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66FF"/>
                <w:sz w:val="22"/>
                <w:szCs w:val="22"/>
              </w:rPr>
            </w:pPr>
            <w:r w:rsidRPr="00515856">
              <w:rPr>
                <w:rFonts w:ascii="Times New Roman" w:hAnsi="Times New Roman" w:cs="Times New Roman"/>
                <w:color w:val="3366FF"/>
                <w:sz w:val="22"/>
                <w:szCs w:val="22"/>
              </w:rPr>
              <w:t>Methods</w:t>
            </w:r>
          </w:p>
        </w:tc>
        <w:tc>
          <w:tcPr>
            <w:tcW w:w="900" w:type="dxa"/>
          </w:tcPr>
          <w:p w:rsidR="006801FC" w:rsidRPr="00515856" w:rsidRDefault="006801FC" w:rsidP="005B0C0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66FF"/>
                <w:sz w:val="22"/>
                <w:szCs w:val="22"/>
              </w:rPr>
            </w:pPr>
            <w:r w:rsidRPr="00515856">
              <w:rPr>
                <w:rFonts w:ascii="Times New Roman" w:hAnsi="Times New Roman" w:cs="Times New Roman"/>
                <w:color w:val="3366FF"/>
                <w:sz w:val="22"/>
                <w:szCs w:val="22"/>
              </w:rPr>
              <w:t>SLO 5</w:t>
            </w:r>
          </w:p>
          <w:p w:rsidR="005B0C0F" w:rsidRPr="00515856" w:rsidRDefault="005B0C0F" w:rsidP="005B0C0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66FF"/>
                <w:sz w:val="22"/>
                <w:szCs w:val="22"/>
              </w:rPr>
            </w:pPr>
            <w:r w:rsidRPr="00515856">
              <w:rPr>
                <w:rFonts w:ascii="Times New Roman" w:hAnsi="Times New Roman" w:cs="Times New Roman"/>
                <w:color w:val="3366FF"/>
                <w:sz w:val="22"/>
                <w:szCs w:val="22"/>
              </w:rPr>
              <w:t>Written/</w:t>
            </w:r>
          </w:p>
          <w:p w:rsidR="005B0C0F" w:rsidRPr="00515856" w:rsidRDefault="005B0C0F" w:rsidP="005B0C0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66FF"/>
                <w:sz w:val="22"/>
                <w:szCs w:val="22"/>
              </w:rPr>
            </w:pPr>
            <w:r w:rsidRPr="00515856">
              <w:rPr>
                <w:rFonts w:ascii="Times New Roman" w:hAnsi="Times New Roman" w:cs="Times New Roman"/>
                <w:color w:val="3366FF"/>
                <w:sz w:val="22"/>
                <w:szCs w:val="22"/>
              </w:rPr>
              <w:t>Oral Skills</w:t>
            </w:r>
          </w:p>
        </w:tc>
        <w:tc>
          <w:tcPr>
            <w:tcW w:w="1170" w:type="dxa"/>
          </w:tcPr>
          <w:p w:rsidR="006801FC" w:rsidRPr="00515856" w:rsidRDefault="006801FC" w:rsidP="005B0C0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66FF"/>
                <w:sz w:val="22"/>
                <w:szCs w:val="22"/>
              </w:rPr>
            </w:pPr>
            <w:r w:rsidRPr="00515856">
              <w:rPr>
                <w:rFonts w:ascii="Times New Roman" w:hAnsi="Times New Roman" w:cs="Times New Roman"/>
                <w:color w:val="3366FF"/>
                <w:sz w:val="22"/>
                <w:szCs w:val="22"/>
              </w:rPr>
              <w:t>SLO 6</w:t>
            </w:r>
          </w:p>
          <w:p w:rsidR="005B0C0F" w:rsidRPr="00515856" w:rsidRDefault="005B0C0F" w:rsidP="005B0C0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66FF"/>
                <w:sz w:val="22"/>
                <w:szCs w:val="22"/>
              </w:rPr>
            </w:pPr>
            <w:r w:rsidRPr="00515856">
              <w:rPr>
                <w:rFonts w:ascii="Times New Roman" w:hAnsi="Times New Roman" w:cs="Times New Roman"/>
                <w:color w:val="3366FF"/>
                <w:sz w:val="22"/>
                <w:szCs w:val="22"/>
              </w:rPr>
              <w:t>Media</w:t>
            </w:r>
          </w:p>
          <w:p w:rsidR="005B0C0F" w:rsidRPr="00515856" w:rsidRDefault="005B0C0F" w:rsidP="005B0C0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66FF"/>
                <w:sz w:val="22"/>
                <w:szCs w:val="22"/>
              </w:rPr>
            </w:pPr>
            <w:r w:rsidRPr="00515856">
              <w:rPr>
                <w:rFonts w:ascii="Times New Roman" w:hAnsi="Times New Roman" w:cs="Times New Roman"/>
                <w:color w:val="3366FF"/>
                <w:sz w:val="22"/>
                <w:szCs w:val="22"/>
              </w:rPr>
              <w:t>Lit/</w:t>
            </w:r>
          </w:p>
          <w:p w:rsidR="005B0C0F" w:rsidRPr="00515856" w:rsidRDefault="005B0C0F" w:rsidP="005B0C0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66FF"/>
                <w:sz w:val="22"/>
                <w:szCs w:val="22"/>
              </w:rPr>
            </w:pPr>
            <w:r w:rsidRPr="00515856">
              <w:rPr>
                <w:rFonts w:ascii="Times New Roman" w:hAnsi="Times New Roman" w:cs="Times New Roman"/>
                <w:color w:val="3366FF"/>
                <w:sz w:val="22"/>
                <w:szCs w:val="22"/>
              </w:rPr>
              <w:t>Info.</w:t>
            </w:r>
          </w:p>
          <w:p w:rsidR="005B0C0F" w:rsidRPr="00515856" w:rsidRDefault="005B0C0F" w:rsidP="005B0C0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66FF"/>
                <w:sz w:val="22"/>
                <w:szCs w:val="22"/>
              </w:rPr>
            </w:pPr>
            <w:r w:rsidRPr="00515856">
              <w:rPr>
                <w:rFonts w:ascii="Times New Roman" w:hAnsi="Times New Roman" w:cs="Times New Roman"/>
                <w:color w:val="3366FF"/>
                <w:sz w:val="22"/>
                <w:szCs w:val="22"/>
              </w:rPr>
              <w:t>Competency</w:t>
            </w:r>
          </w:p>
        </w:tc>
        <w:tc>
          <w:tcPr>
            <w:tcW w:w="1260" w:type="dxa"/>
          </w:tcPr>
          <w:p w:rsidR="006801FC" w:rsidRPr="00515856" w:rsidRDefault="006801FC" w:rsidP="005B0C0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66FF"/>
                <w:sz w:val="22"/>
                <w:szCs w:val="22"/>
              </w:rPr>
            </w:pPr>
            <w:r w:rsidRPr="00515856">
              <w:rPr>
                <w:rFonts w:ascii="Times New Roman" w:hAnsi="Times New Roman" w:cs="Times New Roman"/>
                <w:color w:val="3366FF"/>
                <w:sz w:val="22"/>
                <w:szCs w:val="22"/>
              </w:rPr>
              <w:t>SLO 7</w:t>
            </w:r>
          </w:p>
          <w:p w:rsidR="005B0C0F" w:rsidRPr="00515856" w:rsidRDefault="005B0C0F" w:rsidP="005B0C0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66FF"/>
                <w:sz w:val="22"/>
                <w:szCs w:val="22"/>
              </w:rPr>
            </w:pPr>
            <w:r w:rsidRPr="00515856">
              <w:rPr>
                <w:rFonts w:ascii="Times New Roman" w:hAnsi="Times New Roman" w:cs="Times New Roman"/>
                <w:color w:val="3366FF"/>
                <w:sz w:val="22"/>
                <w:szCs w:val="22"/>
              </w:rPr>
              <w:t>Feminist</w:t>
            </w:r>
          </w:p>
          <w:p w:rsidR="005B0C0F" w:rsidRPr="00515856" w:rsidRDefault="005B0C0F" w:rsidP="005B0C0F">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3366FF"/>
                <w:sz w:val="22"/>
                <w:szCs w:val="22"/>
              </w:rPr>
            </w:pPr>
            <w:r w:rsidRPr="00515856">
              <w:rPr>
                <w:rFonts w:ascii="Times New Roman" w:hAnsi="Times New Roman" w:cs="Times New Roman"/>
                <w:color w:val="3366FF"/>
                <w:sz w:val="22"/>
                <w:szCs w:val="22"/>
              </w:rPr>
              <w:t>Agency</w:t>
            </w:r>
          </w:p>
        </w:tc>
      </w:tr>
      <w:tr w:rsidR="005B0C0F" w:rsidRPr="00515856" w:rsidTr="00B5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GWS 100</w:t>
            </w:r>
          </w:p>
        </w:tc>
        <w:tc>
          <w:tcPr>
            <w:tcW w:w="1125" w:type="dxa"/>
          </w:tcPr>
          <w:p w:rsidR="006801FC" w:rsidRPr="00515856" w:rsidRDefault="005B0C0F"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I</w:t>
            </w:r>
          </w:p>
        </w:tc>
        <w:tc>
          <w:tcPr>
            <w:tcW w:w="1080" w:type="dxa"/>
          </w:tcPr>
          <w:p w:rsidR="006801FC" w:rsidRPr="00515856" w:rsidRDefault="005B0C0F"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I</w:t>
            </w:r>
          </w:p>
        </w:tc>
        <w:tc>
          <w:tcPr>
            <w:tcW w:w="99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5B0C0F"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I</w:t>
            </w:r>
          </w:p>
        </w:tc>
        <w:tc>
          <w:tcPr>
            <w:tcW w:w="1170" w:type="dxa"/>
          </w:tcPr>
          <w:p w:rsidR="006801FC" w:rsidRPr="00515856" w:rsidRDefault="005B0C0F"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w:t>
            </w:r>
          </w:p>
        </w:tc>
        <w:tc>
          <w:tcPr>
            <w:tcW w:w="1260" w:type="dxa"/>
          </w:tcPr>
          <w:p w:rsidR="006801FC" w:rsidRPr="00515856" w:rsidRDefault="00490D69"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I</w:t>
            </w:r>
          </w:p>
        </w:tc>
      </w:tr>
      <w:tr w:rsidR="005B0C0F" w:rsidRPr="00515856" w:rsidTr="00B52534">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GWS 110</w:t>
            </w:r>
          </w:p>
        </w:tc>
        <w:tc>
          <w:tcPr>
            <w:tcW w:w="1125" w:type="dxa"/>
          </w:tcPr>
          <w:p w:rsidR="006801FC" w:rsidRPr="00515856" w:rsidRDefault="005B0C0F"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I</w:t>
            </w:r>
          </w:p>
        </w:tc>
        <w:tc>
          <w:tcPr>
            <w:tcW w:w="1080" w:type="dxa"/>
          </w:tcPr>
          <w:p w:rsidR="006801FC" w:rsidRPr="00515856" w:rsidRDefault="005B0C0F"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I</w:t>
            </w:r>
          </w:p>
        </w:tc>
        <w:tc>
          <w:tcPr>
            <w:tcW w:w="99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5B0C0F"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I</w:t>
            </w:r>
          </w:p>
        </w:tc>
        <w:tc>
          <w:tcPr>
            <w:tcW w:w="1170" w:type="dxa"/>
          </w:tcPr>
          <w:p w:rsidR="006801FC" w:rsidRPr="00515856" w:rsidRDefault="005B0C0F"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w:t>
            </w:r>
          </w:p>
        </w:tc>
        <w:tc>
          <w:tcPr>
            <w:tcW w:w="1260" w:type="dxa"/>
          </w:tcPr>
          <w:p w:rsidR="006801FC" w:rsidRPr="00515856" w:rsidRDefault="005B0C0F"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w:t>
            </w:r>
          </w:p>
        </w:tc>
      </w:tr>
      <w:tr w:rsidR="005B0C0F" w:rsidRPr="00515856" w:rsidTr="00B5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GWS 220</w:t>
            </w:r>
          </w:p>
        </w:tc>
        <w:tc>
          <w:tcPr>
            <w:tcW w:w="1125"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3366FF"/>
                <w:sz w:val="22"/>
                <w:szCs w:val="22"/>
              </w:rPr>
            </w:pPr>
          </w:p>
        </w:tc>
        <w:tc>
          <w:tcPr>
            <w:tcW w:w="1080" w:type="dxa"/>
          </w:tcPr>
          <w:p w:rsidR="006801FC" w:rsidRPr="00515856" w:rsidRDefault="005B0C0F"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p>
        </w:tc>
        <w:tc>
          <w:tcPr>
            <w:tcW w:w="990" w:type="dxa"/>
          </w:tcPr>
          <w:p w:rsidR="006801FC" w:rsidRPr="00515856" w:rsidRDefault="007F57B5"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I</w:t>
            </w:r>
          </w:p>
        </w:tc>
        <w:tc>
          <w:tcPr>
            <w:tcW w:w="90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17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26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r>
      <w:tr w:rsidR="005B0C0F" w:rsidRPr="00515856" w:rsidTr="00B52534">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GWS 222</w:t>
            </w:r>
          </w:p>
        </w:tc>
        <w:tc>
          <w:tcPr>
            <w:tcW w:w="1125"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3366FF"/>
                <w:sz w:val="22"/>
                <w:szCs w:val="22"/>
              </w:rPr>
            </w:pPr>
          </w:p>
        </w:tc>
        <w:tc>
          <w:tcPr>
            <w:tcW w:w="1080" w:type="dxa"/>
          </w:tcPr>
          <w:p w:rsidR="006801FC" w:rsidRPr="00515856" w:rsidRDefault="005B0C0F"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p>
        </w:tc>
        <w:tc>
          <w:tcPr>
            <w:tcW w:w="990" w:type="dxa"/>
          </w:tcPr>
          <w:p w:rsidR="006801FC" w:rsidRPr="00515856" w:rsidRDefault="007F57B5"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I</w:t>
            </w:r>
          </w:p>
        </w:tc>
        <w:tc>
          <w:tcPr>
            <w:tcW w:w="90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117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126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r>
      <w:tr w:rsidR="005B0C0F" w:rsidRPr="00515856" w:rsidTr="00B5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GWS 230</w:t>
            </w:r>
          </w:p>
        </w:tc>
        <w:tc>
          <w:tcPr>
            <w:tcW w:w="1125"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080" w:type="dxa"/>
          </w:tcPr>
          <w:p w:rsidR="006801FC" w:rsidRPr="00515856" w:rsidRDefault="005B0C0F"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p>
        </w:tc>
        <w:tc>
          <w:tcPr>
            <w:tcW w:w="990" w:type="dxa"/>
          </w:tcPr>
          <w:p w:rsidR="006801FC" w:rsidRPr="00515856" w:rsidRDefault="007F57B5"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I</w:t>
            </w:r>
          </w:p>
        </w:tc>
        <w:tc>
          <w:tcPr>
            <w:tcW w:w="90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170" w:type="dxa"/>
          </w:tcPr>
          <w:p w:rsidR="006801FC" w:rsidRPr="00515856" w:rsidRDefault="00490D69"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I</w:t>
            </w:r>
          </w:p>
        </w:tc>
        <w:tc>
          <w:tcPr>
            <w:tcW w:w="126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r>
      <w:tr w:rsidR="005B0C0F" w:rsidRPr="00515856" w:rsidTr="00B52534">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GWS 300</w:t>
            </w:r>
          </w:p>
        </w:tc>
        <w:tc>
          <w:tcPr>
            <w:tcW w:w="1125"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1080" w:type="dxa"/>
          </w:tcPr>
          <w:p w:rsidR="006801FC" w:rsidRPr="00515856" w:rsidRDefault="007F57B5"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p>
        </w:tc>
        <w:tc>
          <w:tcPr>
            <w:tcW w:w="99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5B0C0F"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p>
        </w:tc>
        <w:tc>
          <w:tcPr>
            <w:tcW w:w="1170" w:type="dxa"/>
          </w:tcPr>
          <w:p w:rsidR="006801FC" w:rsidRPr="00515856" w:rsidRDefault="005B0C0F"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p>
        </w:tc>
        <w:tc>
          <w:tcPr>
            <w:tcW w:w="1260" w:type="dxa"/>
          </w:tcPr>
          <w:p w:rsidR="006801FC" w:rsidRPr="00515856" w:rsidRDefault="005B0C0F"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p>
        </w:tc>
      </w:tr>
      <w:tr w:rsidR="005B0C0F" w:rsidRPr="00515856" w:rsidTr="00B5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GWS 301</w:t>
            </w:r>
          </w:p>
        </w:tc>
        <w:tc>
          <w:tcPr>
            <w:tcW w:w="1125"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080" w:type="dxa"/>
          </w:tcPr>
          <w:p w:rsidR="006801FC" w:rsidRPr="00515856" w:rsidRDefault="005B0C0F"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r w:rsidR="003660DB" w:rsidRPr="00515856">
              <w:rPr>
                <w:rFonts w:ascii="Times New Roman" w:hAnsi="Times New Roman" w:cs="Times New Roman"/>
                <w:color w:val="000000"/>
                <w:sz w:val="22"/>
                <w:szCs w:val="22"/>
              </w:rPr>
              <w:t xml:space="preserve"> </w:t>
            </w:r>
            <w:r w:rsidRPr="00515856">
              <w:rPr>
                <w:rFonts w:ascii="Times New Roman" w:hAnsi="Times New Roman" w:cs="Times New Roman"/>
                <w:color w:val="000000"/>
                <w:sz w:val="22"/>
                <w:szCs w:val="22"/>
              </w:rPr>
              <w:t>M</w:t>
            </w:r>
          </w:p>
        </w:tc>
        <w:tc>
          <w:tcPr>
            <w:tcW w:w="99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5B0C0F"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 M</w:t>
            </w:r>
          </w:p>
        </w:tc>
        <w:tc>
          <w:tcPr>
            <w:tcW w:w="900" w:type="dxa"/>
          </w:tcPr>
          <w:p w:rsidR="006801FC" w:rsidRPr="00515856" w:rsidRDefault="005B0C0F"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p>
        </w:tc>
        <w:tc>
          <w:tcPr>
            <w:tcW w:w="117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26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r>
      <w:tr w:rsidR="005B0C0F" w:rsidRPr="00515856" w:rsidTr="00B52534">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 xml:space="preserve">GWS 302 </w:t>
            </w:r>
          </w:p>
        </w:tc>
        <w:tc>
          <w:tcPr>
            <w:tcW w:w="1125"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108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99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5B0C0F"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 M</w:t>
            </w:r>
          </w:p>
        </w:tc>
        <w:tc>
          <w:tcPr>
            <w:tcW w:w="900" w:type="dxa"/>
          </w:tcPr>
          <w:p w:rsidR="006801FC" w:rsidRPr="00515856" w:rsidRDefault="005B0C0F"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p>
        </w:tc>
        <w:tc>
          <w:tcPr>
            <w:tcW w:w="117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126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r>
      <w:tr w:rsidR="005B0C0F" w:rsidRPr="00515856" w:rsidTr="00B5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GWS 305 CS</w:t>
            </w:r>
          </w:p>
        </w:tc>
        <w:tc>
          <w:tcPr>
            <w:tcW w:w="1125"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08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99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17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260" w:type="dxa"/>
          </w:tcPr>
          <w:p w:rsidR="006801FC" w:rsidRPr="00515856" w:rsidRDefault="005B0C0F"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M</w:t>
            </w:r>
          </w:p>
        </w:tc>
      </w:tr>
      <w:tr w:rsidR="005B0C0F" w:rsidRPr="00515856" w:rsidTr="00B52534">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GWS 315</w:t>
            </w:r>
          </w:p>
        </w:tc>
        <w:tc>
          <w:tcPr>
            <w:tcW w:w="1125"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1080" w:type="dxa"/>
          </w:tcPr>
          <w:p w:rsidR="006801FC" w:rsidRPr="00515856" w:rsidRDefault="003660DB"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 M</w:t>
            </w:r>
          </w:p>
        </w:tc>
        <w:tc>
          <w:tcPr>
            <w:tcW w:w="990" w:type="dxa"/>
          </w:tcPr>
          <w:p w:rsidR="006801FC" w:rsidRPr="00515856" w:rsidRDefault="007F57B5"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p>
        </w:tc>
        <w:tc>
          <w:tcPr>
            <w:tcW w:w="90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117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126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r>
      <w:tr w:rsidR="005B0C0F" w:rsidRPr="00515856" w:rsidTr="00B5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GWS 320</w:t>
            </w:r>
          </w:p>
        </w:tc>
        <w:tc>
          <w:tcPr>
            <w:tcW w:w="1125"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080" w:type="dxa"/>
          </w:tcPr>
          <w:p w:rsidR="006801FC" w:rsidRPr="00515856" w:rsidRDefault="003660DB"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 M</w:t>
            </w:r>
          </w:p>
        </w:tc>
        <w:tc>
          <w:tcPr>
            <w:tcW w:w="990" w:type="dxa"/>
          </w:tcPr>
          <w:p w:rsidR="006801FC" w:rsidRPr="00515856" w:rsidRDefault="00515856"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p>
        </w:tc>
        <w:tc>
          <w:tcPr>
            <w:tcW w:w="90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17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26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r>
      <w:tr w:rsidR="005B0C0F" w:rsidRPr="00515856" w:rsidTr="00B52534">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GWS 340</w:t>
            </w:r>
          </w:p>
        </w:tc>
        <w:tc>
          <w:tcPr>
            <w:tcW w:w="1125"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1080" w:type="dxa"/>
          </w:tcPr>
          <w:p w:rsidR="006801FC" w:rsidRPr="00515856" w:rsidRDefault="003660DB"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 M</w:t>
            </w:r>
          </w:p>
        </w:tc>
        <w:tc>
          <w:tcPr>
            <w:tcW w:w="990" w:type="dxa"/>
          </w:tcPr>
          <w:p w:rsidR="006801FC" w:rsidRPr="00515856" w:rsidRDefault="007F57B5"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p>
        </w:tc>
        <w:tc>
          <w:tcPr>
            <w:tcW w:w="90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117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126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r>
      <w:tr w:rsidR="005B0C0F" w:rsidRPr="00515856" w:rsidTr="00B5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GWS 351</w:t>
            </w:r>
          </w:p>
        </w:tc>
        <w:tc>
          <w:tcPr>
            <w:tcW w:w="1125" w:type="dxa"/>
          </w:tcPr>
          <w:p w:rsidR="006801FC" w:rsidRPr="00515856" w:rsidRDefault="003660DB"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p>
        </w:tc>
        <w:tc>
          <w:tcPr>
            <w:tcW w:w="1080" w:type="dxa"/>
          </w:tcPr>
          <w:p w:rsidR="006801FC" w:rsidRPr="00515856" w:rsidRDefault="003660DB"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p>
        </w:tc>
        <w:tc>
          <w:tcPr>
            <w:tcW w:w="99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170" w:type="dxa"/>
          </w:tcPr>
          <w:p w:rsidR="006801FC" w:rsidRPr="00515856" w:rsidRDefault="00515856"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p>
        </w:tc>
        <w:tc>
          <w:tcPr>
            <w:tcW w:w="126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r>
      <w:tr w:rsidR="005B0C0F" w:rsidRPr="00515856" w:rsidTr="00B52534">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GWS 370</w:t>
            </w:r>
          </w:p>
        </w:tc>
        <w:tc>
          <w:tcPr>
            <w:tcW w:w="1125" w:type="dxa"/>
          </w:tcPr>
          <w:p w:rsidR="006801FC" w:rsidRPr="00515856" w:rsidRDefault="003660DB"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p>
        </w:tc>
        <w:tc>
          <w:tcPr>
            <w:tcW w:w="1080" w:type="dxa"/>
          </w:tcPr>
          <w:p w:rsidR="006801FC" w:rsidRPr="00515856" w:rsidRDefault="003660DB"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p>
        </w:tc>
        <w:tc>
          <w:tcPr>
            <w:tcW w:w="990" w:type="dxa"/>
          </w:tcPr>
          <w:p w:rsidR="006801FC" w:rsidRPr="00515856" w:rsidRDefault="003660DB"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p>
        </w:tc>
        <w:tc>
          <w:tcPr>
            <w:tcW w:w="90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117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126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r>
      <w:tr w:rsidR="005B0C0F" w:rsidRPr="00515856" w:rsidTr="00B5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GWS 380</w:t>
            </w:r>
          </w:p>
        </w:tc>
        <w:tc>
          <w:tcPr>
            <w:tcW w:w="1125" w:type="dxa"/>
          </w:tcPr>
          <w:p w:rsidR="006801FC" w:rsidRPr="00515856" w:rsidRDefault="003660DB"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p>
        </w:tc>
        <w:tc>
          <w:tcPr>
            <w:tcW w:w="1080" w:type="dxa"/>
          </w:tcPr>
          <w:p w:rsidR="006801FC" w:rsidRPr="00515856" w:rsidRDefault="003660DB"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p>
        </w:tc>
        <w:tc>
          <w:tcPr>
            <w:tcW w:w="990" w:type="dxa"/>
          </w:tcPr>
          <w:p w:rsidR="006801FC" w:rsidRPr="00515856" w:rsidRDefault="007F57B5"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p>
        </w:tc>
        <w:tc>
          <w:tcPr>
            <w:tcW w:w="90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17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26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r>
      <w:tr w:rsidR="005B0C0F" w:rsidRPr="00515856" w:rsidTr="00B52534">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GWS 396 A-Z</w:t>
            </w:r>
          </w:p>
        </w:tc>
        <w:tc>
          <w:tcPr>
            <w:tcW w:w="1125"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108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990" w:type="dxa"/>
          </w:tcPr>
          <w:p w:rsidR="006801FC" w:rsidRPr="00515856" w:rsidRDefault="003660DB"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M</w:t>
            </w:r>
          </w:p>
        </w:tc>
        <w:tc>
          <w:tcPr>
            <w:tcW w:w="90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3660DB"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p>
        </w:tc>
        <w:tc>
          <w:tcPr>
            <w:tcW w:w="117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126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r>
      <w:tr w:rsidR="005B0C0F" w:rsidRPr="00515856" w:rsidTr="00B5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GWS 400</w:t>
            </w:r>
          </w:p>
        </w:tc>
        <w:tc>
          <w:tcPr>
            <w:tcW w:w="1125" w:type="dxa"/>
          </w:tcPr>
          <w:p w:rsidR="006801FC" w:rsidRPr="00515856" w:rsidRDefault="00490D69"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M</w:t>
            </w:r>
          </w:p>
        </w:tc>
        <w:tc>
          <w:tcPr>
            <w:tcW w:w="1080" w:type="dxa"/>
          </w:tcPr>
          <w:p w:rsidR="006801FC" w:rsidRPr="00515856" w:rsidRDefault="003660DB"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M</w:t>
            </w:r>
          </w:p>
        </w:tc>
        <w:tc>
          <w:tcPr>
            <w:tcW w:w="990" w:type="dxa"/>
          </w:tcPr>
          <w:p w:rsidR="006801FC" w:rsidRPr="00515856" w:rsidRDefault="003660DB"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M</w:t>
            </w:r>
          </w:p>
        </w:tc>
        <w:tc>
          <w:tcPr>
            <w:tcW w:w="900" w:type="dxa"/>
          </w:tcPr>
          <w:p w:rsidR="006801FC" w:rsidRPr="00515856" w:rsidRDefault="003660DB"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M</w:t>
            </w:r>
          </w:p>
        </w:tc>
        <w:tc>
          <w:tcPr>
            <w:tcW w:w="900" w:type="dxa"/>
          </w:tcPr>
          <w:p w:rsidR="006801FC" w:rsidRPr="00515856" w:rsidRDefault="003660DB"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M</w:t>
            </w:r>
          </w:p>
        </w:tc>
        <w:tc>
          <w:tcPr>
            <w:tcW w:w="117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260" w:type="dxa"/>
          </w:tcPr>
          <w:p w:rsidR="006801FC" w:rsidRPr="00515856" w:rsidRDefault="003660DB"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D</w:t>
            </w:r>
          </w:p>
        </w:tc>
      </w:tr>
      <w:tr w:rsidR="005B0C0F" w:rsidRPr="00515856" w:rsidTr="00B52534">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GWS 410</w:t>
            </w:r>
          </w:p>
        </w:tc>
        <w:tc>
          <w:tcPr>
            <w:tcW w:w="1125"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108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990" w:type="dxa"/>
          </w:tcPr>
          <w:p w:rsidR="006801FC" w:rsidRPr="00515856" w:rsidRDefault="003660DB"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M</w:t>
            </w:r>
          </w:p>
        </w:tc>
        <w:tc>
          <w:tcPr>
            <w:tcW w:w="90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1170" w:type="dxa"/>
          </w:tcPr>
          <w:p w:rsidR="006801FC" w:rsidRPr="00515856" w:rsidRDefault="003660DB"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M</w:t>
            </w:r>
          </w:p>
        </w:tc>
        <w:tc>
          <w:tcPr>
            <w:tcW w:w="126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r>
      <w:tr w:rsidR="005B0C0F" w:rsidRPr="00515856" w:rsidTr="00B5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GWS 420</w:t>
            </w:r>
          </w:p>
        </w:tc>
        <w:tc>
          <w:tcPr>
            <w:tcW w:w="1125"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080" w:type="dxa"/>
          </w:tcPr>
          <w:p w:rsidR="006801FC" w:rsidRPr="00515856" w:rsidRDefault="003660DB"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M</w:t>
            </w:r>
          </w:p>
        </w:tc>
        <w:tc>
          <w:tcPr>
            <w:tcW w:w="990" w:type="dxa"/>
          </w:tcPr>
          <w:p w:rsidR="006801FC" w:rsidRPr="00515856" w:rsidRDefault="003660DB"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M</w:t>
            </w:r>
          </w:p>
        </w:tc>
        <w:tc>
          <w:tcPr>
            <w:tcW w:w="90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17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26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r>
      <w:tr w:rsidR="005B0C0F" w:rsidRPr="00515856" w:rsidTr="00B52534">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GWS 430</w:t>
            </w:r>
          </w:p>
        </w:tc>
        <w:tc>
          <w:tcPr>
            <w:tcW w:w="1125"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1080" w:type="dxa"/>
          </w:tcPr>
          <w:p w:rsidR="006801FC" w:rsidRPr="00515856" w:rsidRDefault="003660DB"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M</w:t>
            </w:r>
          </w:p>
        </w:tc>
        <w:tc>
          <w:tcPr>
            <w:tcW w:w="990" w:type="dxa"/>
          </w:tcPr>
          <w:p w:rsidR="006801FC" w:rsidRPr="00515856" w:rsidRDefault="003660DB"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M</w:t>
            </w:r>
          </w:p>
        </w:tc>
        <w:tc>
          <w:tcPr>
            <w:tcW w:w="90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117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126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r>
      <w:tr w:rsidR="005B0C0F" w:rsidRPr="00515856" w:rsidTr="00B5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GWS 440</w:t>
            </w:r>
          </w:p>
        </w:tc>
        <w:tc>
          <w:tcPr>
            <w:tcW w:w="1125"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080" w:type="dxa"/>
          </w:tcPr>
          <w:p w:rsidR="006801FC" w:rsidRPr="00515856" w:rsidRDefault="003660DB"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M</w:t>
            </w:r>
          </w:p>
        </w:tc>
        <w:tc>
          <w:tcPr>
            <w:tcW w:w="990" w:type="dxa"/>
          </w:tcPr>
          <w:p w:rsidR="006801FC" w:rsidRPr="00515856" w:rsidRDefault="003660DB"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M</w:t>
            </w:r>
          </w:p>
        </w:tc>
        <w:tc>
          <w:tcPr>
            <w:tcW w:w="90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17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26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r>
      <w:tr w:rsidR="005B0C0F" w:rsidRPr="00515856" w:rsidTr="00B52534">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GWS 495 A-Z</w:t>
            </w:r>
          </w:p>
        </w:tc>
        <w:tc>
          <w:tcPr>
            <w:tcW w:w="1125"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108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990" w:type="dxa"/>
          </w:tcPr>
          <w:p w:rsidR="006801FC" w:rsidRPr="00515856" w:rsidRDefault="003660DB"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M</w:t>
            </w:r>
          </w:p>
        </w:tc>
        <w:tc>
          <w:tcPr>
            <w:tcW w:w="90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117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c>
          <w:tcPr>
            <w:tcW w:w="1260" w:type="dxa"/>
          </w:tcPr>
          <w:p w:rsidR="006801FC" w:rsidRPr="00515856" w:rsidRDefault="006801FC" w:rsidP="006801F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2"/>
                <w:szCs w:val="22"/>
              </w:rPr>
            </w:pPr>
          </w:p>
        </w:tc>
      </w:tr>
      <w:tr w:rsidR="005B0C0F" w:rsidRPr="00515856" w:rsidTr="00B5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3" w:type="dxa"/>
          </w:tcPr>
          <w:p w:rsidR="006801FC" w:rsidRPr="00515856" w:rsidRDefault="006801FC" w:rsidP="006801FC">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GWS 499 A-C</w:t>
            </w:r>
          </w:p>
        </w:tc>
        <w:tc>
          <w:tcPr>
            <w:tcW w:w="1125"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08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990" w:type="dxa"/>
          </w:tcPr>
          <w:p w:rsidR="006801FC" w:rsidRPr="00515856" w:rsidRDefault="00EA1794"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515856">
              <w:rPr>
                <w:rFonts w:ascii="Times New Roman" w:hAnsi="Times New Roman" w:cs="Times New Roman"/>
                <w:color w:val="000000"/>
                <w:sz w:val="22"/>
                <w:szCs w:val="22"/>
              </w:rPr>
              <w:t>M</w:t>
            </w:r>
          </w:p>
        </w:tc>
        <w:tc>
          <w:tcPr>
            <w:tcW w:w="90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90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17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c>
          <w:tcPr>
            <w:tcW w:w="1260" w:type="dxa"/>
          </w:tcPr>
          <w:p w:rsidR="006801FC" w:rsidRPr="00515856" w:rsidRDefault="006801FC" w:rsidP="006801F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p>
        </w:tc>
      </w:tr>
    </w:tbl>
    <w:p w:rsidR="00515856" w:rsidRDefault="00660EA6" w:rsidP="00515856">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color w:val="000000"/>
          <w:sz w:val="22"/>
          <w:szCs w:val="22"/>
        </w:rPr>
        <w:t xml:space="preserve">        </w:t>
      </w:r>
    </w:p>
    <w:p w:rsidR="00831B91" w:rsidRPr="00515856" w:rsidRDefault="006801FC" w:rsidP="00515856">
      <w:pPr>
        <w:spacing w:before="100" w:beforeAutospacing="1" w:after="100" w:afterAutospacing="1"/>
        <w:rPr>
          <w:rFonts w:ascii="Times New Roman" w:hAnsi="Times New Roman" w:cs="Times New Roman"/>
          <w:color w:val="000000"/>
          <w:sz w:val="22"/>
          <w:szCs w:val="22"/>
        </w:rPr>
      </w:pPr>
      <w:r w:rsidRPr="00515856">
        <w:rPr>
          <w:rFonts w:ascii="Times New Roman" w:hAnsi="Times New Roman" w:cs="Times New Roman"/>
          <w:sz w:val="22"/>
          <w:szCs w:val="22"/>
        </w:rPr>
        <w:t>This assessment has been discussed with the larger department and ref</w:t>
      </w:r>
      <w:r w:rsidR="00755592">
        <w:rPr>
          <w:rFonts w:ascii="Times New Roman" w:hAnsi="Times New Roman" w:cs="Times New Roman"/>
          <w:sz w:val="22"/>
          <w:szCs w:val="22"/>
        </w:rPr>
        <w:t xml:space="preserve">lects feedback of all full-time </w:t>
      </w:r>
      <w:proofErr w:type="gramStart"/>
      <w:r w:rsidRPr="00515856">
        <w:rPr>
          <w:rFonts w:ascii="Times New Roman" w:hAnsi="Times New Roman" w:cs="Times New Roman"/>
          <w:sz w:val="22"/>
          <w:szCs w:val="22"/>
        </w:rPr>
        <w:t>faculty</w:t>
      </w:r>
      <w:proofErr w:type="gramEnd"/>
      <w:r w:rsidRPr="00515856">
        <w:rPr>
          <w:rFonts w:ascii="Times New Roman" w:hAnsi="Times New Roman" w:cs="Times New Roman"/>
          <w:sz w:val="22"/>
          <w:szCs w:val="22"/>
        </w:rPr>
        <w:t>. The new SLOs and the matrix will be distributed to all part time and</w:t>
      </w:r>
      <w:r w:rsidR="00515856">
        <w:rPr>
          <w:rFonts w:ascii="Times New Roman" w:hAnsi="Times New Roman" w:cs="Times New Roman"/>
          <w:sz w:val="22"/>
          <w:szCs w:val="22"/>
        </w:rPr>
        <w:t xml:space="preserve"> full time faculty</w:t>
      </w:r>
      <w:r w:rsidR="008C11C1" w:rsidRPr="00515856">
        <w:rPr>
          <w:rFonts w:ascii="Times New Roman" w:hAnsi="Times New Roman" w:cs="Times New Roman"/>
          <w:sz w:val="22"/>
          <w:szCs w:val="22"/>
        </w:rPr>
        <w:t>, and updated on the departmental web site.</w:t>
      </w:r>
    </w:p>
    <w:p w:rsidR="002A2FD3" w:rsidRPr="00515856" w:rsidRDefault="002A2FD3" w:rsidP="00C57580">
      <w:pPr>
        <w:rPr>
          <w:rFonts w:ascii="Times New Roman" w:hAnsi="Times New Roman" w:cs="Times New Roman"/>
          <w:b/>
          <w:sz w:val="22"/>
          <w:szCs w:val="2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A2FD3" w:rsidRPr="00515856" w:rsidRDefault="002A2FD3" w:rsidP="006801FC">
      <w:pPr>
        <w:rPr>
          <w:rFonts w:ascii="Times New Roman" w:hAnsi="Times New Roman" w:cs="Times New Roman"/>
          <w:b/>
          <w:sz w:val="22"/>
          <w:szCs w:val="22"/>
        </w:rPr>
      </w:pPr>
      <w:r w:rsidRPr="00515856">
        <w:rPr>
          <w:rFonts w:ascii="Times New Roman" w:hAnsi="Times New Roman" w:cs="Times New Roman"/>
          <w:b/>
          <w:sz w:val="22"/>
          <w:szCs w:val="22"/>
        </w:rPr>
        <w:t>Future Asse</w:t>
      </w:r>
      <w:r w:rsidR="006801FC" w:rsidRPr="00515856">
        <w:rPr>
          <w:rFonts w:ascii="Times New Roman" w:hAnsi="Times New Roman" w:cs="Times New Roman"/>
          <w:b/>
          <w:sz w:val="22"/>
          <w:szCs w:val="22"/>
        </w:rPr>
        <w:t>ssment Priorities</w:t>
      </w:r>
    </w:p>
    <w:p w:rsidR="00AF4222" w:rsidRPr="00515856" w:rsidRDefault="003434CE" w:rsidP="003434CE">
      <w:pPr>
        <w:rPr>
          <w:rFonts w:ascii="Times New Roman" w:hAnsi="Times New Roman" w:cs="Times New Roman"/>
          <w:sz w:val="22"/>
          <w:szCs w:val="22"/>
        </w:rPr>
      </w:pPr>
      <w:r w:rsidRPr="00515856">
        <w:rPr>
          <w:rFonts w:ascii="Times New Roman" w:hAnsi="Times New Roman" w:cs="Times New Roman"/>
          <w:sz w:val="22"/>
          <w:szCs w:val="22"/>
        </w:rPr>
        <w:t>One problem</w:t>
      </w:r>
      <w:r w:rsidR="002A2FD3" w:rsidRPr="00515856">
        <w:rPr>
          <w:rFonts w:ascii="Times New Roman" w:hAnsi="Times New Roman" w:cs="Times New Roman"/>
          <w:sz w:val="22"/>
          <w:szCs w:val="22"/>
        </w:rPr>
        <w:t xml:space="preserve"> that this years’ assessment re</w:t>
      </w:r>
      <w:r w:rsidR="00AF4222" w:rsidRPr="00515856">
        <w:rPr>
          <w:rFonts w:ascii="Times New Roman" w:hAnsi="Times New Roman" w:cs="Times New Roman"/>
          <w:sz w:val="22"/>
          <w:szCs w:val="22"/>
        </w:rPr>
        <w:t>vealed is the lack of consistency in</w:t>
      </w:r>
      <w:r w:rsidR="002A2FD3" w:rsidRPr="00515856">
        <w:rPr>
          <w:rFonts w:ascii="Times New Roman" w:hAnsi="Times New Roman" w:cs="Times New Roman"/>
          <w:sz w:val="22"/>
          <w:szCs w:val="22"/>
        </w:rPr>
        <w:t xml:space="preserve"> course SLOs across our department. </w:t>
      </w:r>
      <w:r w:rsidR="00B52534" w:rsidRPr="00515856">
        <w:rPr>
          <w:rFonts w:ascii="Times New Roman" w:hAnsi="Times New Roman" w:cs="Times New Roman"/>
          <w:sz w:val="22"/>
          <w:szCs w:val="22"/>
        </w:rPr>
        <w:t>T</w:t>
      </w:r>
      <w:r w:rsidR="007255E0">
        <w:rPr>
          <w:rFonts w:ascii="Times New Roman" w:hAnsi="Times New Roman" w:cs="Times New Roman"/>
          <w:sz w:val="22"/>
          <w:szCs w:val="22"/>
        </w:rPr>
        <w:t>his summer I reviewed approximately</w:t>
      </w:r>
      <w:r w:rsidR="00B52534" w:rsidRPr="00515856">
        <w:rPr>
          <w:rFonts w:ascii="Times New Roman" w:hAnsi="Times New Roman" w:cs="Times New Roman"/>
          <w:sz w:val="22"/>
          <w:szCs w:val="22"/>
        </w:rPr>
        <w:t xml:space="preserve"> 20 syllabi for</w:t>
      </w:r>
      <w:r w:rsidR="00AF4222" w:rsidRPr="00515856">
        <w:rPr>
          <w:rFonts w:ascii="Times New Roman" w:hAnsi="Times New Roman" w:cs="Times New Roman"/>
          <w:sz w:val="22"/>
          <w:szCs w:val="22"/>
        </w:rPr>
        <w:t xml:space="preserve"> core GWS courses taught by full and part-time faculty in GWS over the last two</w:t>
      </w:r>
      <w:r w:rsidR="00B52534" w:rsidRPr="00515856">
        <w:rPr>
          <w:rFonts w:ascii="Times New Roman" w:hAnsi="Times New Roman" w:cs="Times New Roman"/>
          <w:sz w:val="22"/>
          <w:szCs w:val="22"/>
        </w:rPr>
        <w:t xml:space="preserve"> years</w:t>
      </w:r>
      <w:r w:rsidR="00AF4222" w:rsidRPr="00515856">
        <w:rPr>
          <w:rFonts w:ascii="Times New Roman" w:hAnsi="Times New Roman" w:cs="Times New Roman"/>
          <w:sz w:val="22"/>
          <w:szCs w:val="22"/>
        </w:rPr>
        <w:t>. What was clear from this process is that two different</w:t>
      </w:r>
      <w:r w:rsidR="002A2FD3" w:rsidRPr="00515856">
        <w:rPr>
          <w:rFonts w:ascii="Times New Roman" w:hAnsi="Times New Roman" w:cs="Times New Roman"/>
          <w:sz w:val="22"/>
          <w:szCs w:val="22"/>
        </w:rPr>
        <w:t xml:space="preserve"> professor</w:t>
      </w:r>
      <w:r w:rsidR="007255E0">
        <w:rPr>
          <w:rFonts w:ascii="Times New Roman" w:hAnsi="Times New Roman" w:cs="Times New Roman"/>
          <w:sz w:val="22"/>
          <w:szCs w:val="22"/>
        </w:rPr>
        <w:t xml:space="preserve">s teaching </w:t>
      </w:r>
      <w:r w:rsidR="00AF4222" w:rsidRPr="00515856">
        <w:rPr>
          <w:rFonts w:ascii="Times New Roman" w:hAnsi="Times New Roman" w:cs="Times New Roman"/>
          <w:sz w:val="22"/>
          <w:szCs w:val="22"/>
        </w:rPr>
        <w:t xml:space="preserve">GWS 300, for example, </w:t>
      </w:r>
      <w:r w:rsidR="007255E0">
        <w:rPr>
          <w:rFonts w:ascii="Times New Roman" w:hAnsi="Times New Roman" w:cs="Times New Roman"/>
          <w:sz w:val="22"/>
          <w:szCs w:val="22"/>
        </w:rPr>
        <w:t>most often do not list</w:t>
      </w:r>
      <w:r w:rsidR="002A2FD3" w:rsidRPr="00515856">
        <w:rPr>
          <w:rFonts w:ascii="Times New Roman" w:hAnsi="Times New Roman" w:cs="Times New Roman"/>
          <w:sz w:val="22"/>
          <w:szCs w:val="22"/>
        </w:rPr>
        <w:t xml:space="preserve"> the same course SLOs </w:t>
      </w:r>
      <w:r w:rsidR="007255E0">
        <w:rPr>
          <w:rFonts w:ascii="Times New Roman" w:hAnsi="Times New Roman" w:cs="Times New Roman"/>
          <w:sz w:val="22"/>
          <w:szCs w:val="22"/>
        </w:rPr>
        <w:t>on their syllabi</w:t>
      </w:r>
      <w:r w:rsidR="00AF4222" w:rsidRPr="00515856">
        <w:rPr>
          <w:rFonts w:ascii="Times New Roman" w:hAnsi="Times New Roman" w:cs="Times New Roman"/>
          <w:sz w:val="22"/>
          <w:szCs w:val="22"/>
        </w:rPr>
        <w:t>. Some</w:t>
      </w:r>
      <w:r w:rsidR="002A2FD3" w:rsidRPr="00515856">
        <w:rPr>
          <w:rFonts w:ascii="Times New Roman" w:hAnsi="Times New Roman" w:cs="Times New Roman"/>
          <w:sz w:val="22"/>
          <w:szCs w:val="22"/>
        </w:rPr>
        <w:t xml:space="preserve"> </w:t>
      </w:r>
      <w:r w:rsidR="00515856">
        <w:rPr>
          <w:rFonts w:ascii="Times New Roman" w:hAnsi="Times New Roman" w:cs="Times New Roman"/>
          <w:sz w:val="22"/>
          <w:szCs w:val="22"/>
        </w:rPr>
        <w:t xml:space="preserve">syllabi </w:t>
      </w:r>
      <w:r w:rsidR="00AF4222" w:rsidRPr="00515856">
        <w:rPr>
          <w:rFonts w:ascii="Times New Roman" w:hAnsi="Times New Roman" w:cs="Times New Roman"/>
          <w:sz w:val="22"/>
          <w:szCs w:val="22"/>
        </w:rPr>
        <w:t>list no course SLOs</w:t>
      </w:r>
      <w:r w:rsidR="002A2FD3" w:rsidRPr="00515856">
        <w:rPr>
          <w:rFonts w:ascii="Times New Roman" w:hAnsi="Times New Roman" w:cs="Times New Roman"/>
          <w:sz w:val="22"/>
          <w:szCs w:val="22"/>
        </w:rPr>
        <w:t xml:space="preserve"> at all, whereas others have created </w:t>
      </w:r>
      <w:r w:rsidR="00B52534" w:rsidRPr="00515856">
        <w:rPr>
          <w:rFonts w:ascii="Times New Roman" w:hAnsi="Times New Roman" w:cs="Times New Roman"/>
          <w:sz w:val="22"/>
          <w:szCs w:val="22"/>
        </w:rPr>
        <w:t>their own course SLOs based on their individual course description</w:t>
      </w:r>
      <w:r w:rsidR="00515856">
        <w:rPr>
          <w:rFonts w:ascii="Times New Roman" w:hAnsi="Times New Roman" w:cs="Times New Roman"/>
          <w:sz w:val="22"/>
          <w:szCs w:val="22"/>
        </w:rPr>
        <w:t>s</w:t>
      </w:r>
      <w:r w:rsidR="00B52534" w:rsidRPr="00515856">
        <w:rPr>
          <w:rFonts w:ascii="Times New Roman" w:hAnsi="Times New Roman" w:cs="Times New Roman"/>
          <w:sz w:val="22"/>
          <w:szCs w:val="22"/>
        </w:rPr>
        <w:t>. Others have lifted SLOs from a senior faculties’ sample syllabus</w:t>
      </w:r>
      <w:r w:rsidR="00AF4222" w:rsidRPr="00515856">
        <w:rPr>
          <w:rFonts w:ascii="Times New Roman" w:hAnsi="Times New Roman" w:cs="Times New Roman"/>
          <w:sz w:val="22"/>
          <w:szCs w:val="22"/>
        </w:rPr>
        <w:t xml:space="preserve"> </w:t>
      </w:r>
      <w:r w:rsidR="00B52534" w:rsidRPr="00515856">
        <w:rPr>
          <w:rFonts w:ascii="Times New Roman" w:hAnsi="Times New Roman" w:cs="Times New Roman"/>
          <w:sz w:val="22"/>
          <w:szCs w:val="22"/>
        </w:rPr>
        <w:t xml:space="preserve">that they obtained </w:t>
      </w:r>
      <w:r w:rsidR="00AF4222" w:rsidRPr="00515856">
        <w:rPr>
          <w:rFonts w:ascii="Times New Roman" w:hAnsi="Times New Roman" w:cs="Times New Roman"/>
          <w:sz w:val="22"/>
          <w:szCs w:val="22"/>
        </w:rPr>
        <w:t>when they first began teaching in our departm</w:t>
      </w:r>
      <w:r w:rsidR="00515856">
        <w:rPr>
          <w:rFonts w:ascii="Times New Roman" w:hAnsi="Times New Roman" w:cs="Times New Roman"/>
          <w:sz w:val="22"/>
          <w:szCs w:val="22"/>
        </w:rPr>
        <w:t>ent. Basically, the analysis</w:t>
      </w:r>
      <w:r w:rsidR="007255E0">
        <w:rPr>
          <w:rFonts w:ascii="Times New Roman" w:hAnsi="Times New Roman" w:cs="Times New Roman"/>
          <w:sz w:val="22"/>
          <w:szCs w:val="22"/>
        </w:rPr>
        <w:t xml:space="preserve"> revealed a lack of awareness as to</w:t>
      </w:r>
      <w:r w:rsidR="00515856">
        <w:rPr>
          <w:rFonts w:ascii="Times New Roman" w:hAnsi="Times New Roman" w:cs="Times New Roman"/>
          <w:sz w:val="22"/>
          <w:szCs w:val="22"/>
        </w:rPr>
        <w:t xml:space="preserve"> whether </w:t>
      </w:r>
      <w:r w:rsidR="00AF4222" w:rsidRPr="00515856">
        <w:rPr>
          <w:rFonts w:ascii="Times New Roman" w:hAnsi="Times New Roman" w:cs="Times New Roman"/>
          <w:sz w:val="22"/>
          <w:szCs w:val="22"/>
        </w:rPr>
        <w:t xml:space="preserve">we should have </w:t>
      </w:r>
      <w:r w:rsidR="007255E0">
        <w:rPr>
          <w:rFonts w:ascii="Times New Roman" w:hAnsi="Times New Roman" w:cs="Times New Roman"/>
          <w:sz w:val="22"/>
          <w:szCs w:val="22"/>
        </w:rPr>
        <w:t xml:space="preserve">consistent </w:t>
      </w:r>
      <w:r w:rsidR="00AF4222" w:rsidRPr="00515856">
        <w:rPr>
          <w:rFonts w:ascii="Times New Roman" w:hAnsi="Times New Roman" w:cs="Times New Roman"/>
          <w:sz w:val="22"/>
          <w:szCs w:val="22"/>
        </w:rPr>
        <w:t>course SLOs across sections</w:t>
      </w:r>
      <w:r w:rsidR="00B52534" w:rsidRPr="00515856">
        <w:rPr>
          <w:rFonts w:ascii="Times New Roman" w:hAnsi="Times New Roman" w:cs="Times New Roman"/>
          <w:sz w:val="22"/>
          <w:szCs w:val="22"/>
        </w:rPr>
        <w:t>,</w:t>
      </w:r>
      <w:r w:rsidR="00AF4222" w:rsidRPr="00515856">
        <w:rPr>
          <w:rFonts w:ascii="Times New Roman" w:hAnsi="Times New Roman" w:cs="Times New Roman"/>
          <w:sz w:val="22"/>
          <w:szCs w:val="22"/>
        </w:rPr>
        <w:t xml:space="preserve"> and whether </w:t>
      </w:r>
      <w:r w:rsidR="00515856">
        <w:rPr>
          <w:rFonts w:ascii="Times New Roman" w:hAnsi="Times New Roman" w:cs="Times New Roman"/>
          <w:sz w:val="22"/>
          <w:szCs w:val="22"/>
        </w:rPr>
        <w:t xml:space="preserve">each </w:t>
      </w:r>
      <w:r w:rsidR="007255E0">
        <w:rPr>
          <w:rFonts w:ascii="Times New Roman" w:hAnsi="Times New Roman" w:cs="Times New Roman"/>
          <w:sz w:val="22"/>
          <w:szCs w:val="22"/>
        </w:rPr>
        <w:t xml:space="preserve">instructor </w:t>
      </w:r>
      <w:r w:rsidR="00515856">
        <w:rPr>
          <w:rFonts w:ascii="Times New Roman" w:hAnsi="Times New Roman" w:cs="Times New Roman"/>
          <w:sz w:val="22"/>
          <w:szCs w:val="22"/>
        </w:rPr>
        <w:t xml:space="preserve">is required to list these course SLOs </w:t>
      </w:r>
      <w:r w:rsidR="00AF4222" w:rsidRPr="00515856">
        <w:rPr>
          <w:rFonts w:ascii="Times New Roman" w:hAnsi="Times New Roman" w:cs="Times New Roman"/>
          <w:sz w:val="22"/>
          <w:szCs w:val="22"/>
        </w:rPr>
        <w:t>on</w:t>
      </w:r>
      <w:r w:rsidR="007255E0">
        <w:rPr>
          <w:rFonts w:ascii="Times New Roman" w:hAnsi="Times New Roman" w:cs="Times New Roman"/>
          <w:sz w:val="22"/>
          <w:szCs w:val="22"/>
        </w:rPr>
        <w:t xml:space="preserve"> their syllabi</w:t>
      </w:r>
      <w:r w:rsidR="00AF4222" w:rsidRPr="00515856">
        <w:rPr>
          <w:rFonts w:ascii="Times New Roman" w:hAnsi="Times New Roman" w:cs="Times New Roman"/>
          <w:sz w:val="22"/>
          <w:szCs w:val="22"/>
        </w:rPr>
        <w:t>.</w:t>
      </w:r>
    </w:p>
    <w:p w:rsidR="00AF4222" w:rsidRPr="00515856" w:rsidRDefault="00AF4222" w:rsidP="003434CE">
      <w:pPr>
        <w:rPr>
          <w:rFonts w:ascii="Times New Roman" w:hAnsi="Times New Roman" w:cs="Times New Roman"/>
          <w:sz w:val="22"/>
          <w:szCs w:val="22"/>
        </w:rPr>
      </w:pPr>
    </w:p>
    <w:p w:rsidR="002A2FD3" w:rsidRPr="00515856" w:rsidRDefault="00B52534" w:rsidP="003434CE">
      <w:pPr>
        <w:rPr>
          <w:rFonts w:ascii="Times New Roman" w:hAnsi="Times New Roman" w:cs="Times New Roman"/>
          <w:sz w:val="22"/>
          <w:szCs w:val="22"/>
        </w:rPr>
      </w:pPr>
      <w:r w:rsidRPr="00515856">
        <w:rPr>
          <w:rFonts w:ascii="Times New Roman" w:hAnsi="Times New Roman" w:cs="Times New Roman"/>
          <w:sz w:val="22"/>
          <w:szCs w:val="22"/>
        </w:rPr>
        <w:t xml:space="preserve">We </w:t>
      </w:r>
      <w:r w:rsidR="003434CE" w:rsidRPr="00515856">
        <w:rPr>
          <w:rFonts w:ascii="Times New Roman" w:hAnsi="Times New Roman" w:cs="Times New Roman"/>
          <w:sz w:val="22"/>
          <w:szCs w:val="22"/>
        </w:rPr>
        <w:t xml:space="preserve">discussed </w:t>
      </w:r>
      <w:r w:rsidR="007255E0">
        <w:rPr>
          <w:rFonts w:ascii="Times New Roman" w:hAnsi="Times New Roman" w:cs="Times New Roman"/>
          <w:sz w:val="22"/>
          <w:szCs w:val="22"/>
        </w:rPr>
        <w:t>this issue in our meeting</w:t>
      </w:r>
      <w:r w:rsidRPr="00515856">
        <w:rPr>
          <w:rFonts w:ascii="Times New Roman" w:hAnsi="Times New Roman" w:cs="Times New Roman"/>
          <w:sz w:val="22"/>
          <w:szCs w:val="22"/>
        </w:rPr>
        <w:t xml:space="preserve"> and </w:t>
      </w:r>
      <w:r w:rsidR="003434CE" w:rsidRPr="00515856">
        <w:rPr>
          <w:rFonts w:ascii="Times New Roman" w:hAnsi="Times New Roman" w:cs="Times New Roman"/>
          <w:sz w:val="22"/>
          <w:szCs w:val="22"/>
        </w:rPr>
        <w:t xml:space="preserve">agreed that there should be a minimum number of specified course SLOs that are consistent across all sections of a course. Each instructor can then add additional course SLOs to match their own individual course descriptions, but they may not subtract from the </w:t>
      </w:r>
      <w:r w:rsidR="007255E0">
        <w:rPr>
          <w:rFonts w:ascii="Times New Roman" w:hAnsi="Times New Roman" w:cs="Times New Roman"/>
          <w:sz w:val="22"/>
          <w:szCs w:val="22"/>
        </w:rPr>
        <w:t xml:space="preserve">collectively </w:t>
      </w:r>
      <w:r w:rsidR="003434CE" w:rsidRPr="00515856">
        <w:rPr>
          <w:rFonts w:ascii="Times New Roman" w:hAnsi="Times New Roman" w:cs="Times New Roman"/>
          <w:sz w:val="22"/>
          <w:szCs w:val="22"/>
        </w:rPr>
        <w:t>agre</w:t>
      </w:r>
      <w:r w:rsidRPr="00515856">
        <w:rPr>
          <w:rFonts w:ascii="Times New Roman" w:hAnsi="Times New Roman" w:cs="Times New Roman"/>
          <w:sz w:val="22"/>
          <w:szCs w:val="22"/>
        </w:rPr>
        <w:t>ed upon course SLOs</w:t>
      </w:r>
      <w:r w:rsidR="003434CE" w:rsidRPr="00515856">
        <w:rPr>
          <w:rFonts w:ascii="Times New Roman" w:hAnsi="Times New Roman" w:cs="Times New Roman"/>
          <w:sz w:val="22"/>
          <w:szCs w:val="22"/>
        </w:rPr>
        <w:t xml:space="preserve">. </w:t>
      </w:r>
      <w:r w:rsidR="00AF4222" w:rsidRPr="00515856">
        <w:rPr>
          <w:rFonts w:ascii="Times New Roman" w:hAnsi="Times New Roman" w:cs="Times New Roman"/>
          <w:sz w:val="22"/>
          <w:szCs w:val="22"/>
        </w:rPr>
        <w:t xml:space="preserve">While we began this discussion (and some of the process), we will have to pause on pursuing </w:t>
      </w:r>
      <w:proofErr w:type="gramStart"/>
      <w:r w:rsidR="00AF4222" w:rsidRPr="00515856">
        <w:rPr>
          <w:rFonts w:ascii="Times New Roman" w:hAnsi="Times New Roman" w:cs="Times New Roman"/>
          <w:sz w:val="22"/>
          <w:szCs w:val="22"/>
        </w:rPr>
        <w:t>it</w:t>
      </w:r>
      <w:proofErr w:type="gramEnd"/>
      <w:r w:rsidR="00AF4222" w:rsidRPr="00515856">
        <w:rPr>
          <w:rFonts w:ascii="Times New Roman" w:hAnsi="Times New Roman" w:cs="Times New Roman"/>
          <w:sz w:val="22"/>
          <w:szCs w:val="22"/>
        </w:rPr>
        <w:t xml:space="preserve"> </w:t>
      </w:r>
      <w:r w:rsidR="007255E0">
        <w:rPr>
          <w:rFonts w:ascii="Times New Roman" w:hAnsi="Times New Roman" w:cs="Times New Roman"/>
          <w:sz w:val="22"/>
          <w:szCs w:val="22"/>
        </w:rPr>
        <w:t xml:space="preserve">as </w:t>
      </w:r>
      <w:r w:rsidR="00AF4222" w:rsidRPr="00515856">
        <w:rPr>
          <w:rFonts w:ascii="Times New Roman" w:hAnsi="Times New Roman" w:cs="Times New Roman"/>
          <w:sz w:val="22"/>
          <w:szCs w:val="22"/>
        </w:rPr>
        <w:t>we are required to do GE Assessment for Arts and Humanities in 2018-2019.</w:t>
      </w:r>
      <w:r w:rsidR="007255E0">
        <w:rPr>
          <w:rFonts w:ascii="Times New Roman" w:hAnsi="Times New Roman" w:cs="Times New Roman"/>
          <w:sz w:val="22"/>
          <w:szCs w:val="22"/>
        </w:rPr>
        <w:t xml:space="preserve"> </w:t>
      </w:r>
      <w:r w:rsidR="00AF4222" w:rsidRPr="00515856">
        <w:rPr>
          <w:rFonts w:ascii="Times New Roman" w:hAnsi="Times New Roman" w:cs="Times New Roman"/>
          <w:sz w:val="22"/>
          <w:szCs w:val="22"/>
        </w:rPr>
        <w:t>I strongly</w:t>
      </w:r>
      <w:r w:rsidR="003434CE" w:rsidRPr="00515856">
        <w:rPr>
          <w:rFonts w:ascii="Times New Roman" w:hAnsi="Times New Roman" w:cs="Times New Roman"/>
          <w:sz w:val="22"/>
          <w:szCs w:val="22"/>
        </w:rPr>
        <w:t xml:space="preserve"> recommend that the assessment liaison in 2020-2021 take on the</w:t>
      </w:r>
      <w:r w:rsidR="00AF4222" w:rsidRPr="00515856">
        <w:rPr>
          <w:rFonts w:ascii="Times New Roman" w:hAnsi="Times New Roman" w:cs="Times New Roman"/>
          <w:sz w:val="22"/>
          <w:szCs w:val="22"/>
        </w:rPr>
        <w:t xml:space="preserve"> project of creating minimum </w:t>
      </w:r>
      <w:r w:rsidR="002A2FD3" w:rsidRPr="00515856">
        <w:rPr>
          <w:rFonts w:ascii="Times New Roman" w:hAnsi="Times New Roman" w:cs="Times New Roman"/>
          <w:sz w:val="22"/>
          <w:szCs w:val="22"/>
        </w:rPr>
        <w:t xml:space="preserve">course SLOs for </w:t>
      </w:r>
      <w:r w:rsidR="00AF4222" w:rsidRPr="00515856">
        <w:rPr>
          <w:rFonts w:ascii="Times New Roman" w:hAnsi="Times New Roman" w:cs="Times New Roman"/>
          <w:sz w:val="22"/>
          <w:szCs w:val="22"/>
        </w:rPr>
        <w:t xml:space="preserve">all GWS courses and </w:t>
      </w:r>
      <w:r w:rsidR="007255E0">
        <w:rPr>
          <w:rFonts w:ascii="Times New Roman" w:hAnsi="Times New Roman" w:cs="Times New Roman"/>
          <w:sz w:val="22"/>
          <w:szCs w:val="22"/>
        </w:rPr>
        <w:t>disseminating this to all faculty in GWS.</w:t>
      </w:r>
      <w:r w:rsidR="00AF4222" w:rsidRPr="00515856">
        <w:rPr>
          <w:rFonts w:ascii="Times New Roman" w:hAnsi="Times New Roman" w:cs="Times New Roman"/>
          <w:sz w:val="22"/>
          <w:szCs w:val="22"/>
        </w:rPr>
        <w:t xml:space="preserve"> As per our departmental agreement, faculty can then </w:t>
      </w:r>
      <w:r w:rsidR="002A2FD3" w:rsidRPr="00515856">
        <w:rPr>
          <w:rFonts w:ascii="Times New Roman" w:hAnsi="Times New Roman" w:cs="Times New Roman"/>
          <w:sz w:val="22"/>
          <w:szCs w:val="22"/>
        </w:rPr>
        <w:t>ad</w:t>
      </w:r>
      <w:r w:rsidRPr="00515856">
        <w:rPr>
          <w:rFonts w:ascii="Times New Roman" w:hAnsi="Times New Roman" w:cs="Times New Roman"/>
          <w:sz w:val="22"/>
          <w:szCs w:val="22"/>
        </w:rPr>
        <w:t xml:space="preserve">d additional SLOs but must meet/list basic agreed upon </w:t>
      </w:r>
      <w:r w:rsidR="002A2FD3" w:rsidRPr="00515856">
        <w:rPr>
          <w:rFonts w:ascii="Times New Roman" w:hAnsi="Times New Roman" w:cs="Times New Roman"/>
          <w:sz w:val="22"/>
          <w:szCs w:val="22"/>
        </w:rPr>
        <w:t xml:space="preserve">course SLOs </w:t>
      </w:r>
      <w:r w:rsidRPr="00515856">
        <w:rPr>
          <w:rFonts w:ascii="Times New Roman" w:hAnsi="Times New Roman" w:cs="Times New Roman"/>
          <w:sz w:val="22"/>
          <w:szCs w:val="22"/>
        </w:rPr>
        <w:t xml:space="preserve">to </w:t>
      </w:r>
      <w:r w:rsidR="002A2FD3" w:rsidRPr="00515856">
        <w:rPr>
          <w:rFonts w:ascii="Times New Roman" w:hAnsi="Times New Roman" w:cs="Times New Roman"/>
          <w:sz w:val="22"/>
          <w:szCs w:val="22"/>
        </w:rPr>
        <w:t>ensure some consistency in our teaching acros</w:t>
      </w:r>
      <w:r w:rsidR="003434CE" w:rsidRPr="00515856">
        <w:rPr>
          <w:rFonts w:ascii="Times New Roman" w:hAnsi="Times New Roman" w:cs="Times New Roman"/>
          <w:sz w:val="22"/>
          <w:szCs w:val="22"/>
        </w:rPr>
        <w:t>s a range of full time and part-t</w:t>
      </w:r>
      <w:r w:rsidR="002A2FD3" w:rsidRPr="00515856">
        <w:rPr>
          <w:rFonts w:ascii="Times New Roman" w:hAnsi="Times New Roman" w:cs="Times New Roman"/>
          <w:sz w:val="22"/>
          <w:szCs w:val="22"/>
        </w:rPr>
        <w:t>ime faculty.</w:t>
      </w:r>
    </w:p>
    <w:p w:rsidR="00EF3AAD" w:rsidRPr="00515856" w:rsidRDefault="00EF3AAD" w:rsidP="003434CE">
      <w:pPr>
        <w:rPr>
          <w:rFonts w:ascii="Times New Roman" w:hAnsi="Times New Roman" w:cs="Times New Roman"/>
          <w:sz w:val="22"/>
          <w:szCs w:val="22"/>
        </w:rPr>
      </w:pPr>
    </w:p>
    <w:p w:rsidR="00660EA6" w:rsidRPr="00515856" w:rsidRDefault="00660EA6">
      <w:pPr>
        <w:rPr>
          <w:rFonts w:ascii="Times New Roman" w:hAnsi="Times New Roman" w:cs="Times New Roman"/>
          <w:sz w:val="22"/>
          <w:szCs w:val="22"/>
        </w:rPr>
      </w:pPr>
    </w:p>
    <w:sectPr w:rsidR="00660EA6" w:rsidRPr="00515856" w:rsidSect="0074303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56" w:rsidRDefault="00515856" w:rsidP="008C11C1">
      <w:r>
        <w:separator/>
      </w:r>
    </w:p>
  </w:endnote>
  <w:endnote w:type="continuationSeparator" w:id="0">
    <w:p w:rsidR="00515856" w:rsidRDefault="00515856" w:rsidP="008C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56" w:rsidRDefault="00515856" w:rsidP="00490D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5856" w:rsidRDefault="00515856" w:rsidP="008C11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856" w:rsidRDefault="00515856" w:rsidP="00490D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679">
      <w:rPr>
        <w:rStyle w:val="PageNumber"/>
        <w:noProof/>
      </w:rPr>
      <w:t>1</w:t>
    </w:r>
    <w:r>
      <w:rPr>
        <w:rStyle w:val="PageNumber"/>
      </w:rPr>
      <w:fldChar w:fldCharType="end"/>
    </w:r>
  </w:p>
  <w:p w:rsidR="00515856" w:rsidRDefault="00515856" w:rsidP="008C11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56" w:rsidRDefault="00515856" w:rsidP="008C11C1">
      <w:r>
        <w:separator/>
      </w:r>
    </w:p>
  </w:footnote>
  <w:footnote w:type="continuationSeparator" w:id="0">
    <w:p w:rsidR="00515856" w:rsidRDefault="00515856" w:rsidP="008C11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EAD"/>
    <w:multiLevelType w:val="hybridMultilevel"/>
    <w:tmpl w:val="A006B8C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C65CFA"/>
    <w:multiLevelType w:val="hybridMultilevel"/>
    <w:tmpl w:val="DFA68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4B78"/>
    <w:multiLevelType w:val="multilevel"/>
    <w:tmpl w:val="3EF8FF16"/>
    <w:lvl w:ilvl="0">
      <w:start w:val="1"/>
      <w:numFmt w:val="decimal"/>
      <w:lvlText w:val="%1."/>
      <w:lvlJc w:val="left"/>
      <w:pPr>
        <w:ind w:left="720" w:hanging="360"/>
      </w:pPr>
    </w:lvl>
    <w:lvl w:ilvl="1">
      <w:start w:val="2"/>
      <w:numFmt w:val="upperRoman"/>
      <w:lvlText w:val="%2."/>
      <w:lvlJc w:val="left"/>
      <w:pPr>
        <w:ind w:left="1800" w:hanging="720"/>
      </w:pPr>
      <w:rPr>
        <w:rFonts w:ascii="Times New Roman" w:eastAsia="Calibr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A20C89"/>
    <w:multiLevelType w:val="hybridMultilevel"/>
    <w:tmpl w:val="0832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63C1C"/>
    <w:multiLevelType w:val="hybridMultilevel"/>
    <w:tmpl w:val="1738186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4B42FC"/>
    <w:multiLevelType w:val="hybridMultilevel"/>
    <w:tmpl w:val="62E42B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A77B69"/>
    <w:multiLevelType w:val="hybridMultilevel"/>
    <w:tmpl w:val="755C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5D113E"/>
    <w:multiLevelType w:val="hybridMultilevel"/>
    <w:tmpl w:val="6DC0BB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68"/>
    <w:rsid w:val="0004512B"/>
    <w:rsid w:val="00097029"/>
    <w:rsid w:val="001973A4"/>
    <w:rsid w:val="001A5A7B"/>
    <w:rsid w:val="00222B77"/>
    <w:rsid w:val="002A2FD3"/>
    <w:rsid w:val="00330B19"/>
    <w:rsid w:val="003434CE"/>
    <w:rsid w:val="003660DB"/>
    <w:rsid w:val="003B133D"/>
    <w:rsid w:val="00490D69"/>
    <w:rsid w:val="004F6B68"/>
    <w:rsid w:val="00515856"/>
    <w:rsid w:val="00596EC4"/>
    <w:rsid w:val="005B0C0F"/>
    <w:rsid w:val="00660EA6"/>
    <w:rsid w:val="006801FC"/>
    <w:rsid w:val="007158CC"/>
    <w:rsid w:val="007255E0"/>
    <w:rsid w:val="00743030"/>
    <w:rsid w:val="00752BF4"/>
    <w:rsid w:val="00755592"/>
    <w:rsid w:val="007F57B5"/>
    <w:rsid w:val="00831B91"/>
    <w:rsid w:val="008C11C1"/>
    <w:rsid w:val="00936A8C"/>
    <w:rsid w:val="00945E04"/>
    <w:rsid w:val="009D1679"/>
    <w:rsid w:val="009E6C57"/>
    <w:rsid w:val="00A27039"/>
    <w:rsid w:val="00AF4222"/>
    <w:rsid w:val="00B52534"/>
    <w:rsid w:val="00BF4902"/>
    <w:rsid w:val="00BF4E71"/>
    <w:rsid w:val="00C57580"/>
    <w:rsid w:val="00C866C5"/>
    <w:rsid w:val="00D26574"/>
    <w:rsid w:val="00D64DE1"/>
    <w:rsid w:val="00E013DE"/>
    <w:rsid w:val="00E65D54"/>
    <w:rsid w:val="00E70FAB"/>
    <w:rsid w:val="00EA1794"/>
    <w:rsid w:val="00EF3AAD"/>
    <w:rsid w:val="00F3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68"/>
    <w:rPr>
      <w:rFonts w:ascii="Garamond" w:eastAsiaTheme="minorEastAsia"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B68"/>
    <w:pPr>
      <w:ind w:left="720"/>
      <w:contextualSpacing/>
    </w:pPr>
    <w:rPr>
      <w:rFonts w:ascii="Times New Roman" w:eastAsia="Times New Roman" w:hAnsi="Times New Roman" w:cs="Times New Roman"/>
    </w:rPr>
  </w:style>
  <w:style w:type="table" w:styleId="TableGrid">
    <w:name w:val="Table Grid"/>
    <w:basedOn w:val="TableNormal"/>
    <w:uiPriority w:val="39"/>
    <w:rsid w:val="0071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158C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7158C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831B91"/>
    <w:rPr>
      <w:rFonts w:ascii="Garamond" w:eastAsiaTheme="minorEastAsia" w:hAnsi="Garamond"/>
    </w:rPr>
  </w:style>
  <w:style w:type="table" w:styleId="LightList-Accent2">
    <w:name w:val="Light List Accent 2"/>
    <w:basedOn w:val="TableNormal"/>
    <w:uiPriority w:val="61"/>
    <w:rsid w:val="00E65D54"/>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1">
    <w:name w:val="Light List Accent 1"/>
    <w:basedOn w:val="TableNormal"/>
    <w:uiPriority w:val="61"/>
    <w:rsid w:val="00E65D54"/>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Grid-Accent1">
    <w:name w:val="Light Grid Accent 1"/>
    <w:basedOn w:val="TableNormal"/>
    <w:uiPriority w:val="62"/>
    <w:rsid w:val="00E65D54"/>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E65D54"/>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Shading2-Accent6">
    <w:name w:val="Medium Shading 2 Accent 6"/>
    <w:basedOn w:val="TableNormal"/>
    <w:uiPriority w:val="64"/>
    <w:rsid w:val="00E65D5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65D5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65D5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65D5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E65D54"/>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rsid w:val="00E65D54"/>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2">
    <w:name w:val="Medium Grid 1 Accent 2"/>
    <w:basedOn w:val="TableNormal"/>
    <w:uiPriority w:val="67"/>
    <w:rsid w:val="00E65D54"/>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BalloonText">
    <w:name w:val="Balloon Text"/>
    <w:basedOn w:val="Normal"/>
    <w:link w:val="BalloonTextChar"/>
    <w:uiPriority w:val="99"/>
    <w:semiHidden/>
    <w:unhideWhenUsed/>
    <w:rsid w:val="00330B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0B19"/>
    <w:rPr>
      <w:rFonts w:ascii="Lucida Grande" w:eastAsiaTheme="minorEastAsia" w:hAnsi="Lucida Grande" w:cs="Lucida Grande"/>
      <w:sz w:val="18"/>
      <w:szCs w:val="18"/>
    </w:rPr>
  </w:style>
  <w:style w:type="paragraph" w:styleId="Footer">
    <w:name w:val="footer"/>
    <w:basedOn w:val="Normal"/>
    <w:link w:val="FooterChar"/>
    <w:uiPriority w:val="99"/>
    <w:unhideWhenUsed/>
    <w:rsid w:val="008C11C1"/>
    <w:pPr>
      <w:tabs>
        <w:tab w:val="center" w:pos="4320"/>
        <w:tab w:val="right" w:pos="8640"/>
      </w:tabs>
    </w:pPr>
  </w:style>
  <w:style w:type="character" w:customStyle="1" w:styleId="FooterChar">
    <w:name w:val="Footer Char"/>
    <w:basedOn w:val="DefaultParagraphFont"/>
    <w:link w:val="Footer"/>
    <w:uiPriority w:val="99"/>
    <w:rsid w:val="008C11C1"/>
    <w:rPr>
      <w:rFonts w:ascii="Garamond" w:eastAsiaTheme="minorEastAsia" w:hAnsi="Garamond"/>
    </w:rPr>
  </w:style>
  <w:style w:type="character" w:styleId="PageNumber">
    <w:name w:val="page number"/>
    <w:basedOn w:val="DefaultParagraphFont"/>
    <w:uiPriority w:val="99"/>
    <w:semiHidden/>
    <w:unhideWhenUsed/>
    <w:rsid w:val="008C11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68"/>
    <w:rPr>
      <w:rFonts w:ascii="Garamond" w:eastAsiaTheme="minorEastAsia"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B68"/>
    <w:pPr>
      <w:ind w:left="720"/>
      <w:contextualSpacing/>
    </w:pPr>
    <w:rPr>
      <w:rFonts w:ascii="Times New Roman" w:eastAsia="Times New Roman" w:hAnsi="Times New Roman" w:cs="Times New Roman"/>
    </w:rPr>
  </w:style>
  <w:style w:type="table" w:styleId="TableGrid">
    <w:name w:val="Table Grid"/>
    <w:basedOn w:val="TableNormal"/>
    <w:uiPriority w:val="39"/>
    <w:rsid w:val="007158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158C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7158C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831B91"/>
    <w:rPr>
      <w:rFonts w:ascii="Garamond" w:eastAsiaTheme="minorEastAsia" w:hAnsi="Garamond"/>
    </w:rPr>
  </w:style>
  <w:style w:type="table" w:styleId="LightList-Accent2">
    <w:name w:val="Light List Accent 2"/>
    <w:basedOn w:val="TableNormal"/>
    <w:uiPriority w:val="61"/>
    <w:rsid w:val="00E65D54"/>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1">
    <w:name w:val="Light List Accent 1"/>
    <w:basedOn w:val="TableNormal"/>
    <w:uiPriority w:val="61"/>
    <w:rsid w:val="00E65D54"/>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Grid-Accent1">
    <w:name w:val="Light Grid Accent 1"/>
    <w:basedOn w:val="TableNormal"/>
    <w:uiPriority w:val="62"/>
    <w:rsid w:val="00E65D54"/>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E65D54"/>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ediumShading2-Accent6">
    <w:name w:val="Medium Shading 2 Accent 6"/>
    <w:basedOn w:val="TableNormal"/>
    <w:uiPriority w:val="64"/>
    <w:rsid w:val="00E65D5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65D5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65D5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65D5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E65D54"/>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3">
    <w:name w:val="Medium Grid 1 Accent 3"/>
    <w:basedOn w:val="TableNormal"/>
    <w:uiPriority w:val="67"/>
    <w:rsid w:val="00E65D54"/>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2">
    <w:name w:val="Medium Grid 1 Accent 2"/>
    <w:basedOn w:val="TableNormal"/>
    <w:uiPriority w:val="67"/>
    <w:rsid w:val="00E65D54"/>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BalloonText">
    <w:name w:val="Balloon Text"/>
    <w:basedOn w:val="Normal"/>
    <w:link w:val="BalloonTextChar"/>
    <w:uiPriority w:val="99"/>
    <w:semiHidden/>
    <w:unhideWhenUsed/>
    <w:rsid w:val="00330B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0B19"/>
    <w:rPr>
      <w:rFonts w:ascii="Lucida Grande" w:eastAsiaTheme="minorEastAsia" w:hAnsi="Lucida Grande" w:cs="Lucida Grande"/>
      <w:sz w:val="18"/>
      <w:szCs w:val="18"/>
    </w:rPr>
  </w:style>
  <w:style w:type="paragraph" w:styleId="Footer">
    <w:name w:val="footer"/>
    <w:basedOn w:val="Normal"/>
    <w:link w:val="FooterChar"/>
    <w:uiPriority w:val="99"/>
    <w:unhideWhenUsed/>
    <w:rsid w:val="008C11C1"/>
    <w:pPr>
      <w:tabs>
        <w:tab w:val="center" w:pos="4320"/>
        <w:tab w:val="right" w:pos="8640"/>
      </w:tabs>
    </w:pPr>
  </w:style>
  <w:style w:type="character" w:customStyle="1" w:styleId="FooterChar">
    <w:name w:val="Footer Char"/>
    <w:basedOn w:val="DefaultParagraphFont"/>
    <w:link w:val="Footer"/>
    <w:uiPriority w:val="99"/>
    <w:rsid w:val="008C11C1"/>
    <w:rPr>
      <w:rFonts w:ascii="Garamond" w:eastAsiaTheme="minorEastAsia" w:hAnsi="Garamond"/>
    </w:rPr>
  </w:style>
  <w:style w:type="character" w:styleId="PageNumber">
    <w:name w:val="page number"/>
    <w:basedOn w:val="DefaultParagraphFont"/>
    <w:uiPriority w:val="99"/>
    <w:semiHidden/>
    <w:unhideWhenUsed/>
    <w:rsid w:val="008C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29772">
      <w:bodyDiv w:val="1"/>
      <w:marLeft w:val="0"/>
      <w:marRight w:val="0"/>
      <w:marTop w:val="0"/>
      <w:marBottom w:val="0"/>
      <w:divBdr>
        <w:top w:val="none" w:sz="0" w:space="0" w:color="auto"/>
        <w:left w:val="none" w:sz="0" w:space="0" w:color="auto"/>
        <w:bottom w:val="none" w:sz="0" w:space="0" w:color="auto"/>
        <w:right w:val="none" w:sz="0" w:space="0" w:color="auto"/>
      </w:divBdr>
    </w:div>
    <w:div w:id="21458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DFCEC01-2B5E-284C-8951-CA66A19E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khanums@gmail.com</dc:creator>
  <cp:keywords/>
  <dc:description/>
  <cp:lastModifiedBy>Khanum Shaikh</cp:lastModifiedBy>
  <cp:revision>2</cp:revision>
  <cp:lastPrinted>2018-09-21T20:44:00Z</cp:lastPrinted>
  <dcterms:created xsi:type="dcterms:W3CDTF">2018-09-28T18:45:00Z</dcterms:created>
  <dcterms:modified xsi:type="dcterms:W3CDTF">2018-09-28T18:45:00Z</dcterms:modified>
</cp:coreProperties>
</file>