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6.xml" ContentType="application/vnd.openxmlformats-officedocument.wordprocessingml.footer+xml"/>
  <Override PartName="/word/header12.xml" ContentType="application/vnd.openxmlformats-officedocument.wordprocessingml.head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header13.xml" ContentType="application/vnd.openxmlformats-officedocument.wordprocessingml.header+xml"/>
  <Override PartName="/word/footer7.xml" ContentType="application/vnd.openxmlformats-officedocument.wordprocessingml.footer+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oter8.xml" ContentType="application/vnd.openxmlformats-officedocument.wordprocessingml.footer+xml"/>
  <Override PartName="/word/footer9.xml" ContentType="application/vnd.openxmlformats-officedocument.wordprocessingml.footer+xml"/>
  <Override PartName="/word/header14.xml" ContentType="application/vnd.openxmlformats-officedocument.wordprocessingml.header+xml"/>
  <Override PartName="/word/charts/chart19.xml" ContentType="application/vnd.openxmlformats-officedocument.drawingml.chart+xml"/>
  <Override PartName="/word/header15.xml" ContentType="application/vnd.openxmlformats-officedocument.wordprocessingml.header+xml"/>
  <Override PartName="/word/header16.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4.xml" ContentType="application/vnd.openxmlformats-officedocument.wordprocessingml.footer+xml"/>
  <Override PartName="/word/header22.xml" ContentType="application/vnd.openxmlformats-officedocument.wordprocessingml.header+xml"/>
  <Override PartName="/word/footer15.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16.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3382" w:rsidRDefault="00053382" w:rsidP="00DA0AC2">
      <w:pPr>
        <w:spacing w:line="240" w:lineRule="auto"/>
        <w:jc w:val="center"/>
      </w:pPr>
      <w:r>
        <w:rPr>
          <w:noProof/>
        </w:rPr>
        <w:drawing>
          <wp:inline distT="0" distB="0" distL="0" distR="0">
            <wp:extent cx="3192856" cy="6515100"/>
            <wp:effectExtent l="0" t="0" r="7620" b="0"/>
            <wp:docPr id="4" name="Picture 3"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3190131" cy="6511159"/>
                    </a:xfrm>
                    <a:prstGeom prst="rect">
                      <a:avLst/>
                    </a:prstGeom>
                    <a:noFill/>
                    <a:ln w="9525">
                      <a:noFill/>
                      <a:miter lim="800000"/>
                      <a:headEnd/>
                      <a:tailEnd/>
                    </a:ln>
                  </pic:spPr>
                </pic:pic>
              </a:graphicData>
            </a:graphic>
          </wp:inline>
        </w:drawing>
      </w:r>
    </w:p>
    <w:p w:rsidR="00053382" w:rsidRDefault="004A3ED4" w:rsidP="00DA0AC2">
      <w:pPr>
        <w:spacing w:line="240" w:lineRule="auto"/>
        <w:jc w:val="center"/>
      </w:pPr>
      <w:r>
        <w:rPr>
          <w:noProof/>
        </w:rPr>
        <mc:AlternateContent>
          <mc:Choice Requires="wps">
            <w:drawing>
              <wp:anchor distT="4294967293" distB="4294967293" distL="114300" distR="114300" simplePos="0" relativeHeight="251660288" behindDoc="0" locked="0" layoutInCell="1" allowOverlap="1">
                <wp:simplePos x="0" y="0"/>
                <wp:positionH relativeFrom="column">
                  <wp:posOffset>-403225</wp:posOffset>
                </wp:positionH>
                <wp:positionV relativeFrom="paragraph">
                  <wp:posOffset>88899</wp:posOffset>
                </wp:positionV>
                <wp:extent cx="6858000" cy="0"/>
                <wp:effectExtent l="0" t="0" r="19050" b="19050"/>
                <wp:wrapNone/>
                <wp:docPr id="95" name="AutoShape 6"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straightConnector1">
                          <a:avLst/>
                        </a:prstGeom>
                        <a:noFill/>
                        <a:ln w="158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071E15C" id="_x0000_t32" coordsize="21600,21600" o:spt="32" o:oned="t" path="m,l21600,21600e" filled="f">
                <v:path arrowok="t" fillok="f" o:connecttype="none"/>
                <o:lock v:ext="edit" shapetype="t"/>
              </v:shapetype>
              <v:shape id="AutoShape 6" o:spid="_x0000_s1026" type="#_x0000_t32" alt="&quot;&quot;" style="position:absolute;margin-left:-31.75pt;margin-top:7pt;width:540pt;height:0;z-index:251660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" strokecolor="teal" strokeweight="1.25pt"/>
            </w:pict>
          </mc:Fallback>
        </mc:AlternateContent>
      </w:r>
    </w:p>
    <w:p w:rsidR="00053382" w:rsidRDefault="00053382" w:rsidP="00DA0AC2">
      <w:pPr>
        <w:spacing w:line="240" w:lineRule="auto"/>
        <w:jc w:val="center"/>
        <w:rPr>
          <w:b/>
          <w:color w:val="595959" w:themeColor="text1" w:themeTint="A6"/>
          <w:sz w:val="52"/>
          <w:szCs w:val="52"/>
        </w:rPr>
      </w:pPr>
      <w:r>
        <w:rPr>
          <w:b/>
          <w:color w:val="595959" w:themeColor="text1" w:themeTint="A6"/>
          <w:sz w:val="52"/>
          <w:szCs w:val="52"/>
        </w:rPr>
        <w:t xml:space="preserve">CSUN </w:t>
      </w:r>
      <w:r w:rsidR="00A46C1D">
        <w:rPr>
          <w:b/>
          <w:color w:val="595959" w:themeColor="text1" w:themeTint="A6"/>
          <w:sz w:val="52"/>
          <w:szCs w:val="52"/>
        </w:rPr>
        <w:t>Climate Action Plan</w:t>
      </w:r>
      <w:r w:rsidR="00101DC5">
        <w:rPr>
          <w:b/>
          <w:color w:val="595959" w:themeColor="text1" w:themeTint="A6"/>
          <w:sz w:val="52"/>
          <w:szCs w:val="52"/>
        </w:rPr>
        <w:t>, 201</w:t>
      </w:r>
      <w:r w:rsidR="00DB3CAC">
        <w:rPr>
          <w:b/>
          <w:color w:val="595959" w:themeColor="text1" w:themeTint="A6"/>
          <w:sz w:val="52"/>
          <w:szCs w:val="52"/>
        </w:rPr>
        <w:t>6</w:t>
      </w:r>
    </w:p>
    <w:p w:rsidR="00032166" w:rsidRPr="008262C0" w:rsidRDefault="00DB3CAC" w:rsidP="00DA0AC2">
      <w:pPr>
        <w:spacing w:line="240" w:lineRule="auto"/>
        <w:jc w:val="center"/>
        <w:rPr>
          <w:b/>
          <w:color w:val="595959" w:themeColor="text1" w:themeTint="A6"/>
          <w:sz w:val="32"/>
          <w:szCs w:val="32"/>
        </w:rPr>
      </w:pPr>
      <w:r>
        <w:rPr>
          <w:b/>
          <w:color w:val="595959" w:themeColor="text1" w:themeTint="A6"/>
          <w:sz w:val="32"/>
          <w:szCs w:val="32"/>
        </w:rPr>
        <w:t>January 15</w:t>
      </w:r>
      <w:r w:rsidR="008833C9" w:rsidRPr="008262C0">
        <w:rPr>
          <w:b/>
          <w:color w:val="595959" w:themeColor="text1" w:themeTint="A6"/>
          <w:sz w:val="32"/>
          <w:szCs w:val="32"/>
        </w:rPr>
        <w:t>, 201</w:t>
      </w:r>
      <w:r>
        <w:rPr>
          <w:b/>
          <w:color w:val="595959" w:themeColor="text1" w:themeTint="A6"/>
          <w:sz w:val="32"/>
          <w:szCs w:val="32"/>
        </w:rPr>
        <w:t>6</w:t>
      </w:r>
    </w:p>
    <w:bookmarkStart w:id="0" w:name="Text3"/>
    <w:p w:rsidR="00053382" w:rsidRDefault="004A3ED4" w:rsidP="00DA0AC2">
      <w:pPr>
        <w:spacing w:line="240" w:lineRule="auto"/>
        <w:rPr>
          <w:b/>
        </w:rPr>
      </w:pPr>
      <w:r>
        <w:rPr>
          <w:noProof/>
          <w:color w:val="595959" w:themeColor="text1" w:themeTint="A6"/>
          <w:sz w:val="32"/>
          <w:szCs w:val="32"/>
        </w:rPr>
        <mc:AlternateContent>
          <mc:Choice Requires="wps">
            <w:drawing>
              <wp:anchor distT="4294967293" distB="4294967293" distL="114300" distR="114300" simplePos="0" relativeHeight="251661312" behindDoc="0" locked="0" layoutInCell="1" allowOverlap="1">
                <wp:simplePos x="0" y="0"/>
                <wp:positionH relativeFrom="column">
                  <wp:posOffset>-426085</wp:posOffset>
                </wp:positionH>
                <wp:positionV relativeFrom="paragraph">
                  <wp:posOffset>64769</wp:posOffset>
                </wp:positionV>
                <wp:extent cx="6858000" cy="0"/>
                <wp:effectExtent l="0" t="0" r="19050" b="19050"/>
                <wp:wrapNone/>
                <wp:docPr id="94" name="AutoShape 7"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straightConnector1">
                          <a:avLst/>
                        </a:prstGeom>
                        <a:noFill/>
                        <a:ln w="158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0293955" id="AutoShape 7" o:spid="_x0000_s1026" type="#_x0000_t32" alt="&quot;&quot;" style="position:absolute;margin-left:-33.55pt;margin-top:5.1pt;width:540pt;height:0;z-index:2516613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" strokecolor="teal" strokeweight="1.25pt"/>
            </w:pict>
          </mc:Fallback>
        </mc:AlternateContent>
      </w:r>
      <w:bookmarkEnd w:id="0"/>
    </w:p>
    <w:p w:rsidR="006639F9" w:rsidRDefault="006639F9" w:rsidP="00DA0AC2">
      <w:pPr>
        <w:spacing w:line="240" w:lineRule="auto"/>
        <w:rPr>
          <w:b/>
        </w:rPr>
        <w:sectPr w:rsidR="006639F9" w:rsidSect="00B31A47">
          <w:headerReference w:type="even" r:id="rId9"/>
          <w:footerReference w:type="even" r:id="rId10"/>
          <w:footerReference w:type="default" r:id="rId11"/>
          <w:endnotePr>
            <w:numFmt w:val="decimal"/>
          </w:endnotePr>
          <w:type w:val="continuous"/>
          <w:pgSz w:w="12240" w:h="15840"/>
          <w:pgMar w:top="1440" w:right="1440" w:bottom="1440" w:left="1800" w:header="720" w:footer="720" w:gutter="0"/>
          <w:cols w:space="720"/>
          <w:docGrid w:linePitch="360"/>
        </w:sectPr>
      </w:pPr>
    </w:p>
    <w:p w:rsidR="009154E8" w:rsidRDefault="009154E8" w:rsidP="00DA0AC2">
      <w:pPr>
        <w:pStyle w:val="Heading1"/>
        <w:spacing w:before="120" w:line="240" w:lineRule="auto"/>
        <w:jc w:val="center"/>
        <w:rPr>
          <w:color w:val="595959" w:themeColor="text1" w:themeTint="A6"/>
          <w:szCs w:val="40"/>
        </w:rPr>
        <w:sectPr w:rsidR="009154E8" w:rsidSect="006D3214">
          <w:headerReference w:type="even" r:id="rId12"/>
          <w:headerReference w:type="default" r:id="rId13"/>
          <w:footerReference w:type="even" r:id="rId14"/>
          <w:footerReference w:type="default" r:id="rId15"/>
          <w:headerReference w:type="first" r:id="rId16"/>
          <w:endnotePr>
            <w:numFmt w:val="decimal"/>
          </w:endnotePr>
          <w:pgSz w:w="12240" w:h="15840"/>
          <w:pgMar w:top="1620" w:right="1440" w:bottom="1440" w:left="1800" w:header="720" w:footer="720" w:gutter="0"/>
          <w:pgNumType w:fmt="lowerRoman" w:start="1"/>
          <w:cols w:space="720"/>
          <w:docGrid w:linePitch="360"/>
        </w:sectPr>
      </w:pPr>
    </w:p>
    <w:p w:rsidR="00E54197" w:rsidRPr="00862300" w:rsidRDefault="00E54197" w:rsidP="009711EC">
      <w:pPr>
        <w:pStyle w:val="Heading1"/>
        <w:spacing w:before="0" w:line="240" w:lineRule="auto"/>
      </w:pPr>
      <w:bookmarkStart w:id="1" w:name="_Toc440630047"/>
      <w:r w:rsidRPr="00862300">
        <w:lastRenderedPageBreak/>
        <w:t>Executive Summary</w:t>
      </w:r>
      <w:bookmarkEnd w:id="1"/>
      <w:r w:rsidR="00F2256B" w:rsidRPr="00862300">
        <w:t xml:space="preserve"> </w:t>
      </w:r>
    </w:p>
    <w:p w:rsidR="006D3214" w:rsidRPr="00AF0F1E" w:rsidRDefault="006D3214" w:rsidP="00DA0AC2">
      <w:pPr>
        <w:spacing w:line="240" w:lineRule="auto"/>
        <w:rPr>
          <w:sz w:val="16"/>
        </w:rPr>
      </w:pPr>
    </w:p>
    <w:p w:rsidR="00987A5B" w:rsidRPr="002455D6" w:rsidRDefault="00A331B5" w:rsidP="00E9259D">
      <w:pPr>
        <w:rPr>
          <w:bCs/>
        </w:rPr>
      </w:pPr>
      <w:r w:rsidRPr="002455D6">
        <w:rPr>
          <w:bCs/>
        </w:rPr>
        <w:t>C</w:t>
      </w:r>
      <w:r w:rsidR="00EA62E8" w:rsidRPr="002455D6">
        <w:rPr>
          <w:bCs/>
        </w:rPr>
        <w:t>alifornia State University</w:t>
      </w:r>
      <w:r w:rsidR="0019776B">
        <w:rPr>
          <w:bCs/>
        </w:rPr>
        <w:t>, Northridge</w:t>
      </w:r>
      <w:r w:rsidR="00EA62E8" w:rsidRPr="002455D6">
        <w:rPr>
          <w:bCs/>
        </w:rPr>
        <w:t>’s</w:t>
      </w:r>
      <w:r w:rsidRPr="002455D6">
        <w:rPr>
          <w:bCs/>
        </w:rPr>
        <w:t xml:space="preserve"> </w:t>
      </w:r>
      <w:r w:rsidR="00EA62E8" w:rsidRPr="002455D6">
        <w:rPr>
          <w:bCs/>
        </w:rPr>
        <w:t>C</w:t>
      </w:r>
      <w:r w:rsidRPr="002455D6">
        <w:rPr>
          <w:bCs/>
        </w:rPr>
        <w:t xml:space="preserve">limate </w:t>
      </w:r>
      <w:r w:rsidR="00EA62E8" w:rsidRPr="002455D6">
        <w:rPr>
          <w:bCs/>
        </w:rPr>
        <w:t>A</w:t>
      </w:r>
      <w:r w:rsidRPr="002455D6">
        <w:rPr>
          <w:bCs/>
        </w:rPr>
        <w:t xml:space="preserve">ction </w:t>
      </w:r>
      <w:r w:rsidR="00EA62E8" w:rsidRPr="002455D6">
        <w:rPr>
          <w:bCs/>
        </w:rPr>
        <w:t>P</w:t>
      </w:r>
      <w:r w:rsidRPr="002455D6">
        <w:rPr>
          <w:bCs/>
        </w:rPr>
        <w:t>lan will</w:t>
      </w:r>
      <w:r w:rsidR="008833C9" w:rsidRPr="002455D6">
        <w:rPr>
          <w:bCs/>
        </w:rPr>
        <w:t xml:space="preserve"> achiev</w:t>
      </w:r>
      <w:r w:rsidRPr="002455D6">
        <w:rPr>
          <w:bCs/>
        </w:rPr>
        <w:t>e</w:t>
      </w:r>
      <w:r w:rsidR="008833C9" w:rsidRPr="002455D6">
        <w:rPr>
          <w:bCs/>
        </w:rPr>
        <w:t xml:space="preserve"> 1990 </w:t>
      </w:r>
      <w:r w:rsidR="00EA62E8" w:rsidRPr="002455D6">
        <w:rPr>
          <w:bCs/>
        </w:rPr>
        <w:t xml:space="preserve">greenhouse gas </w:t>
      </w:r>
      <w:r w:rsidR="008833C9" w:rsidRPr="002455D6">
        <w:rPr>
          <w:bCs/>
        </w:rPr>
        <w:t xml:space="preserve">levels by 2020 and </w:t>
      </w:r>
      <w:r w:rsidR="00987A5B" w:rsidRPr="002455D6">
        <w:rPr>
          <w:bCs/>
        </w:rPr>
        <w:t>net zero emissions (</w:t>
      </w:r>
      <w:r w:rsidRPr="002455D6">
        <w:rPr>
          <w:bCs/>
        </w:rPr>
        <w:t>carbon neutrality</w:t>
      </w:r>
      <w:r w:rsidR="00987A5B" w:rsidRPr="002455D6">
        <w:rPr>
          <w:bCs/>
        </w:rPr>
        <w:t>)</w:t>
      </w:r>
      <w:r w:rsidRPr="002455D6">
        <w:rPr>
          <w:bCs/>
        </w:rPr>
        <w:t xml:space="preserve"> by 2040.  This document </w:t>
      </w:r>
      <w:r w:rsidR="00987A5B" w:rsidRPr="002455D6">
        <w:rPr>
          <w:bCs/>
        </w:rPr>
        <w:t xml:space="preserve">defines a path to achieving these goals and </w:t>
      </w:r>
      <w:r w:rsidRPr="002455D6">
        <w:rPr>
          <w:bCs/>
        </w:rPr>
        <w:t>d</w:t>
      </w:r>
      <w:r w:rsidR="00987A5B" w:rsidRPr="002455D6">
        <w:rPr>
          <w:bCs/>
        </w:rPr>
        <w:t>escribes</w:t>
      </w:r>
      <w:r w:rsidRPr="002455D6">
        <w:rPr>
          <w:bCs/>
        </w:rPr>
        <w:t xml:space="preserve"> the</w:t>
      </w:r>
      <w:r w:rsidR="008833C9" w:rsidRPr="002455D6">
        <w:rPr>
          <w:bCs/>
        </w:rPr>
        <w:t xml:space="preserve"> strategies </w:t>
      </w:r>
      <w:r w:rsidRPr="002455D6">
        <w:rPr>
          <w:bCs/>
        </w:rPr>
        <w:t>which will be employed</w:t>
      </w:r>
      <w:r w:rsidR="00987A5B" w:rsidRPr="002455D6">
        <w:rPr>
          <w:bCs/>
        </w:rPr>
        <w:t xml:space="preserve">.  </w:t>
      </w:r>
    </w:p>
    <w:p w:rsidR="00987A5B" w:rsidRPr="002455D6" w:rsidRDefault="00987A5B" w:rsidP="00E9259D">
      <w:pPr>
        <w:rPr>
          <w:bCs/>
        </w:rPr>
      </w:pPr>
    </w:p>
    <w:p w:rsidR="00987A5B" w:rsidRPr="002455D6" w:rsidRDefault="00987A5B" w:rsidP="00E9259D">
      <w:pPr>
        <w:rPr>
          <w:bCs/>
        </w:rPr>
      </w:pPr>
      <w:r w:rsidRPr="002455D6">
        <w:rPr>
          <w:bCs/>
        </w:rPr>
        <w:t xml:space="preserve">In March 2013 President Dianne Harrison signed the American College and University Presidents’ Climate Commitment </w:t>
      </w:r>
      <w:r w:rsidR="00BB7C17">
        <w:rPr>
          <w:bCs/>
        </w:rPr>
        <w:t xml:space="preserve">(ACUPCC) </w:t>
      </w:r>
      <w:r w:rsidRPr="002455D6">
        <w:rPr>
          <w:bCs/>
        </w:rPr>
        <w:t xml:space="preserve">and later that year CSUN published its ten-year Sustainability Plan detailing the actions to be taken on a path towards campus sustainability.  That plan set the stage for institutionalizing sustainability and </w:t>
      </w:r>
      <w:r w:rsidR="000F4D0F" w:rsidRPr="002455D6">
        <w:rPr>
          <w:bCs/>
        </w:rPr>
        <w:t xml:space="preserve">directed the university along </w:t>
      </w:r>
      <w:r w:rsidRPr="002455D6">
        <w:rPr>
          <w:bCs/>
        </w:rPr>
        <w:t xml:space="preserve">a </w:t>
      </w:r>
      <w:r w:rsidR="000F4D0F" w:rsidRPr="002455D6">
        <w:rPr>
          <w:bCs/>
        </w:rPr>
        <w:t xml:space="preserve">path </w:t>
      </w:r>
      <w:r w:rsidRPr="002455D6">
        <w:rPr>
          <w:bCs/>
        </w:rPr>
        <w:t xml:space="preserve">towards </w:t>
      </w:r>
      <w:r w:rsidR="000F4D0F" w:rsidRPr="002455D6">
        <w:rPr>
          <w:bCs/>
        </w:rPr>
        <w:t>reduced resource use, improved energy and water conservation, increased education and awareness of sustainability and climate change, and co</w:t>
      </w:r>
      <w:r w:rsidR="0019776B">
        <w:rPr>
          <w:bCs/>
        </w:rPr>
        <w:t>mprehensive</w:t>
      </w:r>
      <w:r w:rsidR="000F4D0F" w:rsidRPr="002455D6">
        <w:rPr>
          <w:bCs/>
        </w:rPr>
        <w:t xml:space="preserve"> collaborative </w:t>
      </w:r>
      <w:r w:rsidR="00FB41E0">
        <w:rPr>
          <w:bCs/>
        </w:rPr>
        <w:t xml:space="preserve">sustainability-related </w:t>
      </w:r>
      <w:r w:rsidR="000F4D0F" w:rsidRPr="002455D6">
        <w:rPr>
          <w:bCs/>
        </w:rPr>
        <w:t xml:space="preserve">initiatives across campus departments. </w:t>
      </w:r>
      <w:r w:rsidR="0019776B">
        <w:rPr>
          <w:bCs/>
        </w:rPr>
        <w:t xml:space="preserve"> </w:t>
      </w:r>
      <w:r w:rsidRPr="002455D6">
        <w:rPr>
          <w:bCs/>
        </w:rPr>
        <w:t>In 2014 the university completed and reported its Greenhouse Gas</w:t>
      </w:r>
      <w:r w:rsidR="00DB5B71" w:rsidRPr="002455D6">
        <w:rPr>
          <w:bCs/>
        </w:rPr>
        <w:t xml:space="preserve"> (GHG)</w:t>
      </w:r>
      <w:r w:rsidRPr="002455D6">
        <w:rPr>
          <w:bCs/>
        </w:rPr>
        <w:t xml:space="preserve"> Emissions Inventory, covering the period from 1990-2013 in preparation for the development of </w:t>
      </w:r>
      <w:r w:rsidR="000F4D0F" w:rsidRPr="002455D6">
        <w:rPr>
          <w:bCs/>
        </w:rPr>
        <w:t>this</w:t>
      </w:r>
      <w:r w:rsidRPr="002455D6">
        <w:rPr>
          <w:bCs/>
        </w:rPr>
        <w:t xml:space="preserve"> Climate Action Plan</w:t>
      </w:r>
      <w:r w:rsidR="00C44310">
        <w:rPr>
          <w:bCs/>
        </w:rPr>
        <w:t xml:space="preserve"> (CAP)</w:t>
      </w:r>
      <w:r w:rsidR="000F4D0F" w:rsidRPr="002455D6">
        <w:rPr>
          <w:bCs/>
        </w:rPr>
        <w:t>.</w:t>
      </w:r>
    </w:p>
    <w:p w:rsidR="000F4D0F" w:rsidRPr="002455D6" w:rsidRDefault="000F4D0F" w:rsidP="00E9259D">
      <w:pPr>
        <w:rPr>
          <w:bCs/>
        </w:rPr>
      </w:pPr>
    </w:p>
    <w:p w:rsidR="000F4D0F" w:rsidRDefault="000F4D0F" w:rsidP="00E9259D">
      <w:pPr>
        <w:rPr>
          <w:bCs/>
        </w:rPr>
      </w:pPr>
      <w:r w:rsidRPr="002455D6">
        <w:rPr>
          <w:bCs/>
        </w:rPr>
        <w:t xml:space="preserve">This plan addresses greenhouse gas (aka “carbon”) emissions </w:t>
      </w:r>
      <w:r w:rsidR="00DB5B71" w:rsidRPr="002455D6">
        <w:rPr>
          <w:bCs/>
        </w:rPr>
        <w:t>generated by energy use</w:t>
      </w:r>
      <w:r w:rsidRPr="002455D6">
        <w:rPr>
          <w:bCs/>
        </w:rPr>
        <w:t xml:space="preserve"> on the CSUN campus</w:t>
      </w:r>
      <w:r w:rsidR="00DB5B71" w:rsidRPr="002455D6">
        <w:rPr>
          <w:bCs/>
        </w:rPr>
        <w:t xml:space="preserve"> (“Scope 1 and 2” emissions) and from activities related, but not directly controlled by the campus, such as commuting and business travel (so-called </w:t>
      </w:r>
      <w:r w:rsidR="00FB41E0">
        <w:rPr>
          <w:bCs/>
        </w:rPr>
        <w:t>“</w:t>
      </w:r>
      <w:r w:rsidR="00DB5B71" w:rsidRPr="002455D6">
        <w:rPr>
          <w:bCs/>
        </w:rPr>
        <w:t>Scope 3</w:t>
      </w:r>
      <w:r w:rsidR="00FB41E0">
        <w:rPr>
          <w:bCs/>
        </w:rPr>
        <w:t>”</w:t>
      </w:r>
      <w:r w:rsidR="00DB5B71" w:rsidRPr="002455D6">
        <w:rPr>
          <w:bCs/>
        </w:rPr>
        <w:t xml:space="preserve"> emissions).  A comprehensive plan, based on a Strategic Energy Plan and modelled emissions, has been developed that establishes a clear path towards eliminating Scope 1 and 2 emissions by 2040</w:t>
      </w:r>
      <w:r w:rsidR="00FB41E0">
        <w:rPr>
          <w:bCs/>
        </w:rPr>
        <w:t xml:space="preserve"> through a number of defined energy conservation and efficiency </w:t>
      </w:r>
      <w:r w:rsidR="004604F4">
        <w:rPr>
          <w:bCs/>
        </w:rPr>
        <w:t>projects</w:t>
      </w:r>
      <w:r w:rsidR="00FB41E0">
        <w:rPr>
          <w:bCs/>
        </w:rPr>
        <w:t xml:space="preserve"> combined with increased </w:t>
      </w:r>
      <w:r w:rsidR="0019776B">
        <w:rPr>
          <w:bCs/>
        </w:rPr>
        <w:t>use</w:t>
      </w:r>
      <w:r w:rsidR="00FB41E0">
        <w:rPr>
          <w:bCs/>
        </w:rPr>
        <w:t xml:space="preserve"> </w:t>
      </w:r>
      <w:r w:rsidR="0019776B">
        <w:rPr>
          <w:bCs/>
        </w:rPr>
        <w:t xml:space="preserve">of </w:t>
      </w:r>
      <w:r w:rsidR="00FB41E0">
        <w:rPr>
          <w:bCs/>
        </w:rPr>
        <w:t>renewable energy</w:t>
      </w:r>
      <w:r w:rsidR="0019776B">
        <w:rPr>
          <w:bCs/>
        </w:rPr>
        <w:t xml:space="preserve"> by both CSUN and the local utility company</w:t>
      </w:r>
      <w:r w:rsidR="00DB5B71" w:rsidRPr="002455D6">
        <w:rPr>
          <w:bCs/>
        </w:rPr>
        <w:t>.  Scope 3 emissions will be reduced through a number of strategies which alter the mode mix of transportation used by CSUN students and employees</w:t>
      </w:r>
      <w:r w:rsidR="0019776B">
        <w:rPr>
          <w:bCs/>
        </w:rPr>
        <w:t>, combined with increased use of electric and hybrid vehicles, and improved vehicle fuel economy standards established by the Environmental Protection Agency.</w:t>
      </w:r>
    </w:p>
    <w:p w:rsidR="0019776B" w:rsidRDefault="0019776B" w:rsidP="00E9259D">
      <w:pPr>
        <w:rPr>
          <w:bCs/>
        </w:rPr>
      </w:pPr>
    </w:p>
    <w:p w:rsidR="00BC7434" w:rsidRDefault="00BC7434" w:rsidP="00E9259D">
      <w:pPr>
        <w:rPr>
          <w:bCs/>
        </w:rPr>
      </w:pPr>
      <w:r>
        <w:rPr>
          <w:bCs/>
        </w:rPr>
        <w:t xml:space="preserve">As part of this CAP, a model was constructed to project </w:t>
      </w:r>
      <w:r w:rsidR="004604F4">
        <w:rPr>
          <w:bCs/>
        </w:rPr>
        <w:t xml:space="preserve">CSUN’s </w:t>
      </w:r>
      <w:r>
        <w:rPr>
          <w:bCs/>
        </w:rPr>
        <w:t>Business As Usual (BAU) emissions based on projected student numbers</w:t>
      </w:r>
      <w:r w:rsidR="004604F4">
        <w:rPr>
          <w:bCs/>
        </w:rPr>
        <w:t xml:space="preserve"> and building expansion coupled with anticipated changes in the fuel mix used by Los Angeles Department of Water and Power (LADWP) to generate electricity and vehicle fuel economy standards established by the Environmental Protection Agency (EPA).  This model </w:t>
      </w:r>
      <w:r w:rsidR="00472BEB">
        <w:rPr>
          <w:bCs/>
        </w:rPr>
        <w:t xml:space="preserve">projects a </w:t>
      </w:r>
      <w:r w:rsidR="00C44310">
        <w:rPr>
          <w:bCs/>
        </w:rPr>
        <w:t>17</w:t>
      </w:r>
      <w:r w:rsidR="00472BEB">
        <w:rPr>
          <w:bCs/>
        </w:rPr>
        <w:t xml:space="preserve">% increase over 2013 in direct emissions due to fuel (primarily natural gas) use on campus, a </w:t>
      </w:r>
      <w:r w:rsidR="00C44310">
        <w:rPr>
          <w:bCs/>
        </w:rPr>
        <w:t>44%</w:t>
      </w:r>
      <w:r w:rsidR="00472BEB">
        <w:rPr>
          <w:bCs/>
        </w:rPr>
        <w:t xml:space="preserve"> decrease in electricity-related emissions due to the expanding role of clean energy in grid-supplied power, and a </w:t>
      </w:r>
      <w:r w:rsidR="00C44310">
        <w:rPr>
          <w:bCs/>
        </w:rPr>
        <w:t>49%</w:t>
      </w:r>
      <w:r w:rsidR="00472BEB">
        <w:rPr>
          <w:bCs/>
        </w:rPr>
        <w:t xml:space="preserve"> decrease in activity-related emissions, mainly our commuting footprint, due to </w:t>
      </w:r>
      <w:r w:rsidR="00A32B64">
        <w:rPr>
          <w:bCs/>
        </w:rPr>
        <w:t>new CAFÉ (Corporate Average Fuel Economy) and Clean Air Act standards.</w:t>
      </w:r>
    </w:p>
    <w:p w:rsidR="00A32B64" w:rsidRDefault="00A32B64" w:rsidP="00E9259D">
      <w:pPr>
        <w:rPr>
          <w:bCs/>
        </w:rPr>
      </w:pPr>
    </w:p>
    <w:p w:rsidR="0019776B" w:rsidRDefault="00A32B64" w:rsidP="00E9259D">
      <w:pPr>
        <w:rPr>
          <w:bCs/>
        </w:rPr>
      </w:pPr>
      <w:r>
        <w:rPr>
          <w:bCs/>
        </w:rPr>
        <w:t>This year, a campus</w:t>
      </w:r>
      <w:r w:rsidR="0019776B">
        <w:rPr>
          <w:bCs/>
        </w:rPr>
        <w:t xml:space="preserve"> Strategic Energy Plan </w:t>
      </w:r>
      <w:r>
        <w:rPr>
          <w:bCs/>
        </w:rPr>
        <w:t>was commissioned which identifie</w:t>
      </w:r>
      <w:r w:rsidR="00EF101A">
        <w:rPr>
          <w:bCs/>
        </w:rPr>
        <w:t>d</w:t>
      </w:r>
      <w:r>
        <w:rPr>
          <w:bCs/>
        </w:rPr>
        <w:t xml:space="preserve"> a number of projects</w:t>
      </w:r>
      <w:r w:rsidR="0019776B">
        <w:rPr>
          <w:bCs/>
        </w:rPr>
        <w:t xml:space="preserve"> with </w:t>
      </w:r>
      <w:r w:rsidR="003D2AF3">
        <w:rPr>
          <w:bCs/>
        </w:rPr>
        <w:t>projected</w:t>
      </w:r>
      <w:r w:rsidR="0019776B">
        <w:rPr>
          <w:bCs/>
        </w:rPr>
        <w:t xml:space="preserve"> </w:t>
      </w:r>
      <w:r w:rsidR="00EF101A">
        <w:rPr>
          <w:bCs/>
        </w:rPr>
        <w:t xml:space="preserve">electricity </w:t>
      </w:r>
      <w:r w:rsidR="0019776B">
        <w:rPr>
          <w:bCs/>
        </w:rPr>
        <w:t xml:space="preserve">savings </w:t>
      </w:r>
      <w:r w:rsidR="003D2AF3">
        <w:rPr>
          <w:bCs/>
        </w:rPr>
        <w:t>ranging from 10,000 kWh to 6.3 million kWh</w:t>
      </w:r>
      <w:r w:rsidR="0019776B">
        <w:rPr>
          <w:bCs/>
        </w:rPr>
        <w:t xml:space="preserve">, some with accompanying savings in natural gas use.  </w:t>
      </w:r>
      <w:r w:rsidR="00EF101A">
        <w:rPr>
          <w:bCs/>
        </w:rPr>
        <w:t>P</w:t>
      </w:r>
      <w:r w:rsidR="0019776B">
        <w:rPr>
          <w:bCs/>
        </w:rPr>
        <w:t>roject</w:t>
      </w:r>
      <w:r w:rsidR="00EF101A">
        <w:rPr>
          <w:bCs/>
        </w:rPr>
        <w:t xml:space="preserve"> costs</w:t>
      </w:r>
      <w:r w:rsidR="0019776B">
        <w:rPr>
          <w:bCs/>
        </w:rPr>
        <w:t xml:space="preserve"> range</w:t>
      </w:r>
      <w:r w:rsidR="00BC7434">
        <w:rPr>
          <w:bCs/>
        </w:rPr>
        <w:t xml:space="preserve"> </w:t>
      </w:r>
      <w:r w:rsidR="0019776B">
        <w:rPr>
          <w:bCs/>
        </w:rPr>
        <w:t xml:space="preserve">from </w:t>
      </w:r>
      <w:r w:rsidR="00085B98">
        <w:rPr>
          <w:bCs/>
        </w:rPr>
        <w:t>$10,000 to $84</w:t>
      </w:r>
      <w:r w:rsidR="00EF101A">
        <w:rPr>
          <w:bCs/>
        </w:rPr>
        <w:t xml:space="preserve"> million</w:t>
      </w:r>
      <w:r w:rsidR="00C44310">
        <w:rPr>
          <w:bCs/>
        </w:rPr>
        <w:t xml:space="preserve"> (2015 dollars)</w:t>
      </w:r>
      <w:r w:rsidR="00EF101A">
        <w:rPr>
          <w:bCs/>
        </w:rPr>
        <w:t xml:space="preserve">, which will be </w:t>
      </w:r>
      <w:r w:rsidR="00C44310">
        <w:rPr>
          <w:bCs/>
        </w:rPr>
        <w:t>recouped</w:t>
      </w:r>
      <w:r w:rsidR="00EF101A">
        <w:rPr>
          <w:bCs/>
        </w:rPr>
        <w:t xml:space="preserve"> over time by savings in utility costs.  The</w:t>
      </w:r>
      <w:r w:rsidR="002E37F1">
        <w:rPr>
          <w:bCs/>
        </w:rPr>
        <w:t xml:space="preserve"> impacts of the</w:t>
      </w:r>
      <w:r w:rsidR="00EF101A">
        <w:rPr>
          <w:bCs/>
        </w:rPr>
        <w:t>se projects</w:t>
      </w:r>
      <w:r w:rsidR="002E37F1">
        <w:rPr>
          <w:bCs/>
        </w:rPr>
        <w:t xml:space="preserve"> on BAU carbon emissions were evaluated using the same model and </w:t>
      </w:r>
      <w:r w:rsidR="006665CF">
        <w:rPr>
          <w:bCs/>
        </w:rPr>
        <w:t xml:space="preserve">are projected to reduce the </w:t>
      </w:r>
      <w:r w:rsidR="006665CF">
        <w:rPr>
          <w:bCs/>
        </w:rPr>
        <w:lastRenderedPageBreak/>
        <w:t xml:space="preserve">(Scope 1 and 2) emissions by </w:t>
      </w:r>
      <w:r w:rsidR="00C44310">
        <w:rPr>
          <w:bCs/>
        </w:rPr>
        <w:t>approximately one</w:t>
      </w:r>
      <w:r w:rsidR="006665CF">
        <w:rPr>
          <w:bCs/>
        </w:rPr>
        <w:t xml:space="preserve"> third.  It is proposed that remaining emissions be eliminated through solar PV installations which</w:t>
      </w:r>
      <w:r w:rsidR="00C44310">
        <w:rPr>
          <w:bCs/>
        </w:rPr>
        <w:t>,</w:t>
      </w:r>
      <w:r w:rsidR="006665CF">
        <w:rPr>
          <w:bCs/>
        </w:rPr>
        <w:t xml:space="preserve"> </w:t>
      </w:r>
      <w:r w:rsidR="00C44310">
        <w:rPr>
          <w:bCs/>
        </w:rPr>
        <w:t>analysis</w:t>
      </w:r>
      <w:r w:rsidR="006665CF">
        <w:rPr>
          <w:bCs/>
        </w:rPr>
        <w:t xml:space="preserve"> o</w:t>
      </w:r>
      <w:r w:rsidR="00C44310">
        <w:rPr>
          <w:bCs/>
        </w:rPr>
        <w:t>f</w:t>
      </w:r>
      <w:r w:rsidR="00EF101A">
        <w:rPr>
          <w:bCs/>
        </w:rPr>
        <w:t xml:space="preserve"> CSUN’</w:t>
      </w:r>
      <w:r w:rsidR="006665CF">
        <w:rPr>
          <w:bCs/>
        </w:rPr>
        <w:t>s solar potential indicates</w:t>
      </w:r>
      <w:r w:rsidR="00C44310">
        <w:rPr>
          <w:bCs/>
        </w:rPr>
        <w:t>,</w:t>
      </w:r>
      <w:r w:rsidR="006665CF">
        <w:rPr>
          <w:bCs/>
        </w:rPr>
        <w:t xml:space="preserve"> are </w:t>
      </w:r>
      <w:r w:rsidR="00C44310">
        <w:rPr>
          <w:bCs/>
        </w:rPr>
        <w:t xml:space="preserve">both </w:t>
      </w:r>
      <w:r w:rsidR="006665CF">
        <w:rPr>
          <w:bCs/>
        </w:rPr>
        <w:t>feasible and cost-effective.</w:t>
      </w:r>
      <w:r w:rsidR="00B06A95">
        <w:rPr>
          <w:bCs/>
        </w:rPr>
        <w:t xml:space="preserve">  Approximately 20 MW of solar </w:t>
      </w:r>
      <w:r w:rsidR="00C44310">
        <w:rPr>
          <w:bCs/>
        </w:rPr>
        <w:t xml:space="preserve">by 2040 </w:t>
      </w:r>
      <w:r w:rsidR="00B06A95">
        <w:rPr>
          <w:bCs/>
        </w:rPr>
        <w:t>is required to eliminate all electricity-related emissions, and an additional simi</w:t>
      </w:r>
      <w:r w:rsidR="007E6382">
        <w:rPr>
          <w:bCs/>
        </w:rPr>
        <w:t>lar amount would be required to negate the emissions resulting from natural gas use.</w:t>
      </w:r>
    </w:p>
    <w:p w:rsidR="005119CD" w:rsidRDefault="005119CD" w:rsidP="00E9259D">
      <w:pPr>
        <w:rPr>
          <w:bCs/>
        </w:rPr>
      </w:pPr>
    </w:p>
    <w:p w:rsidR="007E6382" w:rsidRDefault="007E6382" w:rsidP="00E9259D">
      <w:pPr>
        <w:rPr>
          <w:bCs/>
        </w:rPr>
      </w:pPr>
      <w:r>
        <w:rPr>
          <w:bCs/>
        </w:rPr>
        <w:t>A number of strategies are planned to reduce CSUN’s transportation footprint.  These include expansion of bicycling services and infrastructure, better access to public transit, improved rideshare services, provision of shuttle services, electrification of the vehicle fleet, and a number of options to reduce the number and distance of trips made.</w:t>
      </w:r>
      <w:r w:rsidR="00694A62">
        <w:rPr>
          <w:bCs/>
        </w:rPr>
        <w:t xml:space="preserve">  With CSUN-related commuting making up more than</w:t>
      </w:r>
      <w:r w:rsidR="005D2512">
        <w:rPr>
          <w:bCs/>
        </w:rPr>
        <w:t xml:space="preserve"> half of current emissions, eliminating these completely presents a challenge. However, the electrification and improved fuel efficiency of personal vehicles and public transit aid GHG reductions significantly. By 2040, transit is likely to look very different from today.  Driverless vehicles coupled with smart technology may make buses redundant, self-charging solar or hydrogen powered vehicles</w:t>
      </w:r>
      <w:r w:rsidR="00CA4F66">
        <w:rPr>
          <w:bCs/>
        </w:rPr>
        <w:t xml:space="preserve"> may be available, and clean fast regional transit may be the new norm.  Based on model projections conducted here, total emissions are projected to fall to under twenty thousand </w:t>
      </w:r>
      <w:proofErr w:type="spellStart"/>
      <w:r w:rsidR="00CA4F66">
        <w:rPr>
          <w:bCs/>
        </w:rPr>
        <w:t>tonnes</w:t>
      </w:r>
      <w:proofErr w:type="spellEnd"/>
      <w:r w:rsidR="00CA4F66">
        <w:rPr>
          <w:bCs/>
        </w:rPr>
        <w:t xml:space="preserve">, or a fifth of current values, stemming from Scope 3 (commuting and travel) sources.  Given the rapid </w:t>
      </w:r>
      <w:r w:rsidR="00A0371C">
        <w:rPr>
          <w:bCs/>
        </w:rPr>
        <w:t xml:space="preserve">evolution in vehicle technologies, these emissions could </w:t>
      </w:r>
      <w:r w:rsidR="005A3A25">
        <w:rPr>
          <w:bCs/>
        </w:rPr>
        <w:t xml:space="preserve">potentially </w:t>
      </w:r>
      <w:r w:rsidR="00A0371C">
        <w:rPr>
          <w:bCs/>
        </w:rPr>
        <w:t xml:space="preserve">be lower. Under this plan, any remaining emissions in 2040 </w:t>
      </w:r>
      <w:r w:rsidR="005119CD">
        <w:rPr>
          <w:bCs/>
        </w:rPr>
        <w:t>may</w:t>
      </w:r>
      <w:r w:rsidR="00A0371C">
        <w:rPr>
          <w:bCs/>
        </w:rPr>
        <w:t xml:space="preserve"> be offset through carbon offset purchases.</w:t>
      </w:r>
    </w:p>
    <w:p w:rsidR="005A3A25" w:rsidRDefault="005A3A25" w:rsidP="00E9259D">
      <w:pPr>
        <w:rPr>
          <w:bCs/>
        </w:rPr>
      </w:pPr>
    </w:p>
    <w:p w:rsidR="00862300" w:rsidRDefault="005A3A25" w:rsidP="00E9259D">
      <w:pPr>
        <w:spacing w:after="100" w:afterAutospacing="1"/>
        <w:rPr>
          <w:bCs/>
        </w:rPr>
      </w:pPr>
      <w:r>
        <w:rPr>
          <w:bCs/>
        </w:rPr>
        <w:t>This document sets forth an ambitious plan to move the campus forward on a path towards zero net carbon emissions by 2040. This significantly exceeds the target set by the CSU Chancellor’s Office to reduce Scope 1 and 2 emissions to 80% of their 1990 value by 2040</w:t>
      </w:r>
      <w:r w:rsidR="00E06410">
        <w:rPr>
          <w:bCs/>
        </w:rPr>
        <w:t xml:space="preserve">. </w:t>
      </w:r>
      <w:r w:rsidR="006A26D1">
        <w:rPr>
          <w:bCs/>
        </w:rPr>
        <w:t>Cost, funding mechanisms, incentives and r</w:t>
      </w:r>
      <w:r w:rsidR="00E06410">
        <w:rPr>
          <w:bCs/>
        </w:rPr>
        <w:t>esource availability</w:t>
      </w:r>
      <w:r w:rsidR="006A26D1">
        <w:rPr>
          <w:bCs/>
        </w:rPr>
        <w:t xml:space="preserve"> together with external factors</w:t>
      </w:r>
      <w:r w:rsidR="00E06410">
        <w:rPr>
          <w:bCs/>
        </w:rPr>
        <w:t xml:space="preserve"> </w:t>
      </w:r>
      <w:r w:rsidR="006A26D1">
        <w:rPr>
          <w:bCs/>
        </w:rPr>
        <w:t xml:space="preserve">will </w:t>
      </w:r>
      <w:r w:rsidR="00BB7C17">
        <w:rPr>
          <w:bCs/>
        </w:rPr>
        <w:t>dictate the timing of project implementation.  Progress towards our goal will be monitored annually and through ACUPCC as required.</w:t>
      </w:r>
    </w:p>
    <w:p w:rsidR="00EE2FF7" w:rsidRDefault="00EE2FF7" w:rsidP="00E9259D">
      <w:pPr>
        <w:pStyle w:val="Heading1"/>
      </w:pPr>
      <w:bookmarkStart w:id="2" w:name="_Toc440630048"/>
      <w:r>
        <w:t>Milestones</w:t>
      </w:r>
      <w:bookmarkEnd w:id="2"/>
    </w:p>
    <w:p w:rsidR="00E9259D" w:rsidRDefault="00E9259D" w:rsidP="00E9259D">
      <w:pPr>
        <w:pStyle w:val="ListParagraph"/>
        <w:numPr>
          <w:ilvl w:val="0"/>
          <w:numId w:val="43"/>
        </w:numPr>
      </w:pPr>
      <w:r>
        <w:t>Reduce commuting carbon footprint to below 1990 levels by 2020</w:t>
      </w:r>
    </w:p>
    <w:p w:rsidR="00F664EE" w:rsidRPr="00F664EE" w:rsidRDefault="00F664EE" w:rsidP="00E9259D">
      <w:pPr>
        <w:pStyle w:val="ListParagraph"/>
        <w:numPr>
          <w:ilvl w:val="0"/>
          <w:numId w:val="43"/>
        </w:numPr>
      </w:pPr>
      <w:r w:rsidRPr="00F664EE">
        <w:t xml:space="preserve">Reduce </w:t>
      </w:r>
      <w:r w:rsidR="00CC598F">
        <w:t>total</w:t>
      </w:r>
      <w:r>
        <w:t xml:space="preserve"> </w:t>
      </w:r>
      <w:r w:rsidRPr="00F664EE">
        <w:t>GHG emission</w:t>
      </w:r>
      <w:r w:rsidR="00CC598F">
        <w:t>s</w:t>
      </w:r>
      <w:r w:rsidRPr="00F664EE">
        <w:t xml:space="preserve"> </w:t>
      </w:r>
      <w:r>
        <w:t xml:space="preserve">to </w:t>
      </w:r>
      <w:r w:rsidRPr="00F664EE">
        <w:t xml:space="preserve">below 1990 levels by 2020 </w:t>
      </w:r>
    </w:p>
    <w:p w:rsidR="00F664EE" w:rsidRPr="00F664EE" w:rsidRDefault="00F664EE" w:rsidP="00E9259D">
      <w:pPr>
        <w:pStyle w:val="ListParagraph"/>
        <w:numPr>
          <w:ilvl w:val="0"/>
          <w:numId w:val="43"/>
        </w:numPr>
      </w:pPr>
      <w:r w:rsidRPr="00F664EE">
        <w:t xml:space="preserve">Reduce </w:t>
      </w:r>
      <w:r>
        <w:t xml:space="preserve">Scope 1 and 2 </w:t>
      </w:r>
      <w:r w:rsidRPr="00F664EE">
        <w:t xml:space="preserve">GHG emission levels </w:t>
      </w:r>
      <w:r>
        <w:t xml:space="preserve">to 50% </w:t>
      </w:r>
      <w:r w:rsidRPr="00F664EE">
        <w:t>below 1990 levels by 20</w:t>
      </w:r>
      <w:r>
        <w:t>3</w:t>
      </w:r>
      <w:r w:rsidRPr="00F664EE">
        <w:t xml:space="preserve">0 </w:t>
      </w:r>
    </w:p>
    <w:p w:rsidR="00F664EE" w:rsidRPr="00F664EE" w:rsidRDefault="00F664EE" w:rsidP="00E9259D">
      <w:pPr>
        <w:pStyle w:val="ListParagraph"/>
        <w:numPr>
          <w:ilvl w:val="0"/>
          <w:numId w:val="43"/>
        </w:numPr>
      </w:pPr>
      <w:r w:rsidRPr="00F664EE">
        <w:t xml:space="preserve">Reduce </w:t>
      </w:r>
      <w:r>
        <w:t xml:space="preserve">Scope 1 and 2 </w:t>
      </w:r>
      <w:r w:rsidRPr="00F664EE">
        <w:t xml:space="preserve">GHG emission levels </w:t>
      </w:r>
      <w:r>
        <w:t xml:space="preserve">to 80% </w:t>
      </w:r>
      <w:r w:rsidRPr="00F664EE">
        <w:t>below 1990 levels by 20</w:t>
      </w:r>
      <w:r>
        <w:t>35</w:t>
      </w:r>
      <w:r w:rsidRPr="00F664EE">
        <w:t xml:space="preserve"> </w:t>
      </w:r>
    </w:p>
    <w:p w:rsidR="00F664EE" w:rsidRPr="00F664EE" w:rsidRDefault="00F664EE" w:rsidP="00E9259D">
      <w:pPr>
        <w:pStyle w:val="ListParagraph"/>
        <w:numPr>
          <w:ilvl w:val="0"/>
          <w:numId w:val="43"/>
        </w:numPr>
      </w:pPr>
      <w:r w:rsidRPr="00F664EE">
        <w:t xml:space="preserve">Reduce </w:t>
      </w:r>
      <w:r>
        <w:t xml:space="preserve">Scope 3 </w:t>
      </w:r>
      <w:r w:rsidRPr="00F664EE">
        <w:t xml:space="preserve">GHG emission levels </w:t>
      </w:r>
      <w:r>
        <w:t xml:space="preserve">to 50% </w:t>
      </w:r>
      <w:r w:rsidRPr="00F664EE">
        <w:t>below 1990 levels by 20</w:t>
      </w:r>
      <w:r>
        <w:t>35</w:t>
      </w:r>
      <w:r w:rsidRPr="00F664EE">
        <w:t xml:space="preserve"> </w:t>
      </w:r>
    </w:p>
    <w:p w:rsidR="00F664EE" w:rsidRDefault="00CC598F" w:rsidP="00E9259D">
      <w:pPr>
        <w:pStyle w:val="ListParagraph"/>
        <w:numPr>
          <w:ilvl w:val="0"/>
          <w:numId w:val="43"/>
        </w:numPr>
      </w:pPr>
      <w:r>
        <w:t>Reduce total GHG emissions to net zero by 2040</w:t>
      </w:r>
    </w:p>
    <w:p w:rsidR="00F664EE" w:rsidRDefault="00F664EE" w:rsidP="00E9259D"/>
    <w:p w:rsidR="00F664EE" w:rsidRDefault="00F664EE" w:rsidP="00E9259D">
      <w:pPr>
        <w:sectPr w:rsidR="00F664EE" w:rsidSect="00F72F43">
          <w:headerReference w:type="even" r:id="rId17"/>
          <w:headerReference w:type="default" r:id="rId18"/>
          <w:footerReference w:type="default" r:id="rId19"/>
          <w:headerReference w:type="first" r:id="rId20"/>
          <w:endnotePr>
            <w:numFmt w:val="decimal"/>
          </w:endnotePr>
          <w:pgSz w:w="12240" w:h="15840"/>
          <w:pgMar w:top="1440" w:right="1440" w:bottom="1440" w:left="1800" w:header="720" w:footer="288" w:gutter="0"/>
          <w:pgNumType w:fmt="lowerRoman" w:start="1"/>
          <w:cols w:space="720"/>
          <w:docGrid w:linePitch="360"/>
        </w:sectPr>
      </w:pPr>
    </w:p>
    <w:sdt>
      <w:sdtPr>
        <w:rPr>
          <w:rFonts w:eastAsiaTheme="minorHAnsi" w:cstheme="minorBidi"/>
          <w:b w:val="0"/>
          <w:bCs w:val="0"/>
          <w:sz w:val="22"/>
          <w:szCs w:val="22"/>
        </w:rPr>
        <w:id w:val="-897508686"/>
        <w:docPartObj>
          <w:docPartGallery w:val="Table of Contents"/>
          <w:docPartUnique/>
        </w:docPartObj>
      </w:sdtPr>
      <w:sdtEndPr>
        <w:rPr>
          <w:noProof/>
        </w:rPr>
      </w:sdtEndPr>
      <w:sdtContent>
        <w:p w:rsidR="00BD0C02" w:rsidRPr="00BD0C02" w:rsidRDefault="00BD0C02" w:rsidP="00A776D1">
          <w:pPr>
            <w:pStyle w:val="TOCHeading"/>
            <w:spacing w:before="120" w:line="240" w:lineRule="auto"/>
            <w:jc w:val="center"/>
            <w:rPr>
              <w:sz w:val="24"/>
              <w:szCs w:val="24"/>
            </w:rPr>
          </w:pPr>
          <w:r w:rsidRPr="00BD0C02">
            <w:rPr>
              <w:sz w:val="24"/>
              <w:szCs w:val="24"/>
            </w:rPr>
            <w:t>Table of Contents</w:t>
          </w:r>
        </w:p>
        <w:p w:rsidR="00887C41" w:rsidRDefault="00C17587" w:rsidP="00887C41">
          <w:pPr>
            <w:pStyle w:val="TOC1"/>
            <w:rPr>
              <w:rFonts w:eastAsiaTheme="minorEastAsia"/>
              <w:noProof/>
            </w:rPr>
          </w:pPr>
          <w:r w:rsidRPr="001C0B7D">
            <w:rPr>
              <w:sz w:val="24"/>
              <w:szCs w:val="24"/>
            </w:rPr>
            <w:fldChar w:fldCharType="begin"/>
          </w:r>
          <w:r w:rsidR="00BD0C02" w:rsidRPr="001C0B7D">
            <w:rPr>
              <w:sz w:val="24"/>
              <w:szCs w:val="24"/>
            </w:rPr>
            <w:instrText xml:space="preserve"> TOC \o "1-3" \h \z \u </w:instrText>
          </w:r>
          <w:r w:rsidRPr="001C0B7D">
            <w:rPr>
              <w:sz w:val="24"/>
              <w:szCs w:val="24"/>
            </w:rPr>
            <w:fldChar w:fldCharType="separate"/>
          </w:r>
          <w:hyperlink w:anchor="_Toc440630047" w:history="1">
            <w:r w:rsidR="00887C41" w:rsidRPr="00FD4A98">
              <w:rPr>
                <w:rStyle w:val="Hyperlink"/>
                <w:noProof/>
              </w:rPr>
              <w:t>Executive Summary</w:t>
            </w:r>
            <w:r w:rsidR="00887C41">
              <w:rPr>
                <w:noProof/>
                <w:webHidden/>
              </w:rPr>
              <w:tab/>
            </w:r>
            <w:r w:rsidR="00887C41">
              <w:rPr>
                <w:noProof/>
                <w:webHidden/>
              </w:rPr>
              <w:fldChar w:fldCharType="begin"/>
            </w:r>
            <w:r w:rsidR="00887C41">
              <w:rPr>
                <w:noProof/>
                <w:webHidden/>
              </w:rPr>
              <w:instrText xml:space="preserve"> PAGEREF _Toc440630047 \h </w:instrText>
            </w:r>
            <w:r w:rsidR="00887C41">
              <w:rPr>
                <w:noProof/>
                <w:webHidden/>
              </w:rPr>
            </w:r>
            <w:r w:rsidR="00887C41">
              <w:rPr>
                <w:noProof/>
                <w:webHidden/>
              </w:rPr>
              <w:fldChar w:fldCharType="separate"/>
            </w:r>
            <w:r w:rsidR="000E45C8">
              <w:rPr>
                <w:noProof/>
                <w:webHidden/>
              </w:rPr>
              <w:t>i</w:t>
            </w:r>
            <w:r w:rsidR="00887C41">
              <w:rPr>
                <w:noProof/>
                <w:webHidden/>
              </w:rPr>
              <w:fldChar w:fldCharType="end"/>
            </w:r>
          </w:hyperlink>
        </w:p>
        <w:p w:rsidR="00887C41" w:rsidRDefault="00EE142C" w:rsidP="00887C41">
          <w:pPr>
            <w:pStyle w:val="TOC1"/>
            <w:rPr>
              <w:rFonts w:eastAsiaTheme="minorEastAsia"/>
              <w:noProof/>
            </w:rPr>
          </w:pPr>
          <w:hyperlink w:anchor="_Toc440630048" w:history="1">
            <w:r w:rsidR="00887C41" w:rsidRPr="00FD4A98">
              <w:rPr>
                <w:rStyle w:val="Hyperlink"/>
                <w:noProof/>
              </w:rPr>
              <w:t>Milestones</w:t>
            </w:r>
            <w:r w:rsidR="00887C41">
              <w:rPr>
                <w:noProof/>
                <w:webHidden/>
              </w:rPr>
              <w:tab/>
            </w:r>
            <w:r w:rsidR="00887C41">
              <w:rPr>
                <w:noProof/>
                <w:webHidden/>
              </w:rPr>
              <w:fldChar w:fldCharType="begin"/>
            </w:r>
            <w:r w:rsidR="00887C41">
              <w:rPr>
                <w:noProof/>
                <w:webHidden/>
              </w:rPr>
              <w:instrText xml:space="preserve"> PAGEREF _Toc440630048 \h </w:instrText>
            </w:r>
            <w:r w:rsidR="00887C41">
              <w:rPr>
                <w:noProof/>
                <w:webHidden/>
              </w:rPr>
            </w:r>
            <w:r w:rsidR="00887C41">
              <w:rPr>
                <w:noProof/>
                <w:webHidden/>
              </w:rPr>
              <w:fldChar w:fldCharType="separate"/>
            </w:r>
            <w:r w:rsidR="000E45C8">
              <w:rPr>
                <w:noProof/>
                <w:webHidden/>
              </w:rPr>
              <w:t>ii</w:t>
            </w:r>
            <w:r w:rsidR="00887C41">
              <w:rPr>
                <w:noProof/>
                <w:webHidden/>
              </w:rPr>
              <w:fldChar w:fldCharType="end"/>
            </w:r>
          </w:hyperlink>
        </w:p>
        <w:p w:rsidR="00887C41" w:rsidRDefault="00EE142C" w:rsidP="00887C41">
          <w:pPr>
            <w:pStyle w:val="TOC1"/>
            <w:rPr>
              <w:rFonts w:eastAsiaTheme="minorEastAsia"/>
              <w:noProof/>
            </w:rPr>
          </w:pPr>
          <w:hyperlink w:anchor="_Toc440630049" w:history="1">
            <w:r w:rsidR="00887C41" w:rsidRPr="00FD4A98">
              <w:rPr>
                <w:rStyle w:val="Hyperlink"/>
                <w:noProof/>
              </w:rPr>
              <w:t>Key to Acronyms and Abbreviations</w:t>
            </w:r>
            <w:r w:rsidR="00887C41">
              <w:rPr>
                <w:noProof/>
                <w:webHidden/>
              </w:rPr>
              <w:tab/>
            </w:r>
            <w:r w:rsidR="00887C41">
              <w:rPr>
                <w:noProof/>
                <w:webHidden/>
              </w:rPr>
              <w:fldChar w:fldCharType="begin"/>
            </w:r>
            <w:r w:rsidR="00887C41">
              <w:rPr>
                <w:noProof/>
                <w:webHidden/>
              </w:rPr>
              <w:instrText xml:space="preserve"> PAGEREF _Toc440630049 \h </w:instrText>
            </w:r>
            <w:r w:rsidR="00887C41">
              <w:rPr>
                <w:noProof/>
                <w:webHidden/>
              </w:rPr>
            </w:r>
            <w:r w:rsidR="00887C41">
              <w:rPr>
                <w:noProof/>
                <w:webHidden/>
              </w:rPr>
              <w:fldChar w:fldCharType="separate"/>
            </w:r>
            <w:r w:rsidR="000E45C8">
              <w:rPr>
                <w:noProof/>
                <w:webHidden/>
              </w:rPr>
              <w:t>iv</w:t>
            </w:r>
            <w:r w:rsidR="00887C41">
              <w:rPr>
                <w:noProof/>
                <w:webHidden/>
              </w:rPr>
              <w:fldChar w:fldCharType="end"/>
            </w:r>
          </w:hyperlink>
        </w:p>
        <w:p w:rsidR="00887C41" w:rsidRDefault="00EE142C" w:rsidP="00887C41">
          <w:pPr>
            <w:pStyle w:val="TOC1"/>
            <w:rPr>
              <w:rFonts w:eastAsiaTheme="minorEastAsia"/>
              <w:noProof/>
            </w:rPr>
          </w:pPr>
          <w:hyperlink w:anchor="_Toc440630050" w:history="1">
            <w:r w:rsidR="00887C41" w:rsidRPr="00FD4A98">
              <w:rPr>
                <w:rStyle w:val="Hyperlink"/>
                <w:noProof/>
              </w:rPr>
              <w:t>1. Introduction</w:t>
            </w:r>
            <w:r w:rsidR="00887C41">
              <w:rPr>
                <w:noProof/>
                <w:webHidden/>
              </w:rPr>
              <w:tab/>
            </w:r>
            <w:r w:rsidR="00887C41">
              <w:rPr>
                <w:noProof/>
                <w:webHidden/>
              </w:rPr>
              <w:fldChar w:fldCharType="begin"/>
            </w:r>
            <w:r w:rsidR="00887C41">
              <w:rPr>
                <w:noProof/>
                <w:webHidden/>
              </w:rPr>
              <w:instrText xml:space="preserve"> PAGEREF _Toc440630050 \h </w:instrText>
            </w:r>
            <w:r w:rsidR="00887C41">
              <w:rPr>
                <w:noProof/>
                <w:webHidden/>
              </w:rPr>
            </w:r>
            <w:r w:rsidR="00887C41">
              <w:rPr>
                <w:noProof/>
                <w:webHidden/>
              </w:rPr>
              <w:fldChar w:fldCharType="separate"/>
            </w:r>
            <w:r w:rsidR="000E45C8">
              <w:rPr>
                <w:noProof/>
                <w:webHidden/>
              </w:rPr>
              <w:t>1</w:t>
            </w:r>
            <w:r w:rsidR="00887C41">
              <w:rPr>
                <w:noProof/>
                <w:webHidden/>
              </w:rPr>
              <w:fldChar w:fldCharType="end"/>
            </w:r>
          </w:hyperlink>
        </w:p>
        <w:p w:rsidR="00887C41" w:rsidRDefault="00EE142C">
          <w:pPr>
            <w:pStyle w:val="TOC2"/>
            <w:rPr>
              <w:rFonts w:eastAsiaTheme="minorEastAsia"/>
            </w:rPr>
          </w:pPr>
          <w:hyperlink w:anchor="_Toc440630051" w:history="1">
            <w:r w:rsidR="00887C41" w:rsidRPr="00FD4A98">
              <w:rPr>
                <w:rStyle w:val="Hyperlink"/>
              </w:rPr>
              <w:t>1.1 Context</w:t>
            </w:r>
            <w:r w:rsidR="00887C41">
              <w:rPr>
                <w:webHidden/>
              </w:rPr>
              <w:tab/>
            </w:r>
            <w:r w:rsidR="00887C41">
              <w:rPr>
                <w:webHidden/>
              </w:rPr>
              <w:fldChar w:fldCharType="begin"/>
            </w:r>
            <w:r w:rsidR="00887C41">
              <w:rPr>
                <w:webHidden/>
              </w:rPr>
              <w:instrText xml:space="preserve"> PAGEREF _Toc440630051 \h </w:instrText>
            </w:r>
            <w:r w:rsidR="00887C41">
              <w:rPr>
                <w:webHidden/>
              </w:rPr>
            </w:r>
            <w:r w:rsidR="00887C41">
              <w:rPr>
                <w:webHidden/>
              </w:rPr>
              <w:fldChar w:fldCharType="separate"/>
            </w:r>
            <w:r w:rsidR="000E45C8">
              <w:rPr>
                <w:webHidden/>
              </w:rPr>
              <w:t>1</w:t>
            </w:r>
            <w:r w:rsidR="00887C41">
              <w:rPr>
                <w:webHidden/>
              </w:rPr>
              <w:fldChar w:fldCharType="end"/>
            </w:r>
          </w:hyperlink>
        </w:p>
        <w:p w:rsidR="00887C41" w:rsidRDefault="00EE142C">
          <w:pPr>
            <w:pStyle w:val="TOC2"/>
            <w:rPr>
              <w:rFonts w:eastAsiaTheme="minorEastAsia"/>
            </w:rPr>
          </w:pPr>
          <w:hyperlink w:anchor="_Toc440630052" w:history="1">
            <w:r w:rsidR="00887C41" w:rsidRPr="00FD4A98">
              <w:rPr>
                <w:rStyle w:val="Hyperlink"/>
              </w:rPr>
              <w:t>1.2 Impacts of climate change. Why carbon neutrality?</w:t>
            </w:r>
            <w:r w:rsidR="00887C41">
              <w:rPr>
                <w:webHidden/>
              </w:rPr>
              <w:tab/>
            </w:r>
            <w:r w:rsidR="00887C41">
              <w:rPr>
                <w:webHidden/>
              </w:rPr>
              <w:fldChar w:fldCharType="begin"/>
            </w:r>
            <w:r w:rsidR="00887C41">
              <w:rPr>
                <w:webHidden/>
              </w:rPr>
              <w:instrText xml:space="preserve"> PAGEREF _Toc440630052 \h </w:instrText>
            </w:r>
            <w:r w:rsidR="00887C41">
              <w:rPr>
                <w:webHidden/>
              </w:rPr>
            </w:r>
            <w:r w:rsidR="00887C41">
              <w:rPr>
                <w:webHidden/>
              </w:rPr>
              <w:fldChar w:fldCharType="separate"/>
            </w:r>
            <w:r w:rsidR="000E45C8">
              <w:rPr>
                <w:webHidden/>
              </w:rPr>
              <w:t>2</w:t>
            </w:r>
            <w:r w:rsidR="00887C41">
              <w:rPr>
                <w:webHidden/>
              </w:rPr>
              <w:fldChar w:fldCharType="end"/>
            </w:r>
          </w:hyperlink>
        </w:p>
        <w:p w:rsidR="00887C41" w:rsidRDefault="00EE142C" w:rsidP="00887C41">
          <w:pPr>
            <w:pStyle w:val="TOC1"/>
            <w:rPr>
              <w:rFonts w:eastAsiaTheme="minorEastAsia"/>
              <w:noProof/>
            </w:rPr>
          </w:pPr>
          <w:hyperlink w:anchor="_Toc440630053" w:history="1">
            <w:r w:rsidR="00887C41" w:rsidRPr="00FD4A98">
              <w:rPr>
                <w:rStyle w:val="Hyperlink"/>
                <w:noProof/>
              </w:rPr>
              <w:t>2. Greenhouse Gas Emissions</w:t>
            </w:r>
            <w:r w:rsidR="00887C41">
              <w:rPr>
                <w:noProof/>
                <w:webHidden/>
              </w:rPr>
              <w:tab/>
            </w:r>
            <w:r w:rsidR="00887C41">
              <w:rPr>
                <w:noProof/>
                <w:webHidden/>
              </w:rPr>
              <w:fldChar w:fldCharType="begin"/>
            </w:r>
            <w:r w:rsidR="00887C41">
              <w:rPr>
                <w:noProof/>
                <w:webHidden/>
              </w:rPr>
              <w:instrText xml:space="preserve"> PAGEREF _Toc440630053 \h </w:instrText>
            </w:r>
            <w:r w:rsidR="00887C41">
              <w:rPr>
                <w:noProof/>
                <w:webHidden/>
              </w:rPr>
            </w:r>
            <w:r w:rsidR="00887C41">
              <w:rPr>
                <w:noProof/>
                <w:webHidden/>
              </w:rPr>
              <w:fldChar w:fldCharType="separate"/>
            </w:r>
            <w:r w:rsidR="000E45C8">
              <w:rPr>
                <w:noProof/>
                <w:webHidden/>
              </w:rPr>
              <w:t>3</w:t>
            </w:r>
            <w:r w:rsidR="00887C41">
              <w:rPr>
                <w:noProof/>
                <w:webHidden/>
              </w:rPr>
              <w:fldChar w:fldCharType="end"/>
            </w:r>
          </w:hyperlink>
        </w:p>
        <w:p w:rsidR="00887C41" w:rsidRDefault="00EE142C">
          <w:pPr>
            <w:pStyle w:val="TOC2"/>
            <w:rPr>
              <w:rFonts w:eastAsiaTheme="minorEastAsia"/>
            </w:rPr>
          </w:pPr>
          <w:hyperlink w:anchor="_Toc440630054" w:history="1">
            <w:r w:rsidR="00887C41" w:rsidRPr="00FD4A98">
              <w:rPr>
                <w:rStyle w:val="Hyperlink"/>
              </w:rPr>
              <w:t>2.1 Historical Emissions</w:t>
            </w:r>
            <w:r w:rsidR="00887C41">
              <w:rPr>
                <w:webHidden/>
              </w:rPr>
              <w:tab/>
            </w:r>
            <w:r w:rsidR="00887C41">
              <w:rPr>
                <w:webHidden/>
              </w:rPr>
              <w:fldChar w:fldCharType="begin"/>
            </w:r>
            <w:r w:rsidR="00887C41">
              <w:rPr>
                <w:webHidden/>
              </w:rPr>
              <w:instrText xml:space="preserve"> PAGEREF _Toc440630054 \h </w:instrText>
            </w:r>
            <w:r w:rsidR="00887C41">
              <w:rPr>
                <w:webHidden/>
              </w:rPr>
            </w:r>
            <w:r w:rsidR="00887C41">
              <w:rPr>
                <w:webHidden/>
              </w:rPr>
              <w:fldChar w:fldCharType="separate"/>
            </w:r>
            <w:r w:rsidR="000E45C8">
              <w:rPr>
                <w:webHidden/>
              </w:rPr>
              <w:t>3</w:t>
            </w:r>
            <w:r w:rsidR="00887C41">
              <w:rPr>
                <w:webHidden/>
              </w:rPr>
              <w:fldChar w:fldCharType="end"/>
            </w:r>
          </w:hyperlink>
        </w:p>
        <w:p w:rsidR="00887C41" w:rsidRDefault="00EE142C">
          <w:pPr>
            <w:pStyle w:val="TOC2"/>
            <w:rPr>
              <w:rFonts w:eastAsiaTheme="minorEastAsia"/>
            </w:rPr>
          </w:pPr>
          <w:hyperlink w:anchor="_Toc440630055" w:history="1">
            <w:r w:rsidR="00887C41" w:rsidRPr="00FD4A98">
              <w:rPr>
                <w:rStyle w:val="Hyperlink"/>
              </w:rPr>
              <w:t>2.2 Future Projections</w:t>
            </w:r>
            <w:r w:rsidR="00887C41">
              <w:rPr>
                <w:webHidden/>
              </w:rPr>
              <w:tab/>
            </w:r>
            <w:r w:rsidR="00887C41">
              <w:rPr>
                <w:webHidden/>
              </w:rPr>
              <w:fldChar w:fldCharType="begin"/>
            </w:r>
            <w:r w:rsidR="00887C41">
              <w:rPr>
                <w:webHidden/>
              </w:rPr>
              <w:instrText xml:space="preserve"> PAGEREF _Toc440630055 \h </w:instrText>
            </w:r>
            <w:r w:rsidR="00887C41">
              <w:rPr>
                <w:webHidden/>
              </w:rPr>
            </w:r>
            <w:r w:rsidR="00887C41">
              <w:rPr>
                <w:webHidden/>
              </w:rPr>
              <w:fldChar w:fldCharType="separate"/>
            </w:r>
            <w:r w:rsidR="000E45C8">
              <w:rPr>
                <w:webHidden/>
              </w:rPr>
              <w:t>7</w:t>
            </w:r>
            <w:r w:rsidR="00887C41">
              <w:rPr>
                <w:webHidden/>
              </w:rPr>
              <w:fldChar w:fldCharType="end"/>
            </w:r>
          </w:hyperlink>
        </w:p>
        <w:p w:rsidR="00887C41" w:rsidRDefault="00EE142C" w:rsidP="00887C41">
          <w:pPr>
            <w:pStyle w:val="TOC1"/>
            <w:rPr>
              <w:rFonts w:eastAsiaTheme="minorEastAsia"/>
              <w:noProof/>
            </w:rPr>
          </w:pPr>
          <w:hyperlink w:anchor="_Toc440630056" w:history="1">
            <w:r w:rsidR="00887C41" w:rsidRPr="00FD4A98">
              <w:rPr>
                <w:rStyle w:val="Hyperlink"/>
                <w:noProof/>
              </w:rPr>
              <w:t>3. Climate Action Plan</w:t>
            </w:r>
            <w:r w:rsidR="00887C41">
              <w:rPr>
                <w:noProof/>
                <w:webHidden/>
              </w:rPr>
              <w:tab/>
            </w:r>
            <w:r w:rsidR="00887C41">
              <w:rPr>
                <w:noProof/>
                <w:webHidden/>
              </w:rPr>
              <w:fldChar w:fldCharType="begin"/>
            </w:r>
            <w:r w:rsidR="00887C41">
              <w:rPr>
                <w:noProof/>
                <w:webHidden/>
              </w:rPr>
              <w:instrText xml:space="preserve"> PAGEREF _Toc440630056 \h </w:instrText>
            </w:r>
            <w:r w:rsidR="00887C41">
              <w:rPr>
                <w:noProof/>
                <w:webHidden/>
              </w:rPr>
            </w:r>
            <w:r w:rsidR="00887C41">
              <w:rPr>
                <w:noProof/>
                <w:webHidden/>
              </w:rPr>
              <w:fldChar w:fldCharType="separate"/>
            </w:r>
            <w:r w:rsidR="000E45C8">
              <w:rPr>
                <w:noProof/>
                <w:webHidden/>
              </w:rPr>
              <w:t>10</w:t>
            </w:r>
            <w:r w:rsidR="00887C41">
              <w:rPr>
                <w:noProof/>
                <w:webHidden/>
              </w:rPr>
              <w:fldChar w:fldCharType="end"/>
            </w:r>
          </w:hyperlink>
        </w:p>
        <w:p w:rsidR="00887C41" w:rsidRDefault="00EE142C">
          <w:pPr>
            <w:pStyle w:val="TOC2"/>
            <w:rPr>
              <w:rFonts w:eastAsiaTheme="minorEastAsia"/>
            </w:rPr>
          </w:pPr>
          <w:hyperlink w:anchor="_Toc440630057" w:history="1">
            <w:r w:rsidR="00887C41" w:rsidRPr="00FD4A98">
              <w:rPr>
                <w:rStyle w:val="Hyperlink"/>
              </w:rPr>
              <w:t>3.1 Energy and Buildings</w:t>
            </w:r>
            <w:r w:rsidR="00887C41">
              <w:rPr>
                <w:webHidden/>
              </w:rPr>
              <w:tab/>
            </w:r>
            <w:r w:rsidR="00887C41">
              <w:rPr>
                <w:webHidden/>
              </w:rPr>
              <w:fldChar w:fldCharType="begin"/>
            </w:r>
            <w:r w:rsidR="00887C41">
              <w:rPr>
                <w:webHidden/>
              </w:rPr>
              <w:instrText xml:space="preserve"> PAGEREF _Toc440630057 \h </w:instrText>
            </w:r>
            <w:r w:rsidR="00887C41">
              <w:rPr>
                <w:webHidden/>
              </w:rPr>
            </w:r>
            <w:r w:rsidR="00887C41">
              <w:rPr>
                <w:webHidden/>
              </w:rPr>
              <w:fldChar w:fldCharType="separate"/>
            </w:r>
            <w:r w:rsidR="000E45C8">
              <w:rPr>
                <w:webHidden/>
              </w:rPr>
              <w:t>10</w:t>
            </w:r>
            <w:r w:rsidR="00887C41">
              <w:rPr>
                <w:webHidden/>
              </w:rPr>
              <w:fldChar w:fldCharType="end"/>
            </w:r>
          </w:hyperlink>
        </w:p>
        <w:p w:rsidR="00887C41" w:rsidRDefault="00EE142C">
          <w:pPr>
            <w:pStyle w:val="TOC3"/>
            <w:tabs>
              <w:tab w:val="right" w:leader="dot" w:pos="8990"/>
            </w:tabs>
            <w:rPr>
              <w:rFonts w:eastAsiaTheme="minorEastAsia"/>
              <w:noProof/>
            </w:rPr>
          </w:pPr>
          <w:hyperlink w:anchor="_Toc440630058" w:history="1">
            <w:r w:rsidR="00887C41" w:rsidRPr="00FD4A98">
              <w:rPr>
                <w:rStyle w:val="Hyperlink"/>
                <w:noProof/>
              </w:rPr>
              <w:t>3.1.1 Refrigerants and Chemicals</w:t>
            </w:r>
            <w:r w:rsidR="00887C41">
              <w:rPr>
                <w:noProof/>
                <w:webHidden/>
              </w:rPr>
              <w:tab/>
            </w:r>
            <w:r w:rsidR="00887C41">
              <w:rPr>
                <w:noProof/>
                <w:webHidden/>
              </w:rPr>
              <w:fldChar w:fldCharType="begin"/>
            </w:r>
            <w:r w:rsidR="00887C41">
              <w:rPr>
                <w:noProof/>
                <w:webHidden/>
              </w:rPr>
              <w:instrText xml:space="preserve"> PAGEREF _Toc440630058 \h </w:instrText>
            </w:r>
            <w:r w:rsidR="00887C41">
              <w:rPr>
                <w:noProof/>
                <w:webHidden/>
              </w:rPr>
            </w:r>
            <w:r w:rsidR="00887C41">
              <w:rPr>
                <w:noProof/>
                <w:webHidden/>
              </w:rPr>
              <w:fldChar w:fldCharType="separate"/>
            </w:r>
            <w:r w:rsidR="000E45C8">
              <w:rPr>
                <w:noProof/>
                <w:webHidden/>
              </w:rPr>
              <w:t>16</w:t>
            </w:r>
            <w:r w:rsidR="00887C41">
              <w:rPr>
                <w:noProof/>
                <w:webHidden/>
              </w:rPr>
              <w:fldChar w:fldCharType="end"/>
            </w:r>
          </w:hyperlink>
        </w:p>
        <w:p w:rsidR="00887C41" w:rsidRDefault="00EE142C">
          <w:pPr>
            <w:pStyle w:val="TOC2"/>
            <w:rPr>
              <w:rFonts w:eastAsiaTheme="minorEastAsia"/>
            </w:rPr>
          </w:pPr>
          <w:hyperlink w:anchor="_Toc440630059" w:history="1">
            <w:r w:rsidR="00887C41" w:rsidRPr="00FD4A98">
              <w:rPr>
                <w:rStyle w:val="Hyperlink"/>
              </w:rPr>
              <w:t>3.2 Power Mix</w:t>
            </w:r>
            <w:r w:rsidR="00887C41">
              <w:rPr>
                <w:webHidden/>
              </w:rPr>
              <w:tab/>
            </w:r>
            <w:r w:rsidR="00887C41">
              <w:rPr>
                <w:webHidden/>
              </w:rPr>
              <w:fldChar w:fldCharType="begin"/>
            </w:r>
            <w:r w:rsidR="00887C41">
              <w:rPr>
                <w:webHidden/>
              </w:rPr>
              <w:instrText xml:space="preserve"> PAGEREF _Toc440630059 \h </w:instrText>
            </w:r>
            <w:r w:rsidR="00887C41">
              <w:rPr>
                <w:webHidden/>
              </w:rPr>
            </w:r>
            <w:r w:rsidR="00887C41">
              <w:rPr>
                <w:webHidden/>
              </w:rPr>
              <w:fldChar w:fldCharType="separate"/>
            </w:r>
            <w:r w:rsidR="000E45C8">
              <w:rPr>
                <w:webHidden/>
              </w:rPr>
              <w:t>17</w:t>
            </w:r>
            <w:r w:rsidR="00887C41">
              <w:rPr>
                <w:webHidden/>
              </w:rPr>
              <w:fldChar w:fldCharType="end"/>
            </w:r>
          </w:hyperlink>
        </w:p>
        <w:p w:rsidR="00887C41" w:rsidRDefault="00EE142C">
          <w:pPr>
            <w:pStyle w:val="TOC2"/>
            <w:rPr>
              <w:rFonts w:eastAsiaTheme="minorEastAsia"/>
            </w:rPr>
          </w:pPr>
          <w:hyperlink w:anchor="_Toc440630060" w:history="1">
            <w:r w:rsidR="00887C41" w:rsidRPr="00FD4A98">
              <w:rPr>
                <w:rStyle w:val="Hyperlink"/>
              </w:rPr>
              <w:t>3.3 Renewables</w:t>
            </w:r>
            <w:r w:rsidR="00887C41">
              <w:rPr>
                <w:webHidden/>
              </w:rPr>
              <w:tab/>
            </w:r>
            <w:r w:rsidR="00887C41">
              <w:rPr>
                <w:webHidden/>
              </w:rPr>
              <w:fldChar w:fldCharType="begin"/>
            </w:r>
            <w:r w:rsidR="00887C41">
              <w:rPr>
                <w:webHidden/>
              </w:rPr>
              <w:instrText xml:space="preserve"> PAGEREF _Toc440630060 \h </w:instrText>
            </w:r>
            <w:r w:rsidR="00887C41">
              <w:rPr>
                <w:webHidden/>
              </w:rPr>
            </w:r>
            <w:r w:rsidR="00887C41">
              <w:rPr>
                <w:webHidden/>
              </w:rPr>
              <w:fldChar w:fldCharType="separate"/>
            </w:r>
            <w:r w:rsidR="000E45C8">
              <w:rPr>
                <w:webHidden/>
              </w:rPr>
              <w:t>21</w:t>
            </w:r>
            <w:r w:rsidR="00887C41">
              <w:rPr>
                <w:webHidden/>
              </w:rPr>
              <w:fldChar w:fldCharType="end"/>
            </w:r>
          </w:hyperlink>
        </w:p>
        <w:p w:rsidR="00887C41" w:rsidRDefault="00EE142C">
          <w:pPr>
            <w:pStyle w:val="TOC2"/>
            <w:rPr>
              <w:rFonts w:eastAsiaTheme="minorEastAsia"/>
            </w:rPr>
          </w:pPr>
          <w:hyperlink w:anchor="_Toc440630061" w:history="1">
            <w:r w:rsidR="00887C41" w:rsidRPr="00FD4A98">
              <w:rPr>
                <w:rStyle w:val="Hyperlink"/>
              </w:rPr>
              <w:t>3.4 Mobile emissions</w:t>
            </w:r>
            <w:r w:rsidR="00887C41">
              <w:rPr>
                <w:webHidden/>
              </w:rPr>
              <w:tab/>
            </w:r>
            <w:r w:rsidR="00887C41">
              <w:rPr>
                <w:webHidden/>
              </w:rPr>
              <w:fldChar w:fldCharType="begin"/>
            </w:r>
            <w:r w:rsidR="00887C41">
              <w:rPr>
                <w:webHidden/>
              </w:rPr>
              <w:instrText xml:space="preserve"> PAGEREF _Toc440630061 \h </w:instrText>
            </w:r>
            <w:r w:rsidR="00887C41">
              <w:rPr>
                <w:webHidden/>
              </w:rPr>
            </w:r>
            <w:r w:rsidR="00887C41">
              <w:rPr>
                <w:webHidden/>
              </w:rPr>
              <w:fldChar w:fldCharType="separate"/>
            </w:r>
            <w:r w:rsidR="000E45C8">
              <w:rPr>
                <w:webHidden/>
              </w:rPr>
              <w:t>28</w:t>
            </w:r>
            <w:r w:rsidR="00887C41">
              <w:rPr>
                <w:webHidden/>
              </w:rPr>
              <w:fldChar w:fldCharType="end"/>
            </w:r>
          </w:hyperlink>
        </w:p>
        <w:p w:rsidR="00887C41" w:rsidRDefault="00EE142C">
          <w:pPr>
            <w:pStyle w:val="TOC2"/>
            <w:rPr>
              <w:rFonts w:eastAsiaTheme="minorEastAsia"/>
            </w:rPr>
          </w:pPr>
          <w:hyperlink w:anchor="_Toc440630062" w:history="1">
            <w:r w:rsidR="00887C41" w:rsidRPr="00FD4A98">
              <w:rPr>
                <w:rStyle w:val="Hyperlink"/>
              </w:rPr>
              <w:t>3.5 Scope 3 Emissions</w:t>
            </w:r>
            <w:r w:rsidR="00887C41">
              <w:rPr>
                <w:webHidden/>
              </w:rPr>
              <w:tab/>
            </w:r>
            <w:r w:rsidR="00887C41">
              <w:rPr>
                <w:webHidden/>
              </w:rPr>
              <w:fldChar w:fldCharType="begin"/>
            </w:r>
            <w:r w:rsidR="00887C41">
              <w:rPr>
                <w:webHidden/>
              </w:rPr>
              <w:instrText xml:space="preserve"> PAGEREF _Toc440630062 \h </w:instrText>
            </w:r>
            <w:r w:rsidR="00887C41">
              <w:rPr>
                <w:webHidden/>
              </w:rPr>
            </w:r>
            <w:r w:rsidR="00887C41">
              <w:rPr>
                <w:webHidden/>
              </w:rPr>
              <w:fldChar w:fldCharType="separate"/>
            </w:r>
            <w:r w:rsidR="000E45C8">
              <w:rPr>
                <w:webHidden/>
              </w:rPr>
              <w:t>30</w:t>
            </w:r>
            <w:r w:rsidR="00887C41">
              <w:rPr>
                <w:webHidden/>
              </w:rPr>
              <w:fldChar w:fldCharType="end"/>
            </w:r>
          </w:hyperlink>
        </w:p>
        <w:p w:rsidR="00887C41" w:rsidRDefault="00EE142C">
          <w:pPr>
            <w:pStyle w:val="TOC3"/>
            <w:tabs>
              <w:tab w:val="right" w:leader="dot" w:pos="8990"/>
            </w:tabs>
            <w:rPr>
              <w:rFonts w:eastAsiaTheme="minorEastAsia"/>
              <w:noProof/>
            </w:rPr>
          </w:pPr>
          <w:hyperlink w:anchor="_Toc440630063" w:history="1">
            <w:r w:rsidR="00887C41" w:rsidRPr="00FD4A98">
              <w:rPr>
                <w:rStyle w:val="Hyperlink"/>
                <w:noProof/>
              </w:rPr>
              <w:t>3.5.1 Commuting</w:t>
            </w:r>
            <w:r w:rsidR="00887C41">
              <w:rPr>
                <w:noProof/>
                <w:webHidden/>
              </w:rPr>
              <w:tab/>
            </w:r>
            <w:r w:rsidR="00887C41">
              <w:rPr>
                <w:noProof/>
                <w:webHidden/>
              </w:rPr>
              <w:fldChar w:fldCharType="begin"/>
            </w:r>
            <w:r w:rsidR="00887C41">
              <w:rPr>
                <w:noProof/>
                <w:webHidden/>
              </w:rPr>
              <w:instrText xml:space="preserve"> PAGEREF _Toc440630063 \h </w:instrText>
            </w:r>
            <w:r w:rsidR="00887C41">
              <w:rPr>
                <w:noProof/>
                <w:webHidden/>
              </w:rPr>
            </w:r>
            <w:r w:rsidR="00887C41">
              <w:rPr>
                <w:noProof/>
                <w:webHidden/>
              </w:rPr>
              <w:fldChar w:fldCharType="separate"/>
            </w:r>
            <w:r w:rsidR="000E45C8">
              <w:rPr>
                <w:noProof/>
                <w:webHidden/>
              </w:rPr>
              <w:t>30</w:t>
            </w:r>
            <w:r w:rsidR="00887C41">
              <w:rPr>
                <w:noProof/>
                <w:webHidden/>
              </w:rPr>
              <w:fldChar w:fldCharType="end"/>
            </w:r>
          </w:hyperlink>
        </w:p>
        <w:p w:rsidR="00887C41" w:rsidRDefault="00EE142C">
          <w:pPr>
            <w:pStyle w:val="TOC3"/>
            <w:tabs>
              <w:tab w:val="right" w:leader="dot" w:pos="8990"/>
            </w:tabs>
            <w:rPr>
              <w:rFonts w:eastAsiaTheme="minorEastAsia"/>
              <w:noProof/>
            </w:rPr>
          </w:pPr>
          <w:hyperlink w:anchor="_Toc440630064" w:history="1">
            <w:r w:rsidR="00887C41" w:rsidRPr="00FD4A98">
              <w:rPr>
                <w:rStyle w:val="Hyperlink"/>
                <w:noProof/>
              </w:rPr>
              <w:t>3.5.2 Business travel</w:t>
            </w:r>
            <w:r w:rsidR="00887C41">
              <w:rPr>
                <w:noProof/>
                <w:webHidden/>
              </w:rPr>
              <w:tab/>
            </w:r>
            <w:r w:rsidR="00887C41">
              <w:rPr>
                <w:noProof/>
                <w:webHidden/>
              </w:rPr>
              <w:fldChar w:fldCharType="begin"/>
            </w:r>
            <w:r w:rsidR="00887C41">
              <w:rPr>
                <w:noProof/>
                <w:webHidden/>
              </w:rPr>
              <w:instrText xml:space="preserve"> PAGEREF _Toc440630064 \h </w:instrText>
            </w:r>
            <w:r w:rsidR="00887C41">
              <w:rPr>
                <w:noProof/>
                <w:webHidden/>
              </w:rPr>
            </w:r>
            <w:r w:rsidR="00887C41">
              <w:rPr>
                <w:noProof/>
                <w:webHidden/>
              </w:rPr>
              <w:fldChar w:fldCharType="separate"/>
            </w:r>
            <w:r w:rsidR="000E45C8">
              <w:rPr>
                <w:noProof/>
                <w:webHidden/>
              </w:rPr>
              <w:t>38</w:t>
            </w:r>
            <w:r w:rsidR="00887C41">
              <w:rPr>
                <w:noProof/>
                <w:webHidden/>
              </w:rPr>
              <w:fldChar w:fldCharType="end"/>
            </w:r>
          </w:hyperlink>
        </w:p>
        <w:p w:rsidR="00887C41" w:rsidRDefault="00EE142C">
          <w:pPr>
            <w:pStyle w:val="TOC3"/>
            <w:tabs>
              <w:tab w:val="right" w:leader="dot" w:pos="8990"/>
            </w:tabs>
            <w:rPr>
              <w:rFonts w:eastAsiaTheme="minorEastAsia"/>
              <w:noProof/>
            </w:rPr>
          </w:pPr>
          <w:hyperlink w:anchor="_Toc440630065" w:history="1">
            <w:r w:rsidR="00887C41" w:rsidRPr="00FD4A98">
              <w:rPr>
                <w:rStyle w:val="Hyperlink"/>
                <w:noProof/>
              </w:rPr>
              <w:t>3.5.3 Transmission and Distribution Losses (T&amp;D)</w:t>
            </w:r>
            <w:r w:rsidR="00887C41">
              <w:rPr>
                <w:noProof/>
                <w:webHidden/>
              </w:rPr>
              <w:tab/>
            </w:r>
            <w:r w:rsidR="00887C41">
              <w:rPr>
                <w:noProof/>
                <w:webHidden/>
              </w:rPr>
              <w:fldChar w:fldCharType="begin"/>
            </w:r>
            <w:r w:rsidR="00887C41">
              <w:rPr>
                <w:noProof/>
                <w:webHidden/>
              </w:rPr>
              <w:instrText xml:space="preserve"> PAGEREF _Toc440630065 \h </w:instrText>
            </w:r>
            <w:r w:rsidR="00887C41">
              <w:rPr>
                <w:noProof/>
                <w:webHidden/>
              </w:rPr>
            </w:r>
            <w:r w:rsidR="00887C41">
              <w:rPr>
                <w:noProof/>
                <w:webHidden/>
              </w:rPr>
              <w:fldChar w:fldCharType="separate"/>
            </w:r>
            <w:r w:rsidR="000E45C8">
              <w:rPr>
                <w:noProof/>
                <w:webHidden/>
              </w:rPr>
              <w:t>40</w:t>
            </w:r>
            <w:r w:rsidR="00887C41">
              <w:rPr>
                <w:noProof/>
                <w:webHidden/>
              </w:rPr>
              <w:fldChar w:fldCharType="end"/>
            </w:r>
          </w:hyperlink>
        </w:p>
        <w:p w:rsidR="00887C41" w:rsidRDefault="00EE142C" w:rsidP="00887C41">
          <w:pPr>
            <w:pStyle w:val="TOC1"/>
            <w:rPr>
              <w:rFonts w:eastAsiaTheme="minorEastAsia"/>
              <w:noProof/>
            </w:rPr>
          </w:pPr>
          <w:hyperlink w:anchor="_Toc440630066" w:history="1">
            <w:r w:rsidR="00887C41" w:rsidRPr="00FD4A98">
              <w:rPr>
                <w:rStyle w:val="Hyperlink"/>
                <w:noProof/>
              </w:rPr>
              <w:t>4.  Model Projections and Strategies to Reach Carbon Neutrality</w:t>
            </w:r>
            <w:r w:rsidR="00887C41">
              <w:rPr>
                <w:noProof/>
                <w:webHidden/>
              </w:rPr>
              <w:tab/>
            </w:r>
            <w:r w:rsidR="00887C41">
              <w:rPr>
                <w:noProof/>
                <w:webHidden/>
              </w:rPr>
              <w:fldChar w:fldCharType="begin"/>
            </w:r>
            <w:r w:rsidR="00887C41">
              <w:rPr>
                <w:noProof/>
                <w:webHidden/>
              </w:rPr>
              <w:instrText xml:space="preserve"> PAGEREF _Toc440630066 \h </w:instrText>
            </w:r>
            <w:r w:rsidR="00887C41">
              <w:rPr>
                <w:noProof/>
                <w:webHidden/>
              </w:rPr>
            </w:r>
            <w:r w:rsidR="00887C41">
              <w:rPr>
                <w:noProof/>
                <w:webHidden/>
              </w:rPr>
              <w:fldChar w:fldCharType="separate"/>
            </w:r>
            <w:r w:rsidR="000E45C8">
              <w:rPr>
                <w:noProof/>
                <w:webHidden/>
              </w:rPr>
              <w:t>40</w:t>
            </w:r>
            <w:r w:rsidR="00887C41">
              <w:rPr>
                <w:noProof/>
                <w:webHidden/>
              </w:rPr>
              <w:fldChar w:fldCharType="end"/>
            </w:r>
          </w:hyperlink>
        </w:p>
        <w:p w:rsidR="00887C41" w:rsidRDefault="00EE142C" w:rsidP="00887C41">
          <w:pPr>
            <w:pStyle w:val="TOC1"/>
            <w:rPr>
              <w:rFonts w:eastAsiaTheme="minorEastAsia"/>
              <w:noProof/>
            </w:rPr>
          </w:pPr>
          <w:hyperlink w:anchor="_Toc440630067" w:history="1">
            <w:r w:rsidR="00887C41" w:rsidRPr="00FD4A98">
              <w:rPr>
                <w:rStyle w:val="Hyperlink"/>
                <w:noProof/>
              </w:rPr>
              <w:t>5.  Implementation Plan</w:t>
            </w:r>
            <w:r w:rsidR="00887C41">
              <w:rPr>
                <w:noProof/>
                <w:webHidden/>
              </w:rPr>
              <w:tab/>
            </w:r>
            <w:r w:rsidR="00887C41">
              <w:rPr>
                <w:noProof/>
                <w:webHidden/>
              </w:rPr>
              <w:fldChar w:fldCharType="begin"/>
            </w:r>
            <w:r w:rsidR="00887C41">
              <w:rPr>
                <w:noProof/>
                <w:webHidden/>
              </w:rPr>
              <w:instrText xml:space="preserve"> PAGEREF _Toc440630067 \h </w:instrText>
            </w:r>
            <w:r w:rsidR="00887C41">
              <w:rPr>
                <w:noProof/>
                <w:webHidden/>
              </w:rPr>
            </w:r>
            <w:r w:rsidR="00887C41">
              <w:rPr>
                <w:noProof/>
                <w:webHidden/>
              </w:rPr>
              <w:fldChar w:fldCharType="separate"/>
            </w:r>
            <w:r w:rsidR="000E45C8">
              <w:rPr>
                <w:noProof/>
                <w:webHidden/>
              </w:rPr>
              <w:t>45</w:t>
            </w:r>
            <w:r w:rsidR="00887C41">
              <w:rPr>
                <w:noProof/>
                <w:webHidden/>
              </w:rPr>
              <w:fldChar w:fldCharType="end"/>
            </w:r>
          </w:hyperlink>
        </w:p>
        <w:p w:rsidR="00887C41" w:rsidRDefault="00EE142C">
          <w:pPr>
            <w:pStyle w:val="TOC2"/>
            <w:rPr>
              <w:rFonts w:eastAsiaTheme="minorEastAsia"/>
            </w:rPr>
          </w:pPr>
          <w:hyperlink w:anchor="_Toc440630068" w:history="1">
            <w:r w:rsidR="00887C41" w:rsidRPr="00FD4A98">
              <w:rPr>
                <w:rStyle w:val="Hyperlink"/>
              </w:rPr>
              <w:t>5.1 Cost-Benefit Analysis</w:t>
            </w:r>
            <w:r w:rsidR="00887C41">
              <w:rPr>
                <w:webHidden/>
              </w:rPr>
              <w:tab/>
            </w:r>
            <w:r w:rsidR="00887C41">
              <w:rPr>
                <w:webHidden/>
              </w:rPr>
              <w:fldChar w:fldCharType="begin"/>
            </w:r>
            <w:r w:rsidR="00887C41">
              <w:rPr>
                <w:webHidden/>
              </w:rPr>
              <w:instrText xml:space="preserve"> PAGEREF _Toc440630068 \h </w:instrText>
            </w:r>
            <w:r w:rsidR="00887C41">
              <w:rPr>
                <w:webHidden/>
              </w:rPr>
            </w:r>
            <w:r w:rsidR="00887C41">
              <w:rPr>
                <w:webHidden/>
              </w:rPr>
              <w:fldChar w:fldCharType="separate"/>
            </w:r>
            <w:r w:rsidR="000E45C8">
              <w:rPr>
                <w:webHidden/>
              </w:rPr>
              <w:t>45</w:t>
            </w:r>
            <w:r w:rsidR="00887C41">
              <w:rPr>
                <w:webHidden/>
              </w:rPr>
              <w:fldChar w:fldCharType="end"/>
            </w:r>
          </w:hyperlink>
        </w:p>
        <w:p w:rsidR="00887C41" w:rsidRDefault="00EE142C">
          <w:pPr>
            <w:pStyle w:val="TOC2"/>
            <w:rPr>
              <w:rFonts w:eastAsiaTheme="minorEastAsia"/>
            </w:rPr>
          </w:pPr>
          <w:hyperlink w:anchor="_Toc440630069" w:history="1">
            <w:r w:rsidR="00887C41" w:rsidRPr="00FD4A98">
              <w:rPr>
                <w:rStyle w:val="Hyperlink"/>
              </w:rPr>
              <w:t>5.2 Schedule and Tracking</w:t>
            </w:r>
            <w:r w:rsidR="00887C41">
              <w:rPr>
                <w:webHidden/>
              </w:rPr>
              <w:tab/>
            </w:r>
            <w:r w:rsidR="00887C41">
              <w:rPr>
                <w:webHidden/>
              </w:rPr>
              <w:fldChar w:fldCharType="begin"/>
            </w:r>
            <w:r w:rsidR="00887C41">
              <w:rPr>
                <w:webHidden/>
              </w:rPr>
              <w:instrText xml:space="preserve"> PAGEREF _Toc440630069 \h </w:instrText>
            </w:r>
            <w:r w:rsidR="00887C41">
              <w:rPr>
                <w:webHidden/>
              </w:rPr>
            </w:r>
            <w:r w:rsidR="00887C41">
              <w:rPr>
                <w:webHidden/>
              </w:rPr>
              <w:fldChar w:fldCharType="separate"/>
            </w:r>
            <w:r w:rsidR="000E45C8">
              <w:rPr>
                <w:webHidden/>
              </w:rPr>
              <w:t>47</w:t>
            </w:r>
            <w:r w:rsidR="00887C41">
              <w:rPr>
                <w:webHidden/>
              </w:rPr>
              <w:fldChar w:fldCharType="end"/>
            </w:r>
          </w:hyperlink>
        </w:p>
        <w:p w:rsidR="00887C41" w:rsidRDefault="00EE142C" w:rsidP="00887C41">
          <w:pPr>
            <w:pStyle w:val="TOC1"/>
            <w:rPr>
              <w:rFonts w:eastAsiaTheme="minorEastAsia"/>
              <w:noProof/>
            </w:rPr>
          </w:pPr>
          <w:hyperlink w:anchor="_Toc440630070" w:history="1">
            <w:r w:rsidR="00887C41" w:rsidRPr="00FD4A98">
              <w:rPr>
                <w:rStyle w:val="Hyperlink"/>
                <w:noProof/>
              </w:rPr>
              <w:t>6.  Incorporating Climate Neutrality and Sustainability into the Educational Experience</w:t>
            </w:r>
            <w:r w:rsidR="00887C41">
              <w:rPr>
                <w:noProof/>
                <w:webHidden/>
              </w:rPr>
              <w:tab/>
            </w:r>
            <w:r w:rsidR="00887C41">
              <w:rPr>
                <w:noProof/>
                <w:webHidden/>
              </w:rPr>
              <w:fldChar w:fldCharType="begin"/>
            </w:r>
            <w:r w:rsidR="00887C41">
              <w:rPr>
                <w:noProof/>
                <w:webHidden/>
              </w:rPr>
              <w:instrText xml:space="preserve"> PAGEREF _Toc440630070 \h </w:instrText>
            </w:r>
            <w:r w:rsidR="00887C41">
              <w:rPr>
                <w:noProof/>
                <w:webHidden/>
              </w:rPr>
            </w:r>
            <w:r w:rsidR="00887C41">
              <w:rPr>
                <w:noProof/>
                <w:webHidden/>
              </w:rPr>
              <w:fldChar w:fldCharType="separate"/>
            </w:r>
            <w:r w:rsidR="000E45C8">
              <w:rPr>
                <w:noProof/>
                <w:webHidden/>
              </w:rPr>
              <w:t>47</w:t>
            </w:r>
            <w:r w:rsidR="00887C41">
              <w:rPr>
                <w:noProof/>
                <w:webHidden/>
              </w:rPr>
              <w:fldChar w:fldCharType="end"/>
            </w:r>
          </w:hyperlink>
        </w:p>
        <w:p w:rsidR="00887C41" w:rsidRDefault="00EE142C">
          <w:pPr>
            <w:pStyle w:val="TOC2"/>
            <w:rPr>
              <w:rFonts w:eastAsiaTheme="minorEastAsia"/>
            </w:rPr>
          </w:pPr>
          <w:hyperlink w:anchor="_Toc440630071" w:history="1">
            <w:r w:rsidR="00887C41" w:rsidRPr="00FD4A98">
              <w:rPr>
                <w:rStyle w:val="Hyperlink"/>
              </w:rPr>
              <w:t>6.1 Goals and Objectives</w:t>
            </w:r>
            <w:r w:rsidR="00887C41">
              <w:rPr>
                <w:webHidden/>
              </w:rPr>
              <w:tab/>
            </w:r>
            <w:r w:rsidR="00887C41">
              <w:rPr>
                <w:webHidden/>
              </w:rPr>
              <w:fldChar w:fldCharType="begin"/>
            </w:r>
            <w:r w:rsidR="00887C41">
              <w:rPr>
                <w:webHidden/>
              </w:rPr>
              <w:instrText xml:space="preserve"> PAGEREF _Toc440630071 \h </w:instrText>
            </w:r>
            <w:r w:rsidR="00887C41">
              <w:rPr>
                <w:webHidden/>
              </w:rPr>
            </w:r>
            <w:r w:rsidR="00887C41">
              <w:rPr>
                <w:webHidden/>
              </w:rPr>
              <w:fldChar w:fldCharType="separate"/>
            </w:r>
            <w:r w:rsidR="000E45C8">
              <w:rPr>
                <w:webHidden/>
              </w:rPr>
              <w:t>47</w:t>
            </w:r>
            <w:r w:rsidR="00887C41">
              <w:rPr>
                <w:webHidden/>
              </w:rPr>
              <w:fldChar w:fldCharType="end"/>
            </w:r>
          </w:hyperlink>
        </w:p>
        <w:p w:rsidR="00887C41" w:rsidRDefault="00EE142C">
          <w:pPr>
            <w:pStyle w:val="TOC2"/>
            <w:rPr>
              <w:rFonts w:eastAsiaTheme="minorEastAsia"/>
            </w:rPr>
          </w:pPr>
          <w:hyperlink w:anchor="_Toc440630072" w:history="1">
            <w:r w:rsidR="00887C41" w:rsidRPr="00FD4A98">
              <w:rPr>
                <w:rStyle w:val="Hyperlink"/>
              </w:rPr>
              <w:t>6.2 Curriculum</w:t>
            </w:r>
            <w:r w:rsidR="00887C41">
              <w:rPr>
                <w:webHidden/>
              </w:rPr>
              <w:tab/>
            </w:r>
            <w:r w:rsidR="00887C41">
              <w:rPr>
                <w:webHidden/>
              </w:rPr>
              <w:fldChar w:fldCharType="begin"/>
            </w:r>
            <w:r w:rsidR="00887C41">
              <w:rPr>
                <w:webHidden/>
              </w:rPr>
              <w:instrText xml:space="preserve"> PAGEREF _Toc440630072 \h </w:instrText>
            </w:r>
            <w:r w:rsidR="00887C41">
              <w:rPr>
                <w:webHidden/>
              </w:rPr>
            </w:r>
            <w:r w:rsidR="00887C41">
              <w:rPr>
                <w:webHidden/>
              </w:rPr>
              <w:fldChar w:fldCharType="separate"/>
            </w:r>
            <w:r w:rsidR="000E45C8">
              <w:rPr>
                <w:webHidden/>
              </w:rPr>
              <w:t>48</w:t>
            </w:r>
            <w:r w:rsidR="00887C41">
              <w:rPr>
                <w:webHidden/>
              </w:rPr>
              <w:fldChar w:fldCharType="end"/>
            </w:r>
          </w:hyperlink>
        </w:p>
        <w:p w:rsidR="00887C41" w:rsidRDefault="00EE142C">
          <w:pPr>
            <w:pStyle w:val="TOC2"/>
            <w:rPr>
              <w:rFonts w:eastAsiaTheme="minorEastAsia"/>
            </w:rPr>
          </w:pPr>
          <w:hyperlink w:anchor="_Toc440630073" w:history="1">
            <w:r w:rsidR="00887C41" w:rsidRPr="00FD4A98">
              <w:rPr>
                <w:rStyle w:val="Hyperlink"/>
              </w:rPr>
              <w:t>6.3 Informal Education in Sustainability and Climate Change</w:t>
            </w:r>
            <w:r w:rsidR="00887C41">
              <w:rPr>
                <w:webHidden/>
              </w:rPr>
              <w:tab/>
            </w:r>
            <w:r w:rsidR="00887C41">
              <w:rPr>
                <w:webHidden/>
              </w:rPr>
              <w:fldChar w:fldCharType="begin"/>
            </w:r>
            <w:r w:rsidR="00887C41">
              <w:rPr>
                <w:webHidden/>
              </w:rPr>
              <w:instrText xml:space="preserve"> PAGEREF _Toc440630073 \h </w:instrText>
            </w:r>
            <w:r w:rsidR="00887C41">
              <w:rPr>
                <w:webHidden/>
              </w:rPr>
            </w:r>
            <w:r w:rsidR="00887C41">
              <w:rPr>
                <w:webHidden/>
              </w:rPr>
              <w:fldChar w:fldCharType="separate"/>
            </w:r>
            <w:r w:rsidR="000E45C8">
              <w:rPr>
                <w:webHidden/>
              </w:rPr>
              <w:t>50</w:t>
            </w:r>
            <w:r w:rsidR="00887C41">
              <w:rPr>
                <w:webHidden/>
              </w:rPr>
              <w:fldChar w:fldCharType="end"/>
            </w:r>
          </w:hyperlink>
        </w:p>
        <w:p w:rsidR="00887C41" w:rsidRDefault="00EE142C" w:rsidP="00887C41">
          <w:pPr>
            <w:pStyle w:val="TOC1"/>
            <w:rPr>
              <w:rFonts w:eastAsiaTheme="minorEastAsia"/>
              <w:noProof/>
            </w:rPr>
          </w:pPr>
          <w:hyperlink w:anchor="_Toc440630074" w:history="1">
            <w:r w:rsidR="00887C41" w:rsidRPr="00FD4A98">
              <w:rPr>
                <w:rStyle w:val="Hyperlink"/>
                <w:noProof/>
              </w:rPr>
              <w:t>7.  Expanding Research Efforts to Achieve Climate Neutrality and Advance Sustainability</w:t>
            </w:r>
            <w:r w:rsidR="00887C41">
              <w:rPr>
                <w:noProof/>
                <w:webHidden/>
              </w:rPr>
              <w:tab/>
            </w:r>
            <w:r w:rsidR="00887C41">
              <w:rPr>
                <w:noProof/>
                <w:webHidden/>
              </w:rPr>
              <w:fldChar w:fldCharType="begin"/>
            </w:r>
            <w:r w:rsidR="00887C41">
              <w:rPr>
                <w:noProof/>
                <w:webHidden/>
              </w:rPr>
              <w:instrText xml:space="preserve"> PAGEREF _Toc440630074 \h </w:instrText>
            </w:r>
            <w:r w:rsidR="00887C41">
              <w:rPr>
                <w:noProof/>
                <w:webHidden/>
              </w:rPr>
            </w:r>
            <w:r w:rsidR="00887C41">
              <w:rPr>
                <w:noProof/>
                <w:webHidden/>
              </w:rPr>
              <w:fldChar w:fldCharType="separate"/>
            </w:r>
            <w:r w:rsidR="000E45C8">
              <w:rPr>
                <w:noProof/>
                <w:webHidden/>
              </w:rPr>
              <w:t>51</w:t>
            </w:r>
            <w:r w:rsidR="00887C41">
              <w:rPr>
                <w:noProof/>
                <w:webHidden/>
              </w:rPr>
              <w:fldChar w:fldCharType="end"/>
            </w:r>
          </w:hyperlink>
        </w:p>
        <w:p w:rsidR="00887C41" w:rsidRDefault="00EE142C" w:rsidP="00887C41">
          <w:pPr>
            <w:pStyle w:val="TOC1"/>
            <w:rPr>
              <w:rFonts w:eastAsiaTheme="minorEastAsia"/>
              <w:noProof/>
            </w:rPr>
          </w:pPr>
          <w:hyperlink w:anchor="_Toc440630075" w:history="1">
            <w:r w:rsidR="00887C41" w:rsidRPr="00FD4A98">
              <w:rPr>
                <w:rStyle w:val="Hyperlink"/>
                <w:noProof/>
              </w:rPr>
              <w:t>8.  Engagement of Community in Climate Action and Resiliency Planning</w:t>
            </w:r>
            <w:r w:rsidR="00887C41">
              <w:rPr>
                <w:noProof/>
                <w:webHidden/>
              </w:rPr>
              <w:tab/>
            </w:r>
            <w:r w:rsidR="00887C41">
              <w:rPr>
                <w:noProof/>
                <w:webHidden/>
              </w:rPr>
              <w:fldChar w:fldCharType="begin"/>
            </w:r>
            <w:r w:rsidR="00887C41">
              <w:rPr>
                <w:noProof/>
                <w:webHidden/>
              </w:rPr>
              <w:instrText xml:space="preserve"> PAGEREF _Toc440630075 \h </w:instrText>
            </w:r>
            <w:r w:rsidR="00887C41">
              <w:rPr>
                <w:noProof/>
                <w:webHidden/>
              </w:rPr>
            </w:r>
            <w:r w:rsidR="00887C41">
              <w:rPr>
                <w:noProof/>
                <w:webHidden/>
              </w:rPr>
              <w:fldChar w:fldCharType="separate"/>
            </w:r>
            <w:r w:rsidR="000E45C8">
              <w:rPr>
                <w:noProof/>
                <w:webHidden/>
              </w:rPr>
              <w:t>52</w:t>
            </w:r>
            <w:r w:rsidR="00887C41">
              <w:rPr>
                <w:noProof/>
                <w:webHidden/>
              </w:rPr>
              <w:fldChar w:fldCharType="end"/>
            </w:r>
          </w:hyperlink>
        </w:p>
        <w:p w:rsidR="00887C41" w:rsidRDefault="00EE142C">
          <w:pPr>
            <w:pStyle w:val="TOC2"/>
            <w:rPr>
              <w:rFonts w:eastAsiaTheme="minorEastAsia"/>
            </w:rPr>
          </w:pPr>
          <w:hyperlink w:anchor="_Toc440630076" w:history="1">
            <w:r w:rsidR="00887C41" w:rsidRPr="00FD4A98">
              <w:rPr>
                <w:rStyle w:val="Hyperlink"/>
              </w:rPr>
              <w:t>8.1 Community Engagement in Sustainability</w:t>
            </w:r>
            <w:r w:rsidR="00887C41">
              <w:rPr>
                <w:webHidden/>
              </w:rPr>
              <w:tab/>
            </w:r>
            <w:r w:rsidR="00887C41">
              <w:rPr>
                <w:webHidden/>
              </w:rPr>
              <w:fldChar w:fldCharType="begin"/>
            </w:r>
            <w:r w:rsidR="00887C41">
              <w:rPr>
                <w:webHidden/>
              </w:rPr>
              <w:instrText xml:space="preserve"> PAGEREF _Toc440630076 \h </w:instrText>
            </w:r>
            <w:r w:rsidR="00887C41">
              <w:rPr>
                <w:webHidden/>
              </w:rPr>
            </w:r>
            <w:r w:rsidR="00887C41">
              <w:rPr>
                <w:webHidden/>
              </w:rPr>
              <w:fldChar w:fldCharType="separate"/>
            </w:r>
            <w:r w:rsidR="000E45C8">
              <w:rPr>
                <w:webHidden/>
              </w:rPr>
              <w:t>52</w:t>
            </w:r>
            <w:r w:rsidR="00887C41">
              <w:rPr>
                <w:webHidden/>
              </w:rPr>
              <w:fldChar w:fldCharType="end"/>
            </w:r>
          </w:hyperlink>
        </w:p>
        <w:p w:rsidR="00887C41" w:rsidRDefault="00EE142C">
          <w:pPr>
            <w:pStyle w:val="TOC2"/>
            <w:rPr>
              <w:rFonts w:eastAsiaTheme="minorEastAsia"/>
            </w:rPr>
          </w:pPr>
          <w:hyperlink w:anchor="_Toc440630077" w:history="1">
            <w:r w:rsidR="00887C41" w:rsidRPr="00FD4A98">
              <w:rPr>
                <w:rStyle w:val="Hyperlink"/>
              </w:rPr>
              <w:t>8.2 Climate Action and Resilience Planning</w:t>
            </w:r>
            <w:r w:rsidR="00887C41">
              <w:rPr>
                <w:webHidden/>
              </w:rPr>
              <w:tab/>
            </w:r>
            <w:r w:rsidR="00887C41">
              <w:rPr>
                <w:webHidden/>
              </w:rPr>
              <w:fldChar w:fldCharType="begin"/>
            </w:r>
            <w:r w:rsidR="00887C41">
              <w:rPr>
                <w:webHidden/>
              </w:rPr>
              <w:instrText xml:space="preserve"> PAGEREF _Toc440630077 \h </w:instrText>
            </w:r>
            <w:r w:rsidR="00887C41">
              <w:rPr>
                <w:webHidden/>
              </w:rPr>
            </w:r>
            <w:r w:rsidR="00887C41">
              <w:rPr>
                <w:webHidden/>
              </w:rPr>
              <w:fldChar w:fldCharType="separate"/>
            </w:r>
            <w:r w:rsidR="000E45C8">
              <w:rPr>
                <w:webHidden/>
              </w:rPr>
              <w:t>53</w:t>
            </w:r>
            <w:r w:rsidR="00887C41">
              <w:rPr>
                <w:webHidden/>
              </w:rPr>
              <w:fldChar w:fldCharType="end"/>
            </w:r>
          </w:hyperlink>
        </w:p>
        <w:p w:rsidR="00887C41" w:rsidRDefault="00EE142C" w:rsidP="00887C41">
          <w:pPr>
            <w:pStyle w:val="TOC1"/>
            <w:rPr>
              <w:rFonts w:eastAsiaTheme="minorEastAsia"/>
              <w:noProof/>
            </w:rPr>
          </w:pPr>
          <w:hyperlink w:anchor="_Toc440630078" w:history="1">
            <w:r w:rsidR="00887C41" w:rsidRPr="00FD4A98">
              <w:rPr>
                <w:rStyle w:val="Hyperlink"/>
                <w:noProof/>
              </w:rPr>
              <w:t>9.  Milestones and Future</w:t>
            </w:r>
            <w:r w:rsidR="00887C41">
              <w:rPr>
                <w:noProof/>
                <w:webHidden/>
              </w:rPr>
              <w:tab/>
            </w:r>
            <w:r w:rsidR="00887C41">
              <w:rPr>
                <w:noProof/>
                <w:webHidden/>
              </w:rPr>
              <w:fldChar w:fldCharType="begin"/>
            </w:r>
            <w:r w:rsidR="00887C41">
              <w:rPr>
                <w:noProof/>
                <w:webHidden/>
              </w:rPr>
              <w:instrText xml:space="preserve"> PAGEREF _Toc440630078 \h </w:instrText>
            </w:r>
            <w:r w:rsidR="00887C41">
              <w:rPr>
                <w:noProof/>
                <w:webHidden/>
              </w:rPr>
            </w:r>
            <w:r w:rsidR="00887C41">
              <w:rPr>
                <w:noProof/>
                <w:webHidden/>
              </w:rPr>
              <w:fldChar w:fldCharType="separate"/>
            </w:r>
            <w:r w:rsidR="000E45C8">
              <w:rPr>
                <w:noProof/>
                <w:webHidden/>
              </w:rPr>
              <w:t>55</w:t>
            </w:r>
            <w:r w:rsidR="00887C41">
              <w:rPr>
                <w:noProof/>
                <w:webHidden/>
              </w:rPr>
              <w:fldChar w:fldCharType="end"/>
            </w:r>
          </w:hyperlink>
        </w:p>
        <w:p w:rsidR="00887C41" w:rsidRDefault="00EE142C" w:rsidP="00887C41">
          <w:pPr>
            <w:pStyle w:val="TOC1"/>
            <w:rPr>
              <w:rFonts w:eastAsiaTheme="minorEastAsia"/>
              <w:noProof/>
            </w:rPr>
          </w:pPr>
          <w:hyperlink w:anchor="_Toc440630079" w:history="1">
            <w:r w:rsidR="00887C41" w:rsidRPr="00FD4A98">
              <w:rPr>
                <w:rStyle w:val="Hyperlink"/>
                <w:noProof/>
              </w:rPr>
              <w:t>Appendix A: Planning Personnel</w:t>
            </w:r>
            <w:r w:rsidR="00887C41">
              <w:rPr>
                <w:noProof/>
                <w:webHidden/>
              </w:rPr>
              <w:tab/>
            </w:r>
            <w:r w:rsidR="00887C41">
              <w:rPr>
                <w:noProof/>
                <w:webHidden/>
              </w:rPr>
              <w:fldChar w:fldCharType="begin"/>
            </w:r>
            <w:r w:rsidR="00887C41">
              <w:rPr>
                <w:noProof/>
                <w:webHidden/>
              </w:rPr>
              <w:instrText xml:space="preserve"> PAGEREF _Toc440630079 \h </w:instrText>
            </w:r>
            <w:r w:rsidR="00887C41">
              <w:rPr>
                <w:noProof/>
                <w:webHidden/>
              </w:rPr>
            </w:r>
            <w:r w:rsidR="00887C41">
              <w:rPr>
                <w:noProof/>
                <w:webHidden/>
              </w:rPr>
              <w:fldChar w:fldCharType="separate"/>
            </w:r>
            <w:r w:rsidR="000E45C8">
              <w:rPr>
                <w:noProof/>
                <w:webHidden/>
              </w:rPr>
              <w:t>57</w:t>
            </w:r>
            <w:r w:rsidR="00887C41">
              <w:rPr>
                <w:noProof/>
                <w:webHidden/>
              </w:rPr>
              <w:fldChar w:fldCharType="end"/>
            </w:r>
          </w:hyperlink>
        </w:p>
        <w:p w:rsidR="00A74477" w:rsidRPr="00A776D1" w:rsidRDefault="00C17587" w:rsidP="00DA0AC2">
          <w:pPr>
            <w:spacing w:line="240" w:lineRule="auto"/>
            <w:sectPr w:rsidR="00A74477" w:rsidRPr="00A776D1" w:rsidSect="003A262F">
              <w:headerReference w:type="even" r:id="rId21"/>
              <w:headerReference w:type="first" r:id="rId22"/>
              <w:endnotePr>
                <w:numFmt w:val="decimal"/>
              </w:endnotePr>
              <w:pgSz w:w="12240" w:h="15840"/>
              <w:pgMar w:top="1440" w:right="1440" w:bottom="1440" w:left="1800" w:header="720" w:footer="288" w:gutter="0"/>
              <w:pgNumType w:fmt="lowerRoman"/>
              <w:cols w:space="720"/>
              <w:docGrid w:linePitch="360"/>
            </w:sectPr>
          </w:pPr>
          <w:r w:rsidRPr="001C0B7D">
            <w:rPr>
              <w:bCs/>
              <w:noProof/>
              <w:sz w:val="24"/>
              <w:szCs w:val="24"/>
            </w:rPr>
            <w:fldChar w:fldCharType="end"/>
          </w:r>
        </w:p>
      </w:sdtContent>
    </w:sdt>
    <w:p w:rsidR="00F811D6" w:rsidRPr="00130F35" w:rsidRDefault="00F811D6" w:rsidP="00E9259D">
      <w:pPr>
        <w:pStyle w:val="Heading1"/>
        <w:spacing w:before="240" w:line="240" w:lineRule="auto"/>
        <w:rPr>
          <w:color w:val="595959" w:themeColor="text1" w:themeTint="A6"/>
        </w:rPr>
      </w:pPr>
      <w:bookmarkStart w:id="3" w:name="_Toc357584415"/>
      <w:bookmarkStart w:id="4" w:name="_Toc440630049"/>
      <w:r w:rsidRPr="00130F35">
        <w:rPr>
          <w:color w:val="595959" w:themeColor="text1" w:themeTint="A6"/>
        </w:rPr>
        <w:lastRenderedPageBreak/>
        <w:t>Key to Acronyms and Abbreviations</w:t>
      </w:r>
      <w:bookmarkEnd w:id="3"/>
      <w:bookmarkEnd w:id="4"/>
    </w:p>
    <w:p w:rsidR="004B533C" w:rsidRDefault="004B533C" w:rsidP="00E9259D">
      <w:pPr>
        <w:rPr>
          <w:iCs/>
        </w:rPr>
      </w:pPr>
      <w:r>
        <w:rPr>
          <w:iCs/>
        </w:rPr>
        <w:t>ACUPCC = American College and University Presidents’ Climate Commitment</w:t>
      </w:r>
    </w:p>
    <w:p w:rsidR="004B533C" w:rsidRDefault="004B533C" w:rsidP="00E9259D">
      <w:pPr>
        <w:rPr>
          <w:iCs/>
        </w:rPr>
      </w:pPr>
      <w:r>
        <w:rPr>
          <w:iCs/>
        </w:rPr>
        <w:t xml:space="preserve">BAU = Business </w:t>
      </w:r>
      <w:proofErr w:type="gramStart"/>
      <w:r>
        <w:rPr>
          <w:iCs/>
        </w:rPr>
        <w:t>As</w:t>
      </w:r>
      <w:proofErr w:type="gramEnd"/>
      <w:r>
        <w:rPr>
          <w:iCs/>
        </w:rPr>
        <w:t xml:space="preserve"> Usual</w:t>
      </w:r>
    </w:p>
    <w:p w:rsidR="0031243B" w:rsidRDefault="0031243B" w:rsidP="00E9259D">
      <w:pPr>
        <w:rPr>
          <w:iCs/>
        </w:rPr>
      </w:pPr>
      <w:r>
        <w:rPr>
          <w:iCs/>
        </w:rPr>
        <w:t>Btu = British thermal unit</w:t>
      </w:r>
    </w:p>
    <w:p w:rsidR="004B533C" w:rsidRDefault="004B533C" w:rsidP="00E9259D">
      <w:pPr>
        <w:rPr>
          <w:iCs/>
        </w:rPr>
      </w:pPr>
      <w:r>
        <w:rPr>
          <w:iCs/>
        </w:rPr>
        <w:t>CAP = Climate Action Plan</w:t>
      </w:r>
    </w:p>
    <w:p w:rsidR="004B533C" w:rsidRDefault="004B533C" w:rsidP="00E9259D">
      <w:pPr>
        <w:rPr>
          <w:iCs/>
        </w:rPr>
      </w:pPr>
      <w:r>
        <w:rPr>
          <w:iCs/>
        </w:rPr>
        <w:t>CF = compact fluorescent</w:t>
      </w:r>
    </w:p>
    <w:p w:rsidR="0031243B" w:rsidRDefault="0031243B" w:rsidP="00E9259D">
      <w:pPr>
        <w:rPr>
          <w:iCs/>
        </w:rPr>
      </w:pPr>
      <w:r>
        <w:rPr>
          <w:iCs/>
        </w:rPr>
        <w:t>CFM = cubic feet per minute</w:t>
      </w:r>
    </w:p>
    <w:p w:rsidR="004B533C" w:rsidRPr="004B533C" w:rsidRDefault="004B533C" w:rsidP="00E9259D">
      <w:pPr>
        <w:rPr>
          <w:iCs/>
        </w:rPr>
      </w:pPr>
      <w:r>
        <w:rPr>
          <w:iCs/>
        </w:rPr>
        <w:t>CH</w:t>
      </w:r>
      <w:r>
        <w:rPr>
          <w:iCs/>
          <w:vertAlign w:val="subscript"/>
        </w:rPr>
        <w:t>4</w:t>
      </w:r>
      <w:r>
        <w:rPr>
          <w:iCs/>
        </w:rPr>
        <w:t xml:space="preserve"> = methane</w:t>
      </w:r>
    </w:p>
    <w:p w:rsidR="004B533C" w:rsidRPr="00F811D6" w:rsidRDefault="004B533C" w:rsidP="00E9259D">
      <w:pPr>
        <w:rPr>
          <w:iCs/>
        </w:rPr>
      </w:pPr>
      <w:r>
        <w:rPr>
          <w:iCs/>
        </w:rPr>
        <w:t>CO</w:t>
      </w:r>
      <w:r>
        <w:rPr>
          <w:iCs/>
          <w:vertAlign w:val="subscript"/>
        </w:rPr>
        <w:t>2</w:t>
      </w:r>
      <w:r>
        <w:rPr>
          <w:iCs/>
        </w:rPr>
        <w:t xml:space="preserve"> = carbon dioxide</w:t>
      </w:r>
    </w:p>
    <w:p w:rsidR="004B533C" w:rsidRDefault="004B533C" w:rsidP="00E9259D">
      <w:pPr>
        <w:rPr>
          <w:iCs/>
        </w:rPr>
      </w:pPr>
      <w:r>
        <w:rPr>
          <w:iCs/>
        </w:rPr>
        <w:t>eCO</w:t>
      </w:r>
      <w:r>
        <w:rPr>
          <w:iCs/>
          <w:vertAlign w:val="subscript"/>
        </w:rPr>
        <w:t>2</w:t>
      </w:r>
      <w:r>
        <w:rPr>
          <w:iCs/>
        </w:rPr>
        <w:t xml:space="preserve"> = equivalent CO</w:t>
      </w:r>
      <w:r>
        <w:rPr>
          <w:iCs/>
          <w:vertAlign w:val="subscript"/>
        </w:rPr>
        <w:t>2</w:t>
      </w:r>
      <w:r>
        <w:rPr>
          <w:iCs/>
        </w:rPr>
        <w:t xml:space="preserve"> emissions (Greenhouse gases have different global warming potentials. Rather than specify the quantity of each different greenhouse gas emitted, it is common practice to specify the total in terms of the equivalent quantity of CO</w:t>
      </w:r>
      <w:r>
        <w:rPr>
          <w:iCs/>
          <w:vertAlign w:val="subscript"/>
        </w:rPr>
        <w:t>2</w:t>
      </w:r>
      <w:r>
        <w:rPr>
          <w:iCs/>
        </w:rPr>
        <w:t xml:space="preserve"> which would </w:t>
      </w:r>
      <w:r w:rsidR="0031243B">
        <w:rPr>
          <w:iCs/>
        </w:rPr>
        <w:t>cause</w:t>
      </w:r>
      <w:r>
        <w:rPr>
          <w:iCs/>
        </w:rPr>
        <w:t xml:space="preserve"> the same warming.)</w:t>
      </w:r>
    </w:p>
    <w:p w:rsidR="004B533C" w:rsidRDefault="004B533C" w:rsidP="00E9259D">
      <w:pPr>
        <w:rPr>
          <w:iCs/>
        </w:rPr>
      </w:pPr>
      <w:r>
        <w:rPr>
          <w:iCs/>
        </w:rPr>
        <w:t>EMS = Energy Management System</w:t>
      </w:r>
    </w:p>
    <w:p w:rsidR="00F811D6" w:rsidRDefault="00F811D6" w:rsidP="00E9259D">
      <w:pPr>
        <w:rPr>
          <w:iCs/>
        </w:rPr>
      </w:pPr>
      <w:r>
        <w:rPr>
          <w:iCs/>
        </w:rPr>
        <w:t>EPA = Environmental Protection Agency</w:t>
      </w:r>
    </w:p>
    <w:p w:rsidR="004B533C" w:rsidRDefault="004B533C" w:rsidP="00E9259D">
      <w:pPr>
        <w:rPr>
          <w:iCs/>
        </w:rPr>
      </w:pPr>
      <w:r>
        <w:rPr>
          <w:iCs/>
        </w:rPr>
        <w:t>EV = Electric Vehicle</w:t>
      </w:r>
    </w:p>
    <w:p w:rsidR="004B533C" w:rsidRDefault="004B533C" w:rsidP="00E9259D">
      <w:pPr>
        <w:rPr>
          <w:iCs/>
        </w:rPr>
      </w:pPr>
      <w:r>
        <w:rPr>
          <w:iCs/>
        </w:rPr>
        <w:t>FTES = Full-Time Equivalent Students</w:t>
      </w:r>
    </w:p>
    <w:p w:rsidR="004B533C" w:rsidRDefault="004B533C" w:rsidP="00E9259D">
      <w:pPr>
        <w:rPr>
          <w:iCs/>
        </w:rPr>
      </w:pPr>
      <w:r>
        <w:rPr>
          <w:iCs/>
        </w:rPr>
        <w:t>GHG = greenhouse gas</w:t>
      </w:r>
    </w:p>
    <w:p w:rsidR="004B533C" w:rsidRDefault="004B533C" w:rsidP="00E9259D">
      <w:pPr>
        <w:rPr>
          <w:iCs/>
        </w:rPr>
      </w:pPr>
      <w:r>
        <w:rPr>
          <w:iCs/>
        </w:rPr>
        <w:t>GSF = gross square feet</w:t>
      </w:r>
    </w:p>
    <w:p w:rsidR="004B533C" w:rsidRDefault="004B533C" w:rsidP="00E9259D">
      <w:pPr>
        <w:rPr>
          <w:iCs/>
        </w:rPr>
      </w:pPr>
      <w:r>
        <w:rPr>
          <w:iCs/>
        </w:rPr>
        <w:t>HHW = heated hot water loop</w:t>
      </w:r>
    </w:p>
    <w:p w:rsidR="004B533C" w:rsidRDefault="004B533C" w:rsidP="00E9259D">
      <w:pPr>
        <w:rPr>
          <w:iCs/>
        </w:rPr>
      </w:pPr>
      <w:r>
        <w:rPr>
          <w:iCs/>
        </w:rPr>
        <w:t>HVAC = heating, ventilations and air conditioning</w:t>
      </w:r>
    </w:p>
    <w:p w:rsidR="0031243B" w:rsidRDefault="0031243B" w:rsidP="00E9259D">
      <w:pPr>
        <w:rPr>
          <w:iCs/>
        </w:rPr>
      </w:pPr>
      <w:r>
        <w:rPr>
          <w:iCs/>
        </w:rPr>
        <w:t>IES = Illuminating Engineering Society</w:t>
      </w:r>
    </w:p>
    <w:p w:rsidR="004B533C" w:rsidRDefault="004B533C" w:rsidP="00E9259D">
      <w:pPr>
        <w:rPr>
          <w:iCs/>
        </w:rPr>
      </w:pPr>
      <w:proofErr w:type="gramStart"/>
      <w:r>
        <w:rPr>
          <w:iCs/>
        </w:rPr>
        <w:t>kW</w:t>
      </w:r>
      <w:proofErr w:type="gramEnd"/>
      <w:r>
        <w:rPr>
          <w:iCs/>
        </w:rPr>
        <w:t xml:space="preserve"> = kilowatt = 1,000 watts (of power)</w:t>
      </w:r>
    </w:p>
    <w:p w:rsidR="004B533C" w:rsidRDefault="004B533C" w:rsidP="00E9259D">
      <w:pPr>
        <w:rPr>
          <w:iCs/>
        </w:rPr>
      </w:pPr>
      <w:proofErr w:type="gramStart"/>
      <w:r>
        <w:rPr>
          <w:iCs/>
        </w:rPr>
        <w:t>kWh</w:t>
      </w:r>
      <w:proofErr w:type="gramEnd"/>
      <w:r>
        <w:rPr>
          <w:iCs/>
        </w:rPr>
        <w:t xml:space="preserve"> = kilowatt-hour</w:t>
      </w:r>
    </w:p>
    <w:p w:rsidR="004B533C" w:rsidRDefault="004B533C" w:rsidP="00E9259D">
      <w:pPr>
        <w:rPr>
          <w:iCs/>
        </w:rPr>
      </w:pPr>
      <w:r>
        <w:rPr>
          <w:iCs/>
        </w:rPr>
        <w:t>LADWP = Los Angeles Department of Water and Power</w:t>
      </w:r>
    </w:p>
    <w:p w:rsidR="004B533C" w:rsidRDefault="004B533C" w:rsidP="00E9259D">
      <w:pPr>
        <w:rPr>
          <w:iCs/>
        </w:rPr>
      </w:pPr>
      <w:r>
        <w:rPr>
          <w:iCs/>
        </w:rPr>
        <w:t>LED = light-emitting diode</w:t>
      </w:r>
    </w:p>
    <w:p w:rsidR="0031243B" w:rsidRDefault="0031243B" w:rsidP="00E9259D">
      <w:pPr>
        <w:rPr>
          <w:iCs/>
        </w:rPr>
      </w:pPr>
      <w:proofErr w:type="spellStart"/>
      <w:r>
        <w:rPr>
          <w:iCs/>
        </w:rPr>
        <w:t>MBtu</w:t>
      </w:r>
      <w:proofErr w:type="spellEnd"/>
      <w:r>
        <w:rPr>
          <w:iCs/>
        </w:rPr>
        <w:t xml:space="preserve"> or MMBtu = </w:t>
      </w:r>
      <w:r w:rsidR="00131873">
        <w:rPr>
          <w:iCs/>
        </w:rPr>
        <w:t xml:space="preserve">a million </w:t>
      </w:r>
      <w:proofErr w:type="spellStart"/>
      <w:r w:rsidR="00131873">
        <w:rPr>
          <w:iCs/>
        </w:rPr>
        <w:t>Btus</w:t>
      </w:r>
      <w:proofErr w:type="spellEnd"/>
      <w:r w:rsidR="00131873">
        <w:rPr>
          <w:iCs/>
        </w:rPr>
        <w:t xml:space="preserve"> = </w:t>
      </w:r>
      <w:r>
        <w:rPr>
          <w:iCs/>
        </w:rPr>
        <w:t>1,000,000 Btu (of energy)</w:t>
      </w:r>
    </w:p>
    <w:p w:rsidR="004B533C" w:rsidRDefault="004B533C" w:rsidP="00E9259D">
      <w:pPr>
        <w:rPr>
          <w:iCs/>
        </w:rPr>
      </w:pPr>
      <w:r>
        <w:rPr>
          <w:iCs/>
        </w:rPr>
        <w:t>MW = megawatt = 1,000,000 watts (of power)</w:t>
      </w:r>
    </w:p>
    <w:p w:rsidR="004B533C" w:rsidRDefault="004B533C" w:rsidP="00E9259D">
      <w:pPr>
        <w:rPr>
          <w:iCs/>
        </w:rPr>
      </w:pPr>
      <w:r>
        <w:rPr>
          <w:iCs/>
        </w:rPr>
        <w:t>MWh = megawatt-hour</w:t>
      </w:r>
    </w:p>
    <w:p w:rsidR="004B533C" w:rsidRDefault="004B533C" w:rsidP="00E9259D">
      <w:pPr>
        <w:rPr>
          <w:iCs/>
        </w:rPr>
      </w:pPr>
      <w:r>
        <w:rPr>
          <w:iCs/>
        </w:rPr>
        <w:t>N</w:t>
      </w:r>
      <w:r>
        <w:rPr>
          <w:iCs/>
          <w:vertAlign w:val="subscript"/>
        </w:rPr>
        <w:t>2</w:t>
      </w:r>
      <w:r>
        <w:rPr>
          <w:iCs/>
        </w:rPr>
        <w:t>O = nitrous oxide</w:t>
      </w:r>
    </w:p>
    <w:p w:rsidR="004B533C" w:rsidRPr="004B533C" w:rsidRDefault="00467C93" w:rsidP="00E9259D">
      <w:pPr>
        <w:rPr>
          <w:iCs/>
        </w:rPr>
      </w:pPr>
      <w:r>
        <w:rPr>
          <w:iCs/>
        </w:rPr>
        <w:t>PPA = Power Purchase A</w:t>
      </w:r>
      <w:r w:rsidR="004B533C">
        <w:rPr>
          <w:iCs/>
        </w:rPr>
        <w:t>greement</w:t>
      </w:r>
    </w:p>
    <w:p w:rsidR="00F811D6" w:rsidRDefault="00F811D6" w:rsidP="00E9259D">
      <w:pPr>
        <w:rPr>
          <w:iCs/>
        </w:rPr>
      </w:pPr>
      <w:r w:rsidRPr="009A198E">
        <w:rPr>
          <w:iCs/>
        </w:rPr>
        <w:t>PPM = Physical Plant Management</w:t>
      </w:r>
    </w:p>
    <w:p w:rsidR="004B533C" w:rsidRDefault="004B533C" w:rsidP="00E9259D">
      <w:pPr>
        <w:rPr>
          <w:iCs/>
        </w:rPr>
      </w:pPr>
      <w:r>
        <w:rPr>
          <w:iCs/>
        </w:rPr>
        <w:t>PV = photovoltaic(s)</w:t>
      </w:r>
    </w:p>
    <w:p w:rsidR="0031243B" w:rsidRDefault="0031243B" w:rsidP="00E9259D">
      <w:pPr>
        <w:rPr>
          <w:iCs/>
        </w:rPr>
      </w:pPr>
      <w:r>
        <w:rPr>
          <w:iCs/>
        </w:rPr>
        <w:t>Scope 1 emissions = direct emissions of greenhouse gases (e.g. from combustion of fossil fuels)</w:t>
      </w:r>
    </w:p>
    <w:p w:rsidR="0031243B" w:rsidRDefault="0031243B" w:rsidP="00E9259D">
      <w:pPr>
        <w:rPr>
          <w:iCs/>
        </w:rPr>
      </w:pPr>
      <w:r>
        <w:rPr>
          <w:iCs/>
        </w:rPr>
        <w:t xml:space="preserve">Scope 2 emissions = indirect emissions </w:t>
      </w:r>
      <w:r w:rsidR="00467C93">
        <w:rPr>
          <w:iCs/>
        </w:rPr>
        <w:t xml:space="preserve">of greenhouse gases </w:t>
      </w:r>
      <w:r>
        <w:rPr>
          <w:iCs/>
        </w:rPr>
        <w:t>released in generating electricity</w:t>
      </w:r>
    </w:p>
    <w:p w:rsidR="0031243B" w:rsidRDefault="0031243B" w:rsidP="00E9259D">
      <w:pPr>
        <w:rPr>
          <w:iCs/>
        </w:rPr>
      </w:pPr>
      <w:r>
        <w:rPr>
          <w:iCs/>
        </w:rPr>
        <w:t>Scope 3 emissions = emissions related to</w:t>
      </w:r>
      <w:r w:rsidR="00467C93">
        <w:rPr>
          <w:iCs/>
        </w:rPr>
        <w:t>,</w:t>
      </w:r>
      <w:r>
        <w:rPr>
          <w:iCs/>
        </w:rPr>
        <w:t xml:space="preserve"> </w:t>
      </w:r>
      <w:r w:rsidR="00467C93">
        <w:rPr>
          <w:iCs/>
        </w:rPr>
        <w:t xml:space="preserve">but not under control of, the </w:t>
      </w:r>
      <w:r>
        <w:rPr>
          <w:iCs/>
        </w:rPr>
        <w:t>campus (e.g. commuting</w:t>
      </w:r>
      <w:r w:rsidR="00467C93">
        <w:rPr>
          <w:iCs/>
        </w:rPr>
        <w:t>)</w:t>
      </w:r>
    </w:p>
    <w:p w:rsidR="004B533C" w:rsidRPr="009A198E" w:rsidRDefault="004B533C" w:rsidP="00E9259D">
      <w:pPr>
        <w:rPr>
          <w:iCs/>
        </w:rPr>
      </w:pPr>
      <w:r>
        <w:rPr>
          <w:iCs/>
        </w:rPr>
        <w:t>SEP = Strategic Energy Plan</w:t>
      </w:r>
    </w:p>
    <w:p w:rsidR="00855AE7" w:rsidRDefault="00F811D6" w:rsidP="00E9259D">
      <w:pPr>
        <w:rPr>
          <w:iCs/>
        </w:rPr>
      </w:pPr>
      <w:proofErr w:type="spellStart"/>
      <w:proofErr w:type="gramStart"/>
      <w:r>
        <w:rPr>
          <w:iCs/>
        </w:rPr>
        <w:t>tonne</w:t>
      </w:r>
      <w:proofErr w:type="spellEnd"/>
      <w:proofErr w:type="gramEnd"/>
      <w:r>
        <w:rPr>
          <w:iCs/>
        </w:rPr>
        <w:t xml:space="preserve"> </w:t>
      </w:r>
      <w:r w:rsidR="004B533C">
        <w:rPr>
          <w:iCs/>
        </w:rPr>
        <w:t xml:space="preserve">or MT </w:t>
      </w:r>
      <w:r>
        <w:rPr>
          <w:iCs/>
        </w:rPr>
        <w:t xml:space="preserve">= metric ton = 1,000 kilograms = 2204.6 </w:t>
      </w:r>
      <w:proofErr w:type="spellStart"/>
      <w:r>
        <w:rPr>
          <w:iCs/>
        </w:rPr>
        <w:t>lbs</w:t>
      </w:r>
      <w:proofErr w:type="spellEnd"/>
    </w:p>
    <w:p w:rsidR="006728D3" w:rsidRDefault="0031243B" w:rsidP="00E9259D">
      <w:pPr>
        <w:rPr>
          <w:iCs/>
        </w:rPr>
        <w:sectPr w:rsidR="006728D3" w:rsidSect="006728D3">
          <w:headerReference w:type="even" r:id="rId23"/>
          <w:headerReference w:type="default" r:id="rId24"/>
          <w:footerReference w:type="even" r:id="rId25"/>
          <w:headerReference w:type="first" r:id="rId26"/>
          <w:endnotePr>
            <w:numFmt w:val="decimal"/>
          </w:endnotePr>
          <w:pgSz w:w="12240" w:h="15840"/>
          <w:pgMar w:top="1440" w:right="1440" w:bottom="1440" w:left="1800" w:header="720" w:footer="720" w:gutter="0"/>
          <w:pgNumType w:fmt="lowerRoman"/>
          <w:cols w:space="720"/>
          <w:docGrid w:linePitch="360"/>
        </w:sectPr>
      </w:pPr>
      <w:r>
        <w:rPr>
          <w:iCs/>
        </w:rPr>
        <w:t>ZEV = zero emission vehicle</w:t>
      </w:r>
    </w:p>
    <w:p w:rsidR="00D15A22" w:rsidRPr="00AF0F1E" w:rsidRDefault="00441DD4" w:rsidP="00E9259D">
      <w:pPr>
        <w:pStyle w:val="Heading1"/>
        <w:spacing w:before="240" w:line="240" w:lineRule="auto"/>
        <w:rPr>
          <w:color w:val="595959" w:themeColor="text1" w:themeTint="A6"/>
        </w:rPr>
      </w:pPr>
      <w:bookmarkStart w:id="5" w:name="_Toc440630050"/>
      <w:r>
        <w:rPr>
          <w:color w:val="595959" w:themeColor="text1" w:themeTint="A6"/>
        </w:rPr>
        <w:lastRenderedPageBreak/>
        <w:t xml:space="preserve">1. </w:t>
      </w:r>
      <w:r w:rsidR="00F2256B" w:rsidRPr="00AF0F1E">
        <w:rPr>
          <w:color w:val="595959" w:themeColor="text1" w:themeTint="A6"/>
        </w:rPr>
        <w:t>Introduction</w:t>
      </w:r>
      <w:bookmarkEnd w:id="5"/>
    </w:p>
    <w:p w:rsidR="000008E7" w:rsidRPr="00456997" w:rsidRDefault="000008E7" w:rsidP="00E9259D">
      <w:pPr>
        <w:pStyle w:val="Heading2"/>
      </w:pPr>
      <w:bookmarkStart w:id="6" w:name="_Toc440630051"/>
      <w:r w:rsidRPr="00456997">
        <w:t>1.1 Context</w:t>
      </w:r>
      <w:bookmarkEnd w:id="6"/>
    </w:p>
    <w:p w:rsidR="00912972" w:rsidRDefault="00912972" w:rsidP="00E9259D">
      <w:pPr>
        <w:rPr>
          <w:bCs/>
        </w:rPr>
      </w:pPr>
      <w:r>
        <w:t>California State University, Northridge was an early pioneer in alternative energy technology and innovation, inspired by dedicated leadership in Facilities Planning and Physical Plant Management and a strong partnership with faculty in the College of Engineering and Computer Science.  This partnership led to the installation of solar panels, a fuel cell plant and a rainforest in the 2000s, much of which included cutting-edge technology at the time.  Joint ventures between these departments have continued since then and inspired development of new partnerships between the operational and academic units on campus.  In 2008, initiated by a faculty-driven effort, the Provost and Deans of the colleges formed a new university-wide Institute for Sustainability at CSUN whose mission is to “</w:t>
      </w:r>
      <w:r w:rsidRPr="009B4316">
        <w:rPr>
          <w:bCs/>
        </w:rPr>
        <w:t>promote, facilitate, and develop educational, research, and university and community programs related to sustainability</w:t>
      </w:r>
      <w:r>
        <w:rPr>
          <w:bCs/>
        </w:rPr>
        <w:t>.”  Interest and activities in sustainability have grown rapidly since that time led by a Core Green Team of over two dozen active members who inspire, lead, and collaborate on projects to green the CSUN campus, its operations and curriculum.</w:t>
      </w:r>
    </w:p>
    <w:p w:rsidR="00912972" w:rsidRDefault="00912972" w:rsidP="00E9259D">
      <w:pPr>
        <w:rPr>
          <w:bCs/>
        </w:rPr>
      </w:pPr>
    </w:p>
    <w:p w:rsidR="00912972" w:rsidRDefault="00912972" w:rsidP="00E9259D">
      <w:r>
        <w:rPr>
          <w:bCs/>
        </w:rPr>
        <w:t xml:space="preserve">In 2012, newly appointed President </w:t>
      </w:r>
      <w:r>
        <w:t xml:space="preserve">Dianne Harrison established sustainability as one of her seven priorities and requested the development of a campus </w:t>
      </w:r>
      <w:r w:rsidR="00E47DE4">
        <w:t>S</w:t>
      </w:r>
      <w:r>
        <w:t xml:space="preserve">ustainability </w:t>
      </w:r>
      <w:r w:rsidR="00E47DE4">
        <w:t>P</w:t>
      </w:r>
      <w:r>
        <w:t>lan</w:t>
      </w:r>
      <w:r>
        <w:rPr>
          <w:rStyle w:val="FootnoteReference"/>
        </w:rPr>
        <w:footnoteReference w:id="1"/>
      </w:r>
      <w:r>
        <w:t xml:space="preserve">, which </w:t>
      </w:r>
      <w:r w:rsidR="00E47DE4">
        <w:t>was</w:t>
      </w:r>
      <w:r>
        <w:t xml:space="preserve"> adopted in 2013.  In 2013 </w:t>
      </w:r>
      <w:r w:rsidR="00E47DE4">
        <w:t>the President</w:t>
      </w:r>
      <w:r>
        <w:t xml:space="preserve"> signed the American College and University Presidents’ Climate Commitment (ACUPCC) and in 2014 CSUN hired its first sustainabi</w:t>
      </w:r>
      <w:r w:rsidR="00E47DE4">
        <w:t>lity program manager to coordinate and manage campus projects.  Ten Sustainability Plan working groups implement projects and execute actions in alignment with the goals and objectives of that plan.</w:t>
      </w:r>
    </w:p>
    <w:p w:rsidR="00E47DE4" w:rsidRDefault="00E47DE4" w:rsidP="00E9259D"/>
    <w:p w:rsidR="00E47DE4" w:rsidRDefault="00E47DE4" w:rsidP="00E9259D">
      <w:r>
        <w:t>In 2014 the university completed and reported its Greenhouse Gas Emissions Inventory, covering the period from 1990-2013 in preparation for the development of its Climate Action Plan.</w:t>
      </w:r>
      <w:r w:rsidRPr="00E47DE4">
        <w:t xml:space="preserve"> </w:t>
      </w:r>
      <w:r>
        <w:t xml:space="preserve">In a phased-in approach (ten per year, est.) the campus has begun installing meters at a building-level throughout campus, which will allow for a better understanding of energy consumption and help inform our strategic energy and climate action plans.  Another important benchmarking activity was the completion in 2015 of a commuting survey of faculty, staff and students.  With more than half </w:t>
      </w:r>
      <w:r w:rsidR="0044434A">
        <w:t xml:space="preserve">of </w:t>
      </w:r>
      <w:r>
        <w:t>the university’s carbon emissions resulting from commuting, we are working to support alternative transportation options on multiple fronts.  A strategic energy plan for the university was also completed in 2015 to inform the development of this Plan.</w:t>
      </w:r>
    </w:p>
    <w:p w:rsidR="00831563" w:rsidRDefault="00831563" w:rsidP="00E9259D"/>
    <w:p w:rsidR="003663C2" w:rsidRDefault="00831563" w:rsidP="00E9259D">
      <w:r>
        <w:t xml:space="preserve">The Plan laid out here will </w:t>
      </w:r>
      <w:r w:rsidR="0044434A">
        <w:t>include</w:t>
      </w:r>
      <w:r>
        <w:t xml:space="preserve"> strategies and trajectories for our future carbon emissions based on recommended actions. Regardless of these mitigation strategies and those of others, planetary global temperatures will continue to rise.</w:t>
      </w:r>
      <w:r w:rsidR="003663C2">
        <w:t xml:space="preserve">  Thus we also lay out plans for improving resilience to climate change for the campus and broader community through resiliency planning.  We will conduct a campus-community resilience assessment including initial indicators and current </w:t>
      </w:r>
      <w:r w:rsidR="003663C2">
        <w:lastRenderedPageBreak/>
        <w:t xml:space="preserve">vulnerability, engage the community in the development of a joint climate action and resiliency plan, </w:t>
      </w:r>
      <w:r w:rsidR="003663C2">
        <w:rPr>
          <w:rFonts w:eastAsia="Times New Roman"/>
        </w:rPr>
        <w:t xml:space="preserve">and </w:t>
      </w:r>
      <w:r w:rsidR="00C77A02">
        <w:rPr>
          <w:rFonts w:eastAsia="Times New Roman"/>
        </w:rPr>
        <w:t>work with</w:t>
      </w:r>
      <w:r w:rsidR="003663C2">
        <w:rPr>
          <w:rFonts w:eastAsia="Times New Roman"/>
        </w:rPr>
        <w:t xml:space="preserve"> the community </w:t>
      </w:r>
      <w:r w:rsidR="00C77A02">
        <w:rPr>
          <w:rFonts w:eastAsia="Times New Roman"/>
        </w:rPr>
        <w:t>o</w:t>
      </w:r>
      <w:r w:rsidR="003663C2">
        <w:rPr>
          <w:rFonts w:eastAsia="Times New Roman"/>
        </w:rPr>
        <w:t xml:space="preserve">n </w:t>
      </w:r>
      <w:r w:rsidR="00C77A02">
        <w:rPr>
          <w:rFonts w:eastAsia="Times New Roman"/>
        </w:rPr>
        <w:t>projects in support of this effort.</w:t>
      </w:r>
    </w:p>
    <w:p w:rsidR="00441DD4" w:rsidRPr="00456997" w:rsidRDefault="000008E7" w:rsidP="00E9259D">
      <w:pPr>
        <w:pStyle w:val="Heading2"/>
      </w:pPr>
      <w:bookmarkStart w:id="7" w:name="_Toc440630052"/>
      <w:r w:rsidRPr="00456997">
        <w:t>1.2 I</w:t>
      </w:r>
      <w:r w:rsidR="00192A14">
        <w:t>mpacts of climate change. Why carbon</w:t>
      </w:r>
      <w:r w:rsidRPr="00456997">
        <w:t xml:space="preserve"> neutrality?</w:t>
      </w:r>
      <w:bookmarkEnd w:id="7"/>
    </w:p>
    <w:p w:rsidR="00C77A02" w:rsidRDefault="00BE7A1E" w:rsidP="00E9259D">
      <w:pPr>
        <w:rPr>
          <w:lang w:val="en-GB"/>
        </w:rPr>
      </w:pPr>
      <w:r>
        <w:t xml:space="preserve">Warming of the global climate is now unequivocal and has manifested itself in a number of ways from increasing </w:t>
      </w:r>
      <w:r w:rsidR="00B60328">
        <w:t>land surface temperatures and</w:t>
      </w:r>
      <w:r>
        <w:t xml:space="preserve"> </w:t>
      </w:r>
      <w:r w:rsidRPr="00BE7A1E">
        <w:rPr>
          <w:lang w:val="en-GB"/>
        </w:rPr>
        <w:t>warm</w:t>
      </w:r>
      <w:r>
        <w:rPr>
          <w:lang w:val="en-GB"/>
        </w:rPr>
        <w:t xml:space="preserve">ing oceans, to a reduction in </w:t>
      </w:r>
      <w:r w:rsidRPr="00BE7A1E">
        <w:rPr>
          <w:lang w:val="en-GB"/>
        </w:rPr>
        <w:t>snow and ice</w:t>
      </w:r>
      <w:r>
        <w:rPr>
          <w:lang w:val="en-GB"/>
        </w:rPr>
        <w:t xml:space="preserve">, melting glaciers and rising sea levels.  </w:t>
      </w:r>
      <w:r w:rsidRPr="00BE7A1E">
        <w:rPr>
          <w:lang w:val="en-GB"/>
        </w:rPr>
        <w:t>Each of the last three decades has been successively warmer than any preceding decade since 1850</w:t>
      </w:r>
      <w:r>
        <w:rPr>
          <w:lang w:val="en-GB"/>
        </w:rPr>
        <w:t xml:space="preserve">, </w:t>
      </w:r>
      <w:r w:rsidRPr="00BE7A1E">
        <w:rPr>
          <w:lang w:val="en-GB"/>
        </w:rPr>
        <w:t>the Greenland and Antarctic ice sheets have been losing mass</w:t>
      </w:r>
      <w:r>
        <w:rPr>
          <w:lang w:val="en-GB"/>
        </w:rPr>
        <w:t xml:space="preserve"> </w:t>
      </w:r>
      <w:r w:rsidR="008325A6">
        <w:rPr>
          <w:lang w:val="en-GB"/>
        </w:rPr>
        <w:t xml:space="preserve">at an unprecedented rate </w:t>
      </w:r>
      <w:r>
        <w:rPr>
          <w:lang w:val="en-GB"/>
        </w:rPr>
        <w:t>and the</w:t>
      </w:r>
      <w:r w:rsidRPr="00BE7A1E">
        <w:rPr>
          <w:lang w:val="en-GB"/>
        </w:rPr>
        <w:t xml:space="preserve"> rate of sea level rise since the mid-19th century has been larger than the mean rate during the previous two millennia</w:t>
      </w:r>
      <w:r>
        <w:rPr>
          <w:rStyle w:val="FootnoteReference"/>
          <w:lang w:val="en-GB"/>
        </w:rPr>
        <w:footnoteReference w:id="2"/>
      </w:r>
      <w:r>
        <w:rPr>
          <w:lang w:val="en-GB"/>
        </w:rPr>
        <w:t xml:space="preserve">. </w:t>
      </w:r>
      <w:r w:rsidRPr="00BE7A1E">
        <w:rPr>
          <w:lang w:val="en-GB"/>
        </w:rPr>
        <w:t xml:space="preserve">The </w:t>
      </w:r>
      <w:r w:rsidR="003C0BC6">
        <w:rPr>
          <w:lang w:val="en-GB"/>
        </w:rPr>
        <w:t xml:space="preserve">primary cause of climate change is the </w:t>
      </w:r>
      <w:r w:rsidR="00B60328">
        <w:rPr>
          <w:lang w:val="en-GB"/>
        </w:rPr>
        <w:t xml:space="preserve">increase in </w:t>
      </w:r>
      <w:r w:rsidRPr="00BE7A1E">
        <w:rPr>
          <w:lang w:val="en-GB"/>
        </w:rPr>
        <w:t xml:space="preserve">atmospheric concentrations of </w:t>
      </w:r>
      <w:r>
        <w:rPr>
          <w:lang w:val="en-GB"/>
        </w:rPr>
        <w:t xml:space="preserve">greenhouse gases (notably </w:t>
      </w:r>
      <w:r w:rsidRPr="00BE7A1E">
        <w:rPr>
          <w:lang w:val="en-GB"/>
        </w:rPr>
        <w:t>carbon dioxide, methane, and nitrous oxide</w:t>
      </w:r>
      <w:r>
        <w:rPr>
          <w:lang w:val="en-GB"/>
        </w:rPr>
        <w:t>)</w:t>
      </w:r>
      <w:r w:rsidRPr="00BE7A1E">
        <w:rPr>
          <w:lang w:val="en-GB"/>
        </w:rPr>
        <w:t xml:space="preserve"> to levels unprecedented in at least the last 800,000 years. </w:t>
      </w:r>
      <w:r w:rsidR="003C0BC6">
        <w:rPr>
          <w:lang w:val="en-GB"/>
        </w:rPr>
        <w:t xml:space="preserve"> </w:t>
      </w:r>
      <w:r w:rsidRPr="00BE7A1E">
        <w:rPr>
          <w:lang w:val="en-GB"/>
        </w:rPr>
        <w:t>Carbon dioxide concentrations have increased by 40% since pre-industrial times, prima</w:t>
      </w:r>
      <w:r w:rsidR="00B60328">
        <w:rPr>
          <w:lang w:val="en-GB"/>
        </w:rPr>
        <w:t>rily from fossil fuel emissions, our primary energy source.</w:t>
      </w:r>
      <w:r w:rsidRPr="00BE7A1E">
        <w:rPr>
          <w:lang w:val="en-GB"/>
        </w:rPr>
        <w:t xml:space="preserve"> The ocean has absorbed about 30% of the emitted anthropogenic carbon dioxide, causing ocean acidification</w:t>
      </w:r>
      <w:r w:rsidR="00B22D36">
        <w:rPr>
          <w:lang w:val="en-GB"/>
        </w:rPr>
        <w:t xml:space="preserve">, </w:t>
      </w:r>
      <w:r w:rsidR="00203A4A">
        <w:rPr>
          <w:lang w:val="en-GB"/>
        </w:rPr>
        <w:t xml:space="preserve">which </w:t>
      </w:r>
      <w:r w:rsidR="00203A4A">
        <w:t xml:space="preserve">harms shell-forming organisms and has </w:t>
      </w:r>
      <w:r w:rsidR="00B22D36">
        <w:rPr>
          <w:lang w:val="en-GB"/>
        </w:rPr>
        <w:t xml:space="preserve">potentially far-reaching effects on the entire </w:t>
      </w:r>
      <w:r w:rsidR="00203A4A">
        <w:t>marine food chain</w:t>
      </w:r>
      <w:r w:rsidR="00B22D36">
        <w:rPr>
          <w:lang w:val="en-GB"/>
        </w:rPr>
        <w:t>.</w:t>
      </w:r>
    </w:p>
    <w:p w:rsidR="00B22D36" w:rsidRDefault="00B22D36" w:rsidP="00E9259D">
      <w:pPr>
        <w:rPr>
          <w:lang w:val="en-GB"/>
        </w:rPr>
      </w:pPr>
    </w:p>
    <w:p w:rsidR="00B22D36" w:rsidRDefault="00B22D36" w:rsidP="00E9259D">
      <w:r>
        <w:rPr>
          <w:lang w:val="en-GB"/>
        </w:rPr>
        <w:t xml:space="preserve">Projections for future climate are predicated on future emissions, which themselves depend on population, economic </w:t>
      </w:r>
      <w:r w:rsidR="004801D5">
        <w:rPr>
          <w:lang w:val="en-GB"/>
        </w:rPr>
        <w:t xml:space="preserve">development, energy demand and sources. Using a range of </w:t>
      </w:r>
      <w:r w:rsidR="004801D5" w:rsidRPr="004801D5">
        <w:t xml:space="preserve">representative </w:t>
      </w:r>
      <w:r w:rsidR="004801D5">
        <w:t>c</w:t>
      </w:r>
      <w:r w:rsidR="004801D5" w:rsidRPr="004801D5">
        <w:t xml:space="preserve">oncentration </w:t>
      </w:r>
      <w:r w:rsidR="004801D5">
        <w:t>p</w:t>
      </w:r>
      <w:r w:rsidR="004801D5" w:rsidRPr="004801D5">
        <w:t>athways</w:t>
      </w:r>
      <w:r w:rsidR="004801D5">
        <w:t xml:space="preserve"> and sophisticated computer climate models, scientists are able to project future climate scenarios and the results are alarming. </w:t>
      </w:r>
    </w:p>
    <w:p w:rsidR="008325A6" w:rsidRDefault="008325A6" w:rsidP="00E9259D"/>
    <w:p w:rsidR="00283B25" w:rsidRDefault="008D185B" w:rsidP="00E9259D">
      <w:r>
        <w:t>By the end of the century we can expect a 1.5°C to 6°C increase in global average temperature (depending on emissions).  Temperature increases of 3°C or more are likely to have disastrous effects causing famine in much of the subtropics</w:t>
      </w:r>
      <w:r w:rsidR="00283B25">
        <w:t xml:space="preserve"> and</w:t>
      </w:r>
      <w:r>
        <w:t xml:space="preserve"> mass migrations</w:t>
      </w:r>
      <w:r w:rsidR="00283B25">
        <w:t>.</w:t>
      </w:r>
      <w:r w:rsidR="00283B25" w:rsidRPr="00283B25">
        <w:t xml:space="preserve"> </w:t>
      </w:r>
      <w:r w:rsidR="00283B25">
        <w:t>With 5°C of global warming, the world will be almost unrecognizable. Average inland temperatures would be 18°F higher. Southern U.S. would likely become a desert, along with Australia, Southern Europe, and Central America</w:t>
      </w:r>
      <w:r w:rsidR="00283B25">
        <w:rPr>
          <w:rStyle w:val="FootnoteReference"/>
        </w:rPr>
        <w:footnoteReference w:id="3"/>
      </w:r>
      <w:r w:rsidR="00283B25">
        <w:t xml:space="preserve">.  </w:t>
      </w:r>
    </w:p>
    <w:p w:rsidR="00283B25" w:rsidRDefault="00283B25" w:rsidP="00E9259D"/>
    <w:p w:rsidR="00283B25" w:rsidRDefault="00283B25" w:rsidP="00E9259D">
      <w:r w:rsidRPr="00283B25">
        <w:t xml:space="preserve">Projections of global sea-level </w:t>
      </w:r>
      <w:r w:rsidR="00DE7825">
        <w:t>are equally alarming. They</w:t>
      </w:r>
      <w:r w:rsidRPr="00283B25">
        <w:t xml:space="preserve"> range from 20 cm to as much as 2 m</w:t>
      </w:r>
      <w:r w:rsidR="00DE7825">
        <w:t xml:space="preserve"> by the end of the century</w:t>
      </w:r>
      <w:r w:rsidRPr="00283B25">
        <w:t xml:space="preserve"> and sea level will not stop rising then. Without adaptation, a r</w:t>
      </w:r>
      <w:r w:rsidR="00DE7825">
        <w:t>ise of</w:t>
      </w:r>
      <w:r w:rsidRPr="00283B25">
        <w:t xml:space="preserve"> 0.5 m would displace 3.8 million people in the most fertile part of the Nile River Delta. A rise </w:t>
      </w:r>
      <w:r w:rsidR="00B804CA">
        <w:t>of</w:t>
      </w:r>
      <w:r w:rsidR="00B804CA" w:rsidRPr="00283B25">
        <w:t xml:space="preserve"> </w:t>
      </w:r>
      <w:r w:rsidRPr="00283B25">
        <w:t>2 m could displace 187 million people globally</w:t>
      </w:r>
      <w:r>
        <w:t>.</w:t>
      </w:r>
      <w:r>
        <w:rPr>
          <w:rStyle w:val="FootnoteReference"/>
        </w:rPr>
        <w:footnoteReference w:id="4"/>
      </w:r>
    </w:p>
    <w:p w:rsidR="00765F2B" w:rsidRDefault="00765F2B" w:rsidP="00E9259D"/>
    <w:p w:rsidR="00765F2B" w:rsidRDefault="00283B25" w:rsidP="00E9259D">
      <w:r>
        <w:t xml:space="preserve">Regional and local projections </w:t>
      </w:r>
      <w:r w:rsidR="00DE7825">
        <w:t>are for</w:t>
      </w:r>
      <w:r w:rsidR="008D185B">
        <w:t xml:space="preserve"> a 2°C to 7°C rise</w:t>
      </w:r>
      <w:r>
        <w:t xml:space="preserve"> in average temperatures for </w:t>
      </w:r>
      <w:r w:rsidR="008D185B">
        <w:t>California</w:t>
      </w:r>
      <w:r w:rsidR="00765F2B">
        <w:t xml:space="preserve"> by the end of the century</w:t>
      </w:r>
      <w:r w:rsidR="008D185B">
        <w:t>.</w:t>
      </w:r>
      <w:r>
        <w:t xml:space="preserve">  </w:t>
      </w:r>
      <w:r w:rsidR="008D185B">
        <w:t>By mid-century, the number of extremely hot days (98th percentile) is likely to triple or quadruple for the vast majority of people living in Southern California</w:t>
      </w:r>
      <w:r w:rsidR="008D185B">
        <w:rPr>
          <w:rStyle w:val="FootnoteReference"/>
        </w:rPr>
        <w:footnoteReference w:id="5"/>
      </w:r>
      <w:r w:rsidR="008D185B">
        <w:t>.</w:t>
      </w:r>
      <w:r w:rsidR="00765F2B" w:rsidRPr="00765F2B">
        <w:t xml:space="preserve"> </w:t>
      </w:r>
      <w:r w:rsidR="00765F2B">
        <w:t xml:space="preserve"> By mid-century the </w:t>
      </w:r>
      <w:r w:rsidR="00765F2B">
        <w:lastRenderedPageBreak/>
        <w:t>region’s mountains may see a reduction in snowfall of up to 42% of their annual averages, if greenhouse gas emissions continue to increase at their current rate, and 66% of their snowfall by the end of the century, compared with present day.</w:t>
      </w:r>
    </w:p>
    <w:p w:rsidR="008D185B" w:rsidRDefault="008D185B" w:rsidP="00E9259D"/>
    <w:p w:rsidR="004801D5" w:rsidRDefault="00765F2B" w:rsidP="00E9259D">
      <w:r>
        <w:t xml:space="preserve">Other impacts include sea level rise, wildfires and drought. A study, commissioned by </w:t>
      </w:r>
      <w:r w:rsidRPr="00E1288C">
        <w:t>California, Oregon, Washington and several federal agencies</w:t>
      </w:r>
      <w:r>
        <w:t xml:space="preserve"> predicts that s</w:t>
      </w:r>
      <w:r w:rsidRPr="00E1288C">
        <w:t xml:space="preserve">ea levels along the California coast </w:t>
      </w:r>
      <w:r>
        <w:t>will</w:t>
      </w:r>
      <w:r w:rsidRPr="00E1288C">
        <w:t xml:space="preserve"> rise up </w:t>
      </w:r>
      <w:r>
        <w:t>by</w:t>
      </w:r>
      <w:r w:rsidRPr="00E1288C">
        <w:t xml:space="preserve"> 1 </w:t>
      </w:r>
      <w:proofErr w:type="spellStart"/>
      <w:r w:rsidRPr="00E1288C">
        <w:t>ft</w:t>
      </w:r>
      <w:proofErr w:type="spellEnd"/>
      <w:r w:rsidRPr="00E1288C">
        <w:t xml:space="preserve"> in 20 years, 2 </w:t>
      </w:r>
      <w:proofErr w:type="spellStart"/>
      <w:r w:rsidRPr="00E1288C">
        <w:t>f</w:t>
      </w:r>
      <w:r>
        <w:t>t</w:t>
      </w:r>
      <w:proofErr w:type="spellEnd"/>
      <w:r w:rsidRPr="00E1288C">
        <w:t xml:space="preserve"> by 2050 and as much as 5</w:t>
      </w:r>
      <w:r>
        <w:t xml:space="preserve">½ </w:t>
      </w:r>
      <w:proofErr w:type="spellStart"/>
      <w:r w:rsidRPr="00E1288C">
        <w:t>ft</w:t>
      </w:r>
      <w:proofErr w:type="spellEnd"/>
      <w:r w:rsidRPr="00E1288C">
        <w:t xml:space="preserve"> by the end of the century,</w:t>
      </w:r>
      <w:r>
        <w:t xml:space="preserve"> because of the combination of warmer seas and sinking land</w:t>
      </w:r>
      <w:r>
        <w:rPr>
          <w:rStyle w:val="FootnoteReference"/>
        </w:rPr>
        <w:footnoteReference w:id="6"/>
      </w:r>
      <w:r>
        <w:t>.  The number of acres burned by wildfires has been increasing since 1950. The size, severity, duration and frequency of wildfires are greatly influenced by climate. The three largest fire years on record in California occurred in the last decade, and annual acreage burned since 2000 is almost twice that for the 1950-2000 period according to a California EPA report</w:t>
      </w:r>
      <w:r>
        <w:rPr>
          <w:rStyle w:val="FootnoteReference"/>
        </w:rPr>
        <w:footnoteReference w:id="7"/>
      </w:r>
      <w:r>
        <w:t>.</w:t>
      </w:r>
      <w:r w:rsidR="00DE7825">
        <w:t xml:space="preserve">  </w:t>
      </w:r>
      <w:r>
        <w:t>The current persistent drought is a harbinger of likely future conditions.  “</w:t>
      </w:r>
      <w:r w:rsidR="008325A6">
        <w:t xml:space="preserve">While previous long-term droughts in southwest North America arose from natural causes, climate models project that this region will under-go progressive </w:t>
      </w:r>
      <w:proofErr w:type="spellStart"/>
      <w:r w:rsidR="008325A6">
        <w:t>aridification</w:t>
      </w:r>
      <w:proofErr w:type="spellEnd"/>
      <w:r w:rsidR="008325A6">
        <w:t xml:space="preserve"> as part of a general drying and poleward expansion of the subtropical dry zones driven by rising </w:t>
      </w:r>
      <w:r>
        <w:t>greenhouse gases</w:t>
      </w:r>
      <w:r w:rsidR="008D185B">
        <w:t xml:space="preserve">.  </w:t>
      </w:r>
      <w:r w:rsidR="008D185B" w:rsidRPr="008D185B">
        <w:t>Because of the very long lifetime of the anthropogenic atmospheric CO</w:t>
      </w:r>
      <w:r w:rsidR="008D185B" w:rsidRPr="00765F2B">
        <w:rPr>
          <w:vertAlign w:val="subscript"/>
        </w:rPr>
        <w:t>2</w:t>
      </w:r>
      <w:r w:rsidR="008D185B" w:rsidRPr="008D185B">
        <w:t xml:space="preserve"> perturbation, such drying induced by global warming would be largely irreversible on millennium time scale</w:t>
      </w:r>
      <w:r w:rsidR="008D185B">
        <w:t>.</w:t>
      </w:r>
      <w:r>
        <w:t>”</w:t>
      </w:r>
      <w:r>
        <w:rPr>
          <w:rStyle w:val="FootnoteReference"/>
        </w:rPr>
        <w:footnoteReference w:id="8"/>
      </w:r>
    </w:p>
    <w:p w:rsidR="00765F2B" w:rsidRDefault="00765F2B" w:rsidP="00E9259D"/>
    <w:p w:rsidR="008D185B" w:rsidRDefault="00765F2B" w:rsidP="00E9259D">
      <w:r>
        <w:t xml:space="preserve">Such </w:t>
      </w:r>
      <w:r w:rsidR="00DE7825">
        <w:t>impacts will be disastrous for humans here and worldwide</w:t>
      </w:r>
      <w:r>
        <w:t xml:space="preserve">.  </w:t>
      </w:r>
      <w:r w:rsidR="00DE7825">
        <w:t xml:space="preserve">In 1996, the European Union proposed to limit global warming to 2°C relative to pre-industrial times. The 2°C target was reaffirmed by the 2009 Copenhagen Accord and remains the international target, being recognized as the highest “safe” limit.  In order to stay within this limit emission reductions of the order of 80% must be in force by the middle of the century with reductions beginning immediately.  </w:t>
      </w:r>
      <w:r>
        <w:t>As a</w:t>
      </w:r>
      <w:r w:rsidR="00DE7825">
        <w:t xml:space="preserve"> national</w:t>
      </w:r>
      <w:r>
        <w:t xml:space="preserve"> educational leader the university recognizes its role in reducing its </w:t>
      </w:r>
      <w:r w:rsidR="00DE7825">
        <w:t>own</w:t>
      </w:r>
      <w:r>
        <w:t xml:space="preserve"> emissions, in educating students and future leaders</w:t>
      </w:r>
      <w:r w:rsidR="00DE7825">
        <w:t xml:space="preserve"> about climate change and emissions reductions</w:t>
      </w:r>
      <w:r>
        <w:t>, and in working with the larger community to mitigate climate change and build resilience against its impacts.</w:t>
      </w:r>
      <w:r w:rsidR="00DE7825">
        <w:t xml:space="preserve">  This Plan lays out our strategies for carrying out this mission.</w:t>
      </w:r>
    </w:p>
    <w:p w:rsidR="00441DD4" w:rsidRPr="00456997" w:rsidRDefault="002A2A20" w:rsidP="00E9259D">
      <w:pPr>
        <w:pStyle w:val="Heading1"/>
      </w:pPr>
      <w:bookmarkStart w:id="8" w:name="_Toc440630053"/>
      <w:r w:rsidRPr="00456997">
        <w:t>2.</w:t>
      </w:r>
      <w:r w:rsidR="00441DD4" w:rsidRPr="00456997">
        <w:t xml:space="preserve"> Greenhouse Gas Emissions</w:t>
      </w:r>
      <w:bookmarkEnd w:id="8"/>
      <w:r w:rsidR="00456997" w:rsidRPr="00456997">
        <w:t xml:space="preserve"> </w:t>
      </w:r>
    </w:p>
    <w:p w:rsidR="002A2A20" w:rsidRPr="00456997" w:rsidRDefault="002A2A20" w:rsidP="00E9259D">
      <w:pPr>
        <w:pStyle w:val="Heading2"/>
      </w:pPr>
      <w:bookmarkStart w:id="9" w:name="_Toc440630054"/>
      <w:r w:rsidRPr="00456997">
        <w:t>2.1 Historical Emissions</w:t>
      </w:r>
      <w:bookmarkEnd w:id="9"/>
    </w:p>
    <w:p w:rsidR="00A02D9A" w:rsidRDefault="00A02D9A" w:rsidP="00E9259D">
      <w:r>
        <w:t xml:space="preserve">CSUN’s 2013 greenhouse gas emission breakdown by source is shown </w:t>
      </w:r>
      <w:r w:rsidR="002A2A20">
        <w:t xml:space="preserve">in Figure 1 </w:t>
      </w:r>
      <w:r>
        <w:t xml:space="preserve">below. The total emissions amounted to </w:t>
      </w:r>
      <w:r w:rsidRPr="00A02D9A">
        <w:t xml:space="preserve">88,552 </w:t>
      </w:r>
      <w:proofErr w:type="spellStart"/>
      <w:r w:rsidRPr="00A02D9A">
        <w:t>tonnes</w:t>
      </w:r>
      <w:proofErr w:type="spellEnd"/>
      <w:r>
        <w:t>, of which almost 55% were the result of commuting, 30% came from purchased electricity and 9% from natural gas (which is used for heating and the generation of approximately 15% of the campus’s electricity from a fuel cell).</w:t>
      </w:r>
      <w:r>
        <w:rPr>
          <w:rStyle w:val="FootnoteReference"/>
        </w:rPr>
        <w:footnoteReference w:id="9"/>
      </w:r>
      <w:r>
        <w:t xml:space="preserve"> </w:t>
      </w:r>
      <w:r w:rsidR="00412149">
        <w:t xml:space="preserve"> </w:t>
      </w:r>
      <w:r w:rsidR="00384C62">
        <w:t xml:space="preserve">Electricity is </w:t>
      </w:r>
      <w:r w:rsidR="00384C62">
        <w:lastRenderedPageBreak/>
        <w:t xml:space="preserve">purchased from our local utility provider, Los Angeles Department of Water and Power (LADWP), who have historically purchased a significant portion of their portfolio from coal-generation.  Thus the GHG emissions intensity for this power is considerably higher than the statewide average. </w:t>
      </w:r>
      <w:r>
        <w:t xml:space="preserve">Renewables on the campus include </w:t>
      </w:r>
      <w:r w:rsidR="00412149">
        <w:t>three solar installations with capacities of 225 kW, 467 kW and 90kW, which generate approx. 2% of our electricity</w:t>
      </w:r>
      <w:r w:rsidR="00384C62">
        <w:t xml:space="preserve"> with zero emissions</w:t>
      </w:r>
      <w:r w:rsidR="00412149">
        <w:t>. The most recent of these is on the roof of the Student Recreation Center and was installed when that facility was constructed in 2011; the other installations provide shade over surface parking and date back to 2003 and 2005.</w:t>
      </w:r>
    </w:p>
    <w:p w:rsidR="00855AE7" w:rsidRDefault="00855AE7" w:rsidP="00E9259D"/>
    <w:tbl>
      <w:tblPr>
        <w:tblStyle w:val="TableGrid"/>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pie chart depicting CSUN's 2013 greenhouse gas emissions by source. Commuting accounts for over half of the emissions, and purchased electricity around 27%. The remainder of emissions are from on-campus natural gas and transportation fuel combustion, refrigerants, and university-funded travel."/>
      </w:tblPr>
      <w:tblGrid>
        <w:gridCol w:w="9000"/>
      </w:tblGrid>
      <w:tr w:rsidR="00A02D9A" w:rsidRPr="00A66F49" w:rsidTr="00211F33">
        <w:trPr>
          <w:trHeight w:val="288"/>
          <w:tblHeader/>
          <w:jc w:val="center"/>
        </w:trPr>
        <w:tc>
          <w:tcPr>
            <w:tcW w:w="9216" w:type="dxa"/>
          </w:tcPr>
          <w:p w:rsidR="00A02D9A" w:rsidRDefault="00855AE7" w:rsidP="00DA0AC2">
            <w:pPr>
              <w:spacing w:after="200"/>
              <w:rPr>
                <w:noProof/>
                <w:sz w:val="24"/>
                <w:szCs w:val="24"/>
              </w:rPr>
            </w:pPr>
            <w:r w:rsidRPr="00A66F49">
              <w:rPr>
                <w:noProof/>
                <w:sz w:val="24"/>
                <w:szCs w:val="24"/>
              </w:rPr>
              <w:drawing>
                <wp:inline distT="0" distB="0" distL="0" distR="0" wp14:anchorId="01445E56" wp14:editId="36E3BC7E">
                  <wp:extent cx="5667375" cy="3362325"/>
                  <wp:effectExtent l="0" t="0" r="0" b="0"/>
                  <wp:docPr id="50" name="Chart 50" descr="A pie chart depicting CSUN's 2013 greenhouse gas emissions by source. Commuting accounts for over half of the emissions, and purchased electricity around 27%. The remainder of emissions are from on-campus natural gas and transportation fuel combustion, refrigerants, and university-funded travel."/>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855AE7" w:rsidRPr="00A66F49" w:rsidRDefault="00855AE7" w:rsidP="00DA0AC2">
            <w:pPr>
              <w:spacing w:after="200"/>
              <w:rPr>
                <w:noProof/>
                <w:sz w:val="24"/>
                <w:szCs w:val="24"/>
              </w:rPr>
            </w:pPr>
            <w:r>
              <w:rPr>
                <w:b/>
                <w:noProof/>
              </w:rPr>
              <w:t xml:space="preserve">Figure 1. </w:t>
            </w:r>
            <w:r w:rsidRPr="006E5B98">
              <w:rPr>
                <w:b/>
                <w:noProof/>
              </w:rPr>
              <w:t>2013 Greenhouse gas emissions by source.  Shown in (equivalent) tonnes of CO</w:t>
            </w:r>
            <w:r w:rsidRPr="006E5B98">
              <w:rPr>
                <w:b/>
                <w:noProof/>
                <w:vertAlign w:val="subscript"/>
              </w:rPr>
              <w:t>2</w:t>
            </w:r>
            <w:r w:rsidRPr="006E5B98">
              <w:rPr>
                <w:b/>
                <w:noProof/>
              </w:rPr>
              <w:t>.</w:t>
            </w:r>
            <w:r>
              <w:rPr>
                <w:b/>
                <w:noProof/>
              </w:rPr>
              <w:t xml:space="preserve"> Total emissions were 88,552 tonnes.</w:t>
            </w:r>
          </w:p>
        </w:tc>
      </w:tr>
    </w:tbl>
    <w:p w:rsidR="00A02D9A" w:rsidRDefault="00A02D9A" w:rsidP="00DA0AC2">
      <w:pPr>
        <w:spacing w:line="240" w:lineRule="auto"/>
      </w:pPr>
    </w:p>
    <w:p w:rsidR="001A7B94" w:rsidRPr="00B175D4" w:rsidRDefault="00384C62" w:rsidP="00E9259D">
      <w:r w:rsidRPr="00B175D4">
        <w:t>Historically GHG emissions have held fairly steady in the face of increasing student numbers and campus expansion</w:t>
      </w:r>
      <w:r w:rsidR="002A2A20">
        <w:t xml:space="preserve"> (Figure 2)</w:t>
      </w:r>
      <w:r w:rsidRPr="00B175D4">
        <w:t xml:space="preserve">. </w:t>
      </w:r>
      <w:r>
        <w:t xml:space="preserve"> </w:t>
      </w:r>
      <w:r w:rsidR="00B175D4" w:rsidRPr="00B175D4">
        <w:t>The commuting footprint presented is directly proportional to student numbers as the data were estimated from the transport mode split determined from a 2010 survey and extrapolated to other years utilizing year-appropriate student and employee counts.  Historical emissions associated with directly financed travel also utilize extrapolations based on headcount, and thus reflect the growth of the campus.  Other data were based on actual monthly energy reports, which include utility billing data. The impact of the 1994 Northridge earthquake is evident. The pattern generally reflects changes made to campus energy infrastructure as detailed in the CSUN Energy Report</w:t>
      </w:r>
      <w:r w:rsidR="00B175D4">
        <w:rPr>
          <w:rStyle w:val="FootnoteReference"/>
        </w:rPr>
        <w:footnoteReference w:id="10"/>
      </w:r>
      <w:r w:rsidR="00B175D4" w:rsidRPr="00B175D4">
        <w:t xml:space="preserve">  including construction of a new Central Plant in 1998 and the completion of the fuel cell in 2007 which led to an increase in gas consumption (Scope 1) but a reduction in </w:t>
      </w:r>
      <w:r w:rsidR="00B175D4" w:rsidRPr="00B175D4">
        <w:lastRenderedPageBreak/>
        <w:t xml:space="preserve">purchased electricity (Scope 2).  Total emissions held steady at just under 35,000 </w:t>
      </w:r>
      <w:proofErr w:type="spellStart"/>
      <w:r w:rsidR="00B175D4" w:rsidRPr="00B175D4">
        <w:t>tonnes</w:t>
      </w:r>
      <w:proofErr w:type="spellEnd"/>
      <w:r w:rsidR="00B175D4" w:rsidRPr="00B175D4">
        <w:t xml:space="preserve"> per year for </w:t>
      </w:r>
      <w:r>
        <w:t>2012 and 2013</w:t>
      </w:r>
      <w:r w:rsidR="00B175D4" w:rsidRPr="00B175D4">
        <w:t xml:space="preserve"> after a jump in 2011 when construction of the new Student Recreation Center was completed.  Scope 1 and 2 emissions in 2013 were 3,415 </w:t>
      </w:r>
      <w:proofErr w:type="spellStart"/>
      <w:r w:rsidR="00B175D4" w:rsidRPr="00B175D4">
        <w:t>tonnes</w:t>
      </w:r>
      <w:proofErr w:type="spellEnd"/>
      <w:r w:rsidR="00B175D4" w:rsidRPr="00B175D4">
        <w:t xml:space="preserve"> lower than 1990 values.  This is equivalent to a 9% reduction since 1990, all of which fall within Scope 1 and attributable to improvements made in the physical plant heating infrastructure.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stacked bar graph showing CSUN's annual historical greenhouse gas emissions by source."/>
      </w:tblPr>
      <w:tblGrid>
        <w:gridCol w:w="9000"/>
      </w:tblGrid>
      <w:tr w:rsidR="001A7B94" w:rsidTr="00211F33">
        <w:trPr>
          <w:trHeight w:val="144"/>
          <w:tblHeader/>
        </w:trPr>
        <w:tc>
          <w:tcPr>
            <w:tcW w:w="9216" w:type="dxa"/>
          </w:tcPr>
          <w:p w:rsidR="001A7B94" w:rsidRDefault="00BE6FC2" w:rsidP="00E9259D">
            <w:pPr>
              <w:spacing w:line="276" w:lineRule="auto"/>
              <w:rPr>
                <w:noProof/>
              </w:rPr>
            </w:pPr>
            <w:r>
              <w:rPr>
                <w:noProof/>
              </w:rPr>
              <w:drawing>
                <wp:inline distT="0" distB="0" distL="0" distR="0" wp14:anchorId="59C310E7" wp14:editId="2B6C5F23">
                  <wp:extent cx="5610225" cy="5257800"/>
                  <wp:effectExtent l="0" t="0" r="0" b="0"/>
                  <wp:docPr id="1" name="Chart 1" descr="A stacked bar graph showing CSUN's annual historical greenhouse gas emissions by source."/>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BE6FC2" w:rsidRDefault="00BE6FC2" w:rsidP="00E9259D">
            <w:pPr>
              <w:spacing w:line="276" w:lineRule="auto"/>
              <w:rPr>
                <w:noProof/>
              </w:rPr>
            </w:pPr>
            <w:r>
              <w:rPr>
                <w:b/>
              </w:rPr>
              <w:t xml:space="preserve">Figure 2. </w:t>
            </w:r>
            <w:r w:rsidRPr="00091E5A">
              <w:rPr>
                <w:b/>
              </w:rPr>
              <w:t>Historical annual emissions by source, 1990 – 2013.</w:t>
            </w:r>
          </w:p>
        </w:tc>
      </w:tr>
    </w:tbl>
    <w:p w:rsidR="00BE6FC2" w:rsidRDefault="00BE6FC2" w:rsidP="00E9259D">
      <w:pPr>
        <w:rPr>
          <w:sz w:val="24"/>
          <w:szCs w:val="24"/>
        </w:rPr>
      </w:pPr>
    </w:p>
    <w:p w:rsidR="00384C62" w:rsidRDefault="00384C62" w:rsidP="009139CC">
      <w:pPr>
        <w:rPr>
          <w:sz w:val="24"/>
          <w:szCs w:val="24"/>
        </w:rPr>
      </w:pPr>
      <w:r>
        <w:rPr>
          <w:sz w:val="24"/>
          <w:szCs w:val="24"/>
        </w:rPr>
        <w:t xml:space="preserve">The campus has grown significantly over the past two decades both physically and in terms of the number of students served.  Emissions per student </w:t>
      </w:r>
      <w:r w:rsidR="002A2A20">
        <w:rPr>
          <w:sz w:val="24"/>
          <w:szCs w:val="24"/>
        </w:rPr>
        <w:t xml:space="preserve">(Figure 3) </w:t>
      </w:r>
      <w:r>
        <w:rPr>
          <w:sz w:val="24"/>
          <w:szCs w:val="24"/>
        </w:rPr>
        <w:t>fell between 1995 and 2002, thereafter showing a slight increase in 200</w:t>
      </w:r>
      <w:r w:rsidR="00AB27FB">
        <w:rPr>
          <w:sz w:val="24"/>
          <w:szCs w:val="24"/>
        </w:rPr>
        <w:t>3</w:t>
      </w:r>
      <w:r>
        <w:rPr>
          <w:sz w:val="24"/>
          <w:szCs w:val="24"/>
        </w:rPr>
        <w:t xml:space="preserve"> and hovering </w:t>
      </w:r>
      <w:r w:rsidR="00AB27FB">
        <w:rPr>
          <w:sz w:val="24"/>
          <w:szCs w:val="24"/>
        </w:rPr>
        <w:t xml:space="preserve">around </w:t>
      </w:r>
      <w:r>
        <w:rPr>
          <w:sz w:val="24"/>
          <w:szCs w:val="24"/>
        </w:rPr>
        <w:t xml:space="preserve">2.3 </w:t>
      </w:r>
      <w:proofErr w:type="spellStart"/>
      <w:r>
        <w:rPr>
          <w:sz w:val="24"/>
          <w:szCs w:val="24"/>
        </w:rPr>
        <w:t>tonnes</w:t>
      </w:r>
      <w:proofErr w:type="spellEnd"/>
      <w:r>
        <w:rPr>
          <w:sz w:val="24"/>
          <w:szCs w:val="24"/>
        </w:rPr>
        <w:t xml:space="preserve"> eCO</w:t>
      </w:r>
      <w:r>
        <w:rPr>
          <w:sz w:val="24"/>
          <w:szCs w:val="24"/>
          <w:vertAlign w:val="subscript"/>
        </w:rPr>
        <w:t>2</w:t>
      </w:r>
      <w:r>
        <w:rPr>
          <w:sz w:val="24"/>
          <w:szCs w:val="24"/>
        </w:rPr>
        <w:t xml:space="preserve"> per FTES for total emissions over the past </w:t>
      </w:r>
      <w:r w:rsidR="00AB27FB">
        <w:rPr>
          <w:sz w:val="24"/>
          <w:szCs w:val="24"/>
        </w:rPr>
        <w:t>seven</w:t>
      </w:r>
      <w:r>
        <w:rPr>
          <w:sz w:val="24"/>
          <w:szCs w:val="24"/>
        </w:rPr>
        <w:t xml:space="preserve"> years.</w:t>
      </w:r>
    </w:p>
    <w:p w:rsidR="00441DD4" w:rsidRDefault="00441DD4" w:rsidP="00E9259D"/>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line graph showing the number of fulltime students at CSUN from 1990 to 2012"/>
      </w:tblPr>
      <w:tblGrid>
        <w:gridCol w:w="9000"/>
      </w:tblGrid>
      <w:tr w:rsidR="001A7B94" w:rsidTr="00211F33">
        <w:trPr>
          <w:tblHeader/>
        </w:trPr>
        <w:tc>
          <w:tcPr>
            <w:tcW w:w="9216" w:type="dxa"/>
          </w:tcPr>
          <w:p w:rsidR="001A7B94" w:rsidRDefault="001A7B94" w:rsidP="00DA0AC2">
            <w:pPr>
              <w:rPr>
                <w:sz w:val="24"/>
                <w:szCs w:val="24"/>
              </w:rPr>
            </w:pPr>
            <w:r>
              <w:rPr>
                <w:noProof/>
              </w:rPr>
              <w:lastRenderedPageBreak/>
              <w:drawing>
                <wp:inline distT="0" distB="0" distL="0" distR="0" wp14:anchorId="778A86CC" wp14:editId="18622C15">
                  <wp:extent cx="5715000" cy="1628775"/>
                  <wp:effectExtent l="0" t="0" r="0" b="0"/>
                  <wp:docPr id="21" name="Chart 21" descr="A line graph showing CSUN's full time student population from 1990 to 20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1A7B94" w:rsidRDefault="001A7B94" w:rsidP="00DA0AC2">
            <w:pPr>
              <w:rPr>
                <w:sz w:val="24"/>
                <w:szCs w:val="24"/>
              </w:rPr>
            </w:pPr>
          </w:p>
          <w:p w:rsidR="001A7B94" w:rsidRDefault="001A7B94" w:rsidP="00DA0AC2">
            <w:pPr>
              <w:rPr>
                <w:sz w:val="24"/>
                <w:szCs w:val="24"/>
              </w:rPr>
            </w:pPr>
            <w:r>
              <w:rPr>
                <w:noProof/>
              </w:rPr>
              <w:drawing>
                <wp:inline distT="0" distB="0" distL="0" distR="0" wp14:anchorId="0941F1BB" wp14:editId="41E34D14">
                  <wp:extent cx="5715000" cy="1628775"/>
                  <wp:effectExtent l="0" t="0" r="0" b="0"/>
                  <wp:docPr id="74" name="Chart 74" descr="A bar graph showing CSUN's greenhouse gas emissions per full-time student from 1990 to 20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1A7B94" w:rsidRDefault="001A7B94" w:rsidP="00DA0AC2">
            <w:pPr>
              <w:rPr>
                <w:sz w:val="24"/>
                <w:szCs w:val="24"/>
              </w:rPr>
            </w:pPr>
          </w:p>
          <w:p w:rsidR="001A7B94" w:rsidRPr="00205612" w:rsidRDefault="001F7EDE" w:rsidP="00DA0AC2">
            <w:pPr>
              <w:rPr>
                <w:b/>
              </w:rPr>
            </w:pPr>
            <w:r>
              <w:rPr>
                <w:b/>
              </w:rPr>
              <w:t xml:space="preserve">Figure 3. </w:t>
            </w:r>
            <w:r w:rsidR="001A7B94" w:rsidRPr="00205612">
              <w:rPr>
                <w:b/>
              </w:rPr>
              <w:t>Top panel: Number of full-time equivalent students</w:t>
            </w:r>
            <w:r w:rsidR="001A7B94">
              <w:rPr>
                <w:b/>
              </w:rPr>
              <w:t xml:space="preserve"> (FTES)</w:t>
            </w:r>
            <w:r w:rsidR="001A7B94" w:rsidRPr="00205612">
              <w:rPr>
                <w:b/>
              </w:rPr>
              <w:t>; Bottom panel: Total (Scope 1</w:t>
            </w:r>
            <w:r w:rsidR="009728E6" w:rsidRPr="00205612">
              <w:rPr>
                <w:b/>
              </w:rPr>
              <w:t>, 2</w:t>
            </w:r>
            <w:r w:rsidR="001A7B94" w:rsidRPr="00205612">
              <w:rPr>
                <w:b/>
              </w:rPr>
              <w:t xml:space="preserve"> and 3) emissions (</w:t>
            </w:r>
            <w:proofErr w:type="spellStart"/>
            <w:r w:rsidR="001A7B94" w:rsidRPr="00205612">
              <w:rPr>
                <w:b/>
              </w:rPr>
              <w:t>tonnes</w:t>
            </w:r>
            <w:proofErr w:type="spellEnd"/>
            <w:r w:rsidR="001A7B94" w:rsidRPr="00205612">
              <w:rPr>
                <w:b/>
              </w:rPr>
              <w:t xml:space="preserve"> eCO</w:t>
            </w:r>
            <w:r w:rsidR="001A7B94" w:rsidRPr="00205612">
              <w:rPr>
                <w:b/>
                <w:vertAlign w:val="subscript"/>
              </w:rPr>
              <w:t>2</w:t>
            </w:r>
            <w:r w:rsidR="001A7B94" w:rsidRPr="00205612">
              <w:rPr>
                <w:b/>
              </w:rPr>
              <w:t xml:space="preserve"> per FTES)</w:t>
            </w:r>
            <w:r w:rsidR="00AB27FB">
              <w:rPr>
                <w:b/>
              </w:rPr>
              <w:t>.</w:t>
            </w:r>
          </w:p>
        </w:tc>
      </w:tr>
    </w:tbl>
    <w:p w:rsidR="001A7B94" w:rsidRDefault="001A7B94" w:rsidP="00DA0AC2">
      <w:pPr>
        <w:spacing w:line="240" w:lineRule="auto"/>
      </w:pPr>
    </w:p>
    <w:p w:rsidR="00384C62" w:rsidRDefault="00AB27FB" w:rsidP="00E9259D">
      <w:pPr>
        <w:rPr>
          <w:sz w:val="24"/>
          <w:szCs w:val="24"/>
        </w:rPr>
      </w:pPr>
      <w:r>
        <w:rPr>
          <w:sz w:val="24"/>
          <w:szCs w:val="24"/>
        </w:rPr>
        <w:t>B</w:t>
      </w:r>
      <w:r w:rsidR="00384C62">
        <w:rPr>
          <w:sz w:val="24"/>
          <w:szCs w:val="24"/>
        </w:rPr>
        <w:t xml:space="preserve">uildings have become more energy efficient the associated energy-related emissions per gross square foot </w:t>
      </w:r>
      <w:r w:rsidR="002A2A20">
        <w:rPr>
          <w:sz w:val="24"/>
          <w:szCs w:val="24"/>
        </w:rPr>
        <w:t xml:space="preserve">(Figure 4) </w:t>
      </w:r>
      <w:r w:rsidR="00384C62">
        <w:rPr>
          <w:sz w:val="24"/>
          <w:szCs w:val="24"/>
        </w:rPr>
        <w:t xml:space="preserve">have decreased, holding fairly steady </w:t>
      </w:r>
      <w:r>
        <w:rPr>
          <w:sz w:val="24"/>
          <w:szCs w:val="24"/>
        </w:rPr>
        <w:t>just below 6</w:t>
      </w:r>
      <w:r w:rsidR="00384C62">
        <w:rPr>
          <w:sz w:val="24"/>
          <w:szCs w:val="24"/>
        </w:rPr>
        <w:t xml:space="preserve"> kg/</w:t>
      </w:r>
      <w:proofErr w:type="spellStart"/>
      <w:r w:rsidR="00384C62">
        <w:rPr>
          <w:sz w:val="24"/>
          <w:szCs w:val="24"/>
        </w:rPr>
        <w:t>sq</w:t>
      </w:r>
      <w:proofErr w:type="spellEnd"/>
      <w:r w:rsidR="00384C62">
        <w:rPr>
          <w:sz w:val="24"/>
          <w:szCs w:val="24"/>
        </w:rPr>
        <w:t xml:space="preserve"> ft. for the past five years.</w:t>
      </w:r>
    </w:p>
    <w:p w:rsidR="00384C62" w:rsidRDefault="00384C62" w:rsidP="00DA0AC2">
      <w:pPr>
        <w:spacing w:line="240" w:lineRule="auto"/>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line graph showing CSUN's building square footage increasing from 2.5 million in 1990 to 6 million in 2012. Below is a bar graph showing kilograms of CO2 equivalent per square foot gradually dropping from 14 to below 6 in the same timespan."/>
      </w:tblPr>
      <w:tblGrid>
        <w:gridCol w:w="9000"/>
      </w:tblGrid>
      <w:tr w:rsidR="001A7B94" w:rsidTr="00211F33">
        <w:trPr>
          <w:tblHeader/>
        </w:trPr>
        <w:tc>
          <w:tcPr>
            <w:tcW w:w="9216" w:type="dxa"/>
          </w:tcPr>
          <w:p w:rsidR="001A7B94" w:rsidRDefault="001A7B94" w:rsidP="00DA0AC2">
            <w:pPr>
              <w:rPr>
                <w:noProof/>
              </w:rPr>
            </w:pPr>
          </w:p>
        </w:tc>
      </w:tr>
      <w:tr w:rsidR="001A7B94" w:rsidTr="00BE6FC2">
        <w:tc>
          <w:tcPr>
            <w:tcW w:w="9216" w:type="dxa"/>
          </w:tcPr>
          <w:p w:rsidR="001A7B94" w:rsidRDefault="001A7B94" w:rsidP="00DA0AC2">
            <w:pPr>
              <w:rPr>
                <w:sz w:val="24"/>
                <w:szCs w:val="24"/>
              </w:rPr>
            </w:pPr>
            <w:r>
              <w:rPr>
                <w:noProof/>
              </w:rPr>
              <w:drawing>
                <wp:inline distT="0" distB="0" distL="0" distR="0" wp14:anchorId="4810D04E" wp14:editId="48142A96">
                  <wp:extent cx="5667375" cy="1628775"/>
                  <wp:effectExtent l="0" t="0" r="0" b="0"/>
                  <wp:docPr id="22" name="Chart 22" descr="A line graph showing CSUN's building square footage from 1990 to 2012. It steadily increases from 2.5 million square feet to 6 million square feet."/>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1A7B94" w:rsidRDefault="001A7B94" w:rsidP="00DA0AC2">
            <w:pPr>
              <w:rPr>
                <w:sz w:val="24"/>
                <w:szCs w:val="24"/>
              </w:rPr>
            </w:pPr>
            <w:r>
              <w:rPr>
                <w:noProof/>
              </w:rPr>
              <w:lastRenderedPageBreak/>
              <w:drawing>
                <wp:inline distT="0" distB="0" distL="0" distR="0" wp14:anchorId="48B285B2" wp14:editId="03BFE944">
                  <wp:extent cx="5667375" cy="1628775"/>
                  <wp:effectExtent l="0" t="0" r="0" b="0"/>
                  <wp:docPr id="25" name="Chart 25" descr="A bar graph showing CSUN's kilograms of CO2 equivalent per square foot decreasing from over 14 to below 6, from 1990 to 20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1A7B94" w:rsidRDefault="001A7B94" w:rsidP="00DA0AC2">
            <w:pPr>
              <w:rPr>
                <w:sz w:val="24"/>
                <w:szCs w:val="24"/>
              </w:rPr>
            </w:pPr>
          </w:p>
          <w:p w:rsidR="001A7B94" w:rsidRPr="00874A46" w:rsidRDefault="001F7EDE" w:rsidP="00DA0AC2">
            <w:pPr>
              <w:rPr>
                <w:b/>
              </w:rPr>
            </w:pPr>
            <w:r>
              <w:rPr>
                <w:b/>
              </w:rPr>
              <w:t xml:space="preserve">Figure 4. </w:t>
            </w:r>
            <w:r w:rsidR="001A7B94" w:rsidRPr="00874A46">
              <w:rPr>
                <w:b/>
              </w:rPr>
              <w:t xml:space="preserve">Top panel: Total building space (GSF); </w:t>
            </w:r>
            <w:r w:rsidR="00AB27FB">
              <w:rPr>
                <w:b/>
              </w:rPr>
              <w:t>Bottom</w:t>
            </w:r>
            <w:r w:rsidR="001A7B94" w:rsidRPr="00874A46">
              <w:rPr>
                <w:b/>
              </w:rPr>
              <w:t xml:space="preserve"> panel: Scope 1 and 2 emissions (kg eCO</w:t>
            </w:r>
            <w:r w:rsidR="001A7B94" w:rsidRPr="00874A46">
              <w:rPr>
                <w:b/>
                <w:vertAlign w:val="subscript"/>
              </w:rPr>
              <w:t>2</w:t>
            </w:r>
            <w:r w:rsidR="001A7B94" w:rsidRPr="00874A46">
              <w:rPr>
                <w:b/>
              </w:rPr>
              <w:t xml:space="preserve"> per</w:t>
            </w:r>
            <w:r w:rsidR="00AB27FB">
              <w:rPr>
                <w:b/>
              </w:rPr>
              <w:t xml:space="preserve"> GSF).</w:t>
            </w:r>
          </w:p>
        </w:tc>
      </w:tr>
    </w:tbl>
    <w:p w:rsidR="000008E7" w:rsidRPr="00456997" w:rsidRDefault="002A2A20" w:rsidP="00E9259D">
      <w:pPr>
        <w:pStyle w:val="Heading2"/>
      </w:pPr>
      <w:bookmarkStart w:id="10" w:name="_Toc440630055"/>
      <w:r w:rsidRPr="00456997">
        <w:lastRenderedPageBreak/>
        <w:t>2.2</w:t>
      </w:r>
      <w:r w:rsidR="000008E7" w:rsidRPr="00456997">
        <w:t xml:space="preserve"> Future Projections</w:t>
      </w:r>
      <w:bookmarkEnd w:id="10"/>
    </w:p>
    <w:p w:rsidR="00BF27B8" w:rsidRDefault="00BF27B8" w:rsidP="00E9259D">
      <w:r>
        <w:t>Future emission</w:t>
      </w:r>
      <w:r w:rsidR="004C7E8B">
        <w:t xml:space="preserve"> projections are</w:t>
      </w:r>
      <w:r>
        <w:t xml:space="preserve"> based on campus growth and other factors, such as changes in the fuel mix of the utility supplier, student numbers, and vehicle fuel economy.  In modelling the Business As Usual (BAU) future scenario, the following assumptions were made:</w:t>
      </w:r>
    </w:p>
    <w:p w:rsidR="00BF27B8" w:rsidRDefault="00BF27B8" w:rsidP="00E9259D">
      <w:pPr>
        <w:pStyle w:val="ListParagraph"/>
        <w:numPr>
          <w:ilvl w:val="0"/>
          <w:numId w:val="39"/>
        </w:numPr>
      </w:pPr>
      <w:r>
        <w:t>Building expansion was based on the 2005 Master Plan. Parking lots and other outdoor areas we</w:t>
      </w:r>
      <w:r w:rsidR="00832E3B">
        <w:t xml:space="preserve">re not included (Figure </w:t>
      </w:r>
      <w:r w:rsidR="00526D9C">
        <w:t>5</w:t>
      </w:r>
      <w:r w:rsidR="00832E3B">
        <w:t>).</w:t>
      </w:r>
    </w:p>
    <w:p w:rsidR="00BF27B8" w:rsidRDefault="00BF27B8" w:rsidP="00E9259D">
      <w:pPr>
        <w:pStyle w:val="ListParagraph"/>
        <w:numPr>
          <w:ilvl w:val="0"/>
          <w:numId w:val="39"/>
        </w:numPr>
      </w:pPr>
      <w:r>
        <w:t xml:space="preserve">All energy (Scope 1 and 2) consumption was projected based on building square footage with energy densities for each emission source based on </w:t>
      </w:r>
      <w:r w:rsidR="00EF3498">
        <w:t>the 2012 and 2013</w:t>
      </w:r>
      <w:r>
        <w:t xml:space="preserve"> averages.</w:t>
      </w:r>
    </w:p>
    <w:p w:rsidR="00EF3498" w:rsidRDefault="00EF3498" w:rsidP="00E9259D">
      <w:pPr>
        <w:pStyle w:val="ListParagraph"/>
        <w:numPr>
          <w:ilvl w:val="0"/>
          <w:numId w:val="39"/>
        </w:numPr>
      </w:pPr>
      <w:r>
        <w:t xml:space="preserve">Emissions from projected electricity use are based on LADWP’s 2014 </w:t>
      </w:r>
      <w:r w:rsidR="00D467CF">
        <w:t>Power Int</w:t>
      </w:r>
      <w:r w:rsidR="00526D9C">
        <w:t>egrated Resource Plan</w:t>
      </w:r>
      <w:r w:rsidR="002A2A20">
        <w:rPr>
          <w:rStyle w:val="FootnoteReference"/>
        </w:rPr>
        <w:footnoteReference w:id="11"/>
      </w:r>
      <w:r w:rsidR="00526D9C">
        <w:t xml:space="preserve"> (Figure 6</w:t>
      </w:r>
      <w:r w:rsidR="00D467CF">
        <w:t>).</w:t>
      </w:r>
    </w:p>
    <w:p w:rsidR="00BF27B8" w:rsidRDefault="00BF27B8" w:rsidP="00E9259D">
      <w:pPr>
        <w:pStyle w:val="ListParagraph"/>
        <w:numPr>
          <w:ilvl w:val="0"/>
          <w:numId w:val="39"/>
        </w:numPr>
      </w:pPr>
      <w:r>
        <w:t xml:space="preserve">Student headcount projections were based on a </w:t>
      </w:r>
      <w:r w:rsidR="005119CD">
        <w:t>2</w:t>
      </w:r>
      <w:r>
        <w:t>% decrease annually for 2016, 2017 and 2018 based on impaction, and thereafter growth at an annual rate of 1.5% through 2028 until an FTES target of 35,000 is met.  From 202</w:t>
      </w:r>
      <w:r w:rsidR="005119CD">
        <w:t>6</w:t>
      </w:r>
      <w:r>
        <w:t xml:space="preserve"> onwards the FTES is held at 35,000 and headcount at </w:t>
      </w:r>
      <w:r w:rsidR="00193CFC">
        <w:t>43,200 (Figure 5</w:t>
      </w:r>
      <w:r w:rsidR="00832E3B">
        <w:t>).</w:t>
      </w:r>
    </w:p>
    <w:p w:rsidR="00BF27B8" w:rsidRDefault="00BF27B8" w:rsidP="00E9259D">
      <w:pPr>
        <w:pStyle w:val="ListParagraph"/>
        <w:numPr>
          <w:ilvl w:val="0"/>
          <w:numId w:val="39"/>
        </w:numPr>
      </w:pPr>
      <w:r>
        <w:t>Faculty and staff headcounts were based on current values projected out at the same growth rate as the student FTES and headcount.</w:t>
      </w:r>
    </w:p>
    <w:p w:rsidR="00BF27B8" w:rsidRDefault="00BF27B8" w:rsidP="00E9259D">
      <w:pPr>
        <w:pStyle w:val="ListParagraph"/>
        <w:numPr>
          <w:ilvl w:val="0"/>
          <w:numId w:val="39"/>
        </w:numPr>
      </w:pPr>
      <w:r>
        <w:t>Business travel footprint projections were based on faculty and staff headcounts and per capita averages from 2010 – 2014.</w:t>
      </w:r>
    </w:p>
    <w:p w:rsidR="00BF27B8" w:rsidRDefault="00BF27B8" w:rsidP="00E9259D">
      <w:pPr>
        <w:pStyle w:val="ListParagraph"/>
        <w:numPr>
          <w:ilvl w:val="0"/>
          <w:numId w:val="39"/>
        </w:numPr>
      </w:pPr>
      <w:r>
        <w:t>Commuting projections were based on 2010 mode mixes, headcount projections and additional assumptions for future fuel economy improvements of vehicles based on new EPA standards</w:t>
      </w:r>
      <w:r>
        <w:rPr>
          <w:rStyle w:val="FootnoteReference"/>
        </w:rPr>
        <w:footnoteReference w:id="12"/>
      </w:r>
      <w:r>
        <w:t>. These assume a 5% per year improvement in the fuel efficiency (mpg) of automobiles until a value of 60 miles per gallon is reached in 2035, and an improvement rate of 3.5% per year for buses and trains throughout the same timeframe.</w:t>
      </w:r>
    </w:p>
    <w:p w:rsidR="00EF3498" w:rsidRPr="00D467CF" w:rsidRDefault="00D467CF" w:rsidP="00E9259D">
      <w:r>
        <w:lastRenderedPageBreak/>
        <w:t>The eCO</w:t>
      </w:r>
      <w:r>
        <w:rPr>
          <w:vertAlign w:val="subscript"/>
        </w:rPr>
        <w:t>2</w:t>
      </w:r>
      <w:r>
        <w:t xml:space="preserve"> content</w:t>
      </w:r>
      <w:r w:rsidR="00E9259D">
        <w:t>s</w:t>
      </w:r>
      <w:r>
        <w:t xml:space="preserve"> of various fuels (natural gas, gasoline, diesel, jet fuel) were based on calculations carried out for the GHG inventory. This allowed a direct fuel to eCO</w:t>
      </w:r>
      <w:r>
        <w:rPr>
          <w:vertAlign w:val="subscript"/>
        </w:rPr>
        <w:t>2</w:t>
      </w:r>
      <w:r>
        <w:t xml:space="preserve"> computation to be carried out without the need to calculate CO</w:t>
      </w:r>
      <w:r>
        <w:rPr>
          <w:vertAlign w:val="subscript"/>
        </w:rPr>
        <w:t>2</w:t>
      </w:r>
      <w:r>
        <w:t>, CH</w:t>
      </w:r>
      <w:r>
        <w:rPr>
          <w:vertAlign w:val="subscript"/>
        </w:rPr>
        <w:t>4</w:t>
      </w:r>
      <w:r>
        <w:t xml:space="preserve"> and N</w:t>
      </w:r>
      <w:r>
        <w:rPr>
          <w:vertAlign w:val="subscript"/>
        </w:rPr>
        <w:t>2</w:t>
      </w:r>
      <w:r>
        <w:t>O emissions separately.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line graphs. The top shows CSUN's built square footage and student headcount from 1990 to 2012, and then project the same trends forward to 2050. The lower graph shows the Los Angeles Department of Water and Power's electricity greenhouse gas intensity projection from 2014 to 2034."/>
      </w:tblPr>
      <w:tblGrid>
        <w:gridCol w:w="9000"/>
      </w:tblGrid>
      <w:tr w:rsidR="003C1280" w:rsidTr="00211F33">
        <w:trPr>
          <w:trHeight w:val="4752"/>
          <w:tblHeader/>
        </w:trPr>
        <w:tc>
          <w:tcPr>
            <w:tcW w:w="9216" w:type="dxa"/>
          </w:tcPr>
          <w:p w:rsidR="003C1280" w:rsidRDefault="00F43E76" w:rsidP="00DA0AC2">
            <w:r>
              <w:rPr>
                <w:noProof/>
              </w:rPr>
              <w:t>The</w:t>
            </w:r>
            <w:r w:rsidR="003C1280">
              <w:rPr>
                <w:noProof/>
              </w:rPr>
              <w:drawing>
                <wp:inline distT="0" distB="0" distL="0" distR="0" wp14:anchorId="746482E2" wp14:editId="4EFE063F">
                  <wp:extent cx="5943600" cy="3133725"/>
                  <wp:effectExtent l="0" t="0" r="0" b="0"/>
                  <wp:docPr id="90" name="Chart 90" descr="A line graph showing CSUN's building square footage and student headcount from 1990 to 2012. The graph then projects those values to 2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r w:rsidR="003C1280" w:rsidTr="003C1280">
        <w:tc>
          <w:tcPr>
            <w:tcW w:w="9216" w:type="dxa"/>
          </w:tcPr>
          <w:p w:rsidR="003C1280" w:rsidRDefault="003C1280" w:rsidP="00DA0AC2">
            <w:pPr>
              <w:rPr>
                <w:noProof/>
              </w:rPr>
            </w:pPr>
            <w:r w:rsidRPr="001F7EDE">
              <w:rPr>
                <w:b/>
              </w:rPr>
              <w:t>Figure 5. Projected building gross square feet (GSF) based on the 2005 Master Plan; projected student headcount based on Full-Time Equivalent Student (FTES) targets.</w:t>
            </w:r>
          </w:p>
        </w:tc>
      </w:tr>
      <w:tr w:rsidR="00832E3B" w:rsidTr="00BE6FC2">
        <w:tc>
          <w:tcPr>
            <w:tcW w:w="9216" w:type="dxa"/>
          </w:tcPr>
          <w:p w:rsidR="00C37329" w:rsidRDefault="00832E3B" w:rsidP="00C37329">
            <w:pPr>
              <w:pStyle w:val="NormalWeb"/>
              <w:jc w:val="center"/>
              <w:textAlignment w:val="baseline"/>
              <w:rPr>
                <w:rFonts w:ascii="Calibri" w:hAnsi="Calibri"/>
                <w:b/>
                <w:color w:val="000000"/>
                <w:sz w:val="22"/>
                <w:szCs w:val="22"/>
              </w:rPr>
            </w:pPr>
            <w:r>
              <w:rPr>
                <w:noProof/>
              </w:rPr>
              <w:drawing>
                <wp:inline distT="0" distB="0" distL="0" distR="0" wp14:anchorId="0242792E" wp14:editId="4B2F8877">
                  <wp:extent cx="5181600" cy="2828925"/>
                  <wp:effectExtent l="0" t="0" r="0" b="0"/>
                  <wp:docPr id="37" name="Chart 37" descr="A line graph projecting that the Los Angeles Department of Water and Power's electricity greenhouse gas emission intensity will drop during the 20-year period from 2014 to 20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C37329" w:rsidRPr="00C37329" w:rsidRDefault="00C37329" w:rsidP="00C37329">
            <w:pPr>
              <w:pStyle w:val="NormalWeb"/>
              <w:textAlignment w:val="baseline"/>
              <w:rPr>
                <w:rFonts w:ascii="Calibri" w:hAnsi="Calibri"/>
                <w:b/>
                <w:color w:val="000000"/>
                <w:sz w:val="22"/>
                <w:szCs w:val="22"/>
              </w:rPr>
            </w:pPr>
            <w:r w:rsidRPr="001F7EDE">
              <w:rPr>
                <w:rFonts w:ascii="Calibri" w:hAnsi="Calibri"/>
                <w:b/>
                <w:color w:val="000000"/>
                <w:sz w:val="22"/>
                <w:szCs w:val="22"/>
              </w:rPr>
              <w:lastRenderedPageBreak/>
              <w:t>Figure 6. LADWP’s projected emissions factor based on:  1) 50% RPS by 2030, 2) 15% Energy Efficiency by 2020, 3) 800 MW local solar by 2023, and 4) high transportation electrification</w:t>
            </w:r>
            <w:r w:rsidRPr="001F7EDE">
              <w:rPr>
                <w:rStyle w:val="FootnoteReference"/>
                <w:rFonts w:ascii="Calibri" w:hAnsi="Calibri"/>
                <w:b/>
                <w:color w:val="000000"/>
                <w:sz w:val="22"/>
                <w:szCs w:val="22"/>
              </w:rPr>
              <w:footnoteReference w:id="13"/>
            </w:r>
            <w:r w:rsidRPr="001F7EDE">
              <w:rPr>
                <w:rFonts w:ascii="Calibri" w:hAnsi="Calibri"/>
                <w:b/>
                <w:color w:val="000000"/>
                <w:sz w:val="22"/>
                <w:szCs w:val="22"/>
              </w:rPr>
              <w:t>.</w:t>
            </w:r>
          </w:p>
          <w:p w:rsidR="00BE6FC2" w:rsidRPr="00BE6FC2" w:rsidRDefault="00BE6FC2" w:rsidP="00DA0AC2">
            <w:pPr>
              <w:pStyle w:val="NormalWeb"/>
              <w:spacing w:before="0" w:beforeAutospacing="0" w:after="0" w:afterAutospacing="0"/>
              <w:textAlignment w:val="baseline"/>
              <w:rPr>
                <w:rFonts w:ascii="Calibri" w:hAnsi="Calibri"/>
                <w:color w:val="000000"/>
                <w:sz w:val="22"/>
                <w:szCs w:val="22"/>
              </w:rPr>
            </w:pPr>
          </w:p>
        </w:tc>
      </w:tr>
    </w:tbl>
    <w:p w:rsidR="007752C1" w:rsidRDefault="00CC1A18" w:rsidP="00FD0E60">
      <w:pPr>
        <w:ind w:left="58"/>
      </w:pPr>
      <w:r>
        <w:lastRenderedPageBreak/>
        <w:t>Past, current and p</w:t>
      </w:r>
      <w:r w:rsidR="00D467CF">
        <w:t xml:space="preserve">rojected </w:t>
      </w:r>
      <w:r>
        <w:t xml:space="preserve">GHG </w:t>
      </w:r>
      <w:r w:rsidR="00D467CF">
        <w:t xml:space="preserve">emissions </w:t>
      </w:r>
      <w:r>
        <w:t xml:space="preserve">for each Scope </w:t>
      </w:r>
      <w:r w:rsidR="00D467CF">
        <w:t>based on these assumptions</w:t>
      </w:r>
      <w:r w:rsidR="009C7EBE">
        <w:t xml:space="preserve"> are shown in Figure 7</w:t>
      </w:r>
      <w:r>
        <w:t xml:space="preserve"> below.  Scope 1, comprised of natural gas and vehicle use on campus is projected to hold fairly steady but with a slight rise over the next thirty five years</w:t>
      </w:r>
      <w:r w:rsidR="00E9259D">
        <w:t xml:space="preserve"> due to building expansion. The</w:t>
      </w:r>
      <w:r w:rsidR="00FD0E60" w:rsidRPr="00FD0E60">
        <w:t xml:space="preserve"> </w:t>
      </w:r>
      <w:r w:rsidR="00FD0E60">
        <w:t>projected trend parallels that of building GSF shown in Figure 4.  Scope 2 emissions, which result from grid electricity consumption, are anticipated to fall.  Although electricity consumption is projected to rise as a result of building growth, the change in emissions factor of utility-generated power by far outweighs the increased demand and is projected to lead to a substantial reduction in associated emissions.  Scope 3 emissions are also projected to fall, despite a slight increase in projected numbers of students, faculty and staff.  This is a result of the anticipated improvement in the fuel efficiency of all modes of transport, resulting from further market penetration of electric vehicles, hybrid vehicles and more efficient design, engines, transmission and other vehicle components.</w:t>
      </w:r>
    </w:p>
    <w:p w:rsidR="00FD0E60" w:rsidRDefault="0025137D" w:rsidP="00FD0E60">
      <w:r>
        <w:rPr>
          <w:noProof/>
        </w:rPr>
        <w:lastRenderedPageBreak/>
        <w:drawing>
          <wp:inline distT="0" distB="0" distL="0" distR="0" wp14:anchorId="79932442" wp14:editId="1CE2DF74">
            <wp:extent cx="5715000" cy="4045072"/>
            <wp:effectExtent l="0" t="0" r="0" b="0"/>
            <wp:docPr id="96" name="Chart 96" descr="A graph showing CSUN's scope 1, 2 and 3 greenhouse gas emissions from 1990 to 2012, and then projecting them to the year 2050 under a business as usual scenario."/>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FD0E60" w:rsidRDefault="00FD0E60" w:rsidP="00FD0E60">
      <w:pPr>
        <w:ind w:left="58"/>
        <w:sectPr w:rsidR="00FD0E60" w:rsidSect="00E07920">
          <w:headerReference w:type="default" r:id="rId36"/>
          <w:footerReference w:type="default" r:id="rId37"/>
          <w:endnotePr>
            <w:numFmt w:val="decimal"/>
          </w:endnotePr>
          <w:pgSz w:w="12240" w:h="15840"/>
          <w:pgMar w:top="1440" w:right="1440" w:bottom="1440" w:left="1800" w:header="720" w:footer="720" w:gutter="0"/>
          <w:pgNumType w:start="1"/>
          <w:cols w:space="720"/>
          <w:docGrid w:linePitch="360"/>
        </w:sectPr>
      </w:pPr>
      <w:r w:rsidRPr="001F7EDE">
        <w:rPr>
          <w:b/>
        </w:rPr>
        <w:t>Figure 7. Projected GHG emissions for Scope 1 (direct), Scope 2 (electricity) and Scope 3 (activity-related or indirect) based on assumptions described above.</w:t>
      </w:r>
    </w:p>
    <w:p w:rsidR="00FC7D17" w:rsidRDefault="00456997" w:rsidP="00DA0AC2">
      <w:pPr>
        <w:pStyle w:val="Heading1"/>
        <w:spacing w:before="120" w:line="240" w:lineRule="auto"/>
        <w:rPr>
          <w:color w:val="595959" w:themeColor="text1" w:themeTint="A6"/>
        </w:rPr>
      </w:pPr>
      <w:bookmarkStart w:id="11" w:name="_Toc440630056"/>
      <w:r>
        <w:rPr>
          <w:color w:val="595959" w:themeColor="text1" w:themeTint="A6"/>
        </w:rPr>
        <w:lastRenderedPageBreak/>
        <w:t>3</w:t>
      </w:r>
      <w:r w:rsidR="00FC7D17">
        <w:rPr>
          <w:color w:val="595959" w:themeColor="text1" w:themeTint="A6"/>
        </w:rPr>
        <w:t>. Climate Action Plan</w:t>
      </w:r>
      <w:bookmarkEnd w:id="11"/>
    </w:p>
    <w:p w:rsidR="00ED5A06" w:rsidRPr="00456997" w:rsidRDefault="00456997" w:rsidP="00FD0E60">
      <w:pPr>
        <w:pStyle w:val="Heading2"/>
      </w:pPr>
      <w:bookmarkStart w:id="12" w:name="_Toc440630057"/>
      <w:r w:rsidRPr="00456997">
        <w:t>3</w:t>
      </w:r>
      <w:r w:rsidR="00ED5A06" w:rsidRPr="00456997">
        <w:t>.1 Energy and Buildings</w:t>
      </w:r>
      <w:bookmarkEnd w:id="12"/>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Energy, for the purpose of this section, includes grid electricity, </w:t>
      </w:r>
      <w:proofErr w:type="spellStart"/>
      <w:r w:rsidRPr="005B48F0">
        <w:rPr>
          <w:rFonts w:ascii="Calibri" w:eastAsia="Times New Roman" w:hAnsi="Calibri" w:cs="Times New Roman"/>
          <w:color w:val="000000"/>
        </w:rPr>
        <w:t>self generation</w:t>
      </w:r>
      <w:proofErr w:type="spellEnd"/>
      <w:r w:rsidRPr="005B48F0">
        <w:rPr>
          <w:rFonts w:ascii="Calibri" w:eastAsia="Times New Roman" w:hAnsi="Calibri" w:cs="Times New Roman"/>
          <w:color w:val="000000"/>
        </w:rPr>
        <w:t xml:space="preserve"> electricity and natural gas. </w:t>
      </w:r>
    </w:p>
    <w:p w:rsidR="00ED5A06" w:rsidRPr="00ED5A06" w:rsidRDefault="00456997" w:rsidP="00FD0E60">
      <w:pPr>
        <w:rPr>
          <w:rFonts w:ascii="Calibri" w:eastAsia="Calibri" w:hAnsi="Calibri" w:cs="Calibri"/>
          <w:color w:val="000000"/>
        </w:rPr>
      </w:pPr>
      <w:r w:rsidRPr="00ED5A06">
        <w:rPr>
          <w:rFonts w:ascii="Calibri" w:eastAsia="Calibri" w:hAnsi="Calibri" w:cs="Calibri"/>
          <w:noProof/>
          <w:color w:val="000000"/>
        </w:rPr>
        <w:drawing>
          <wp:anchor distT="114300" distB="114300" distL="114300" distR="114300" simplePos="0" relativeHeight="251669504" behindDoc="0" locked="0" layoutInCell="0" allowOverlap="0" wp14:anchorId="7DBB3777" wp14:editId="124BCD4A">
            <wp:simplePos x="0" y="0"/>
            <wp:positionH relativeFrom="margin">
              <wp:posOffset>3569335</wp:posOffset>
            </wp:positionH>
            <wp:positionV relativeFrom="paragraph">
              <wp:posOffset>622300</wp:posOffset>
            </wp:positionV>
            <wp:extent cx="2573020" cy="2248535"/>
            <wp:effectExtent l="0" t="0" r="0" b="0"/>
            <wp:wrapSquare wrapText="bothSides" distT="114300" distB="114300" distL="114300" distR="114300"/>
            <wp:docPr id="18" name="image22.png" descr="A pie chart showing electricity usage in a typical CSUN campus building. 47% of electricity goes to lighting, another 32% to heating, ventilation and air conditioning, and the last 21% to plug loads."/>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8"/>
                    <a:srcRect/>
                    <a:stretch>
                      <a:fillRect/>
                    </a:stretch>
                  </pic:blipFill>
                  <pic:spPr>
                    <a:xfrm>
                      <a:off x="0" y="0"/>
                      <a:ext cx="2573020" cy="2248535"/>
                    </a:xfrm>
                    <a:prstGeom prst="rect">
                      <a:avLst/>
                    </a:prstGeom>
                    <a:ln/>
                  </pic:spPr>
                </pic:pic>
              </a:graphicData>
            </a:graphic>
          </wp:anchor>
        </w:drawing>
      </w:r>
      <w:r w:rsidR="005B48F0" w:rsidRPr="005B48F0">
        <w:rPr>
          <w:rFonts w:ascii="Times New Roman" w:eastAsia="Times New Roman" w:hAnsi="Times New Roman" w:cs="Times New Roman"/>
          <w:sz w:val="24"/>
          <w:szCs w:val="24"/>
        </w:rPr>
        <w:br/>
      </w:r>
      <w:r w:rsidR="005B48F0" w:rsidRPr="003570B5">
        <w:rPr>
          <w:rFonts w:ascii="Calibri" w:eastAsia="Times New Roman" w:hAnsi="Calibri" w:cs="Times New Roman"/>
          <w:color w:val="000000"/>
        </w:rPr>
        <w:t xml:space="preserve">CSUN has several sources of electricity on campus, including the Los Angeles Department of Water and Power (LADWP) grid supply, on site photovoltaic solar </w:t>
      </w:r>
      <w:r>
        <w:rPr>
          <w:rFonts w:ascii="Calibri" w:eastAsia="Times New Roman" w:hAnsi="Calibri" w:cs="Times New Roman"/>
          <w:color w:val="000000"/>
        </w:rPr>
        <w:t xml:space="preserve">(PV) </w:t>
      </w:r>
      <w:r w:rsidR="005B48F0" w:rsidRPr="003570B5">
        <w:rPr>
          <w:rFonts w:ascii="Calibri" w:eastAsia="Times New Roman" w:hAnsi="Calibri" w:cs="Times New Roman"/>
          <w:color w:val="000000"/>
        </w:rPr>
        <w:t xml:space="preserve">and fuel cell generation. </w:t>
      </w:r>
      <w:r w:rsidR="003570B5">
        <w:rPr>
          <w:rFonts w:ascii="Calibri" w:eastAsia="Times New Roman" w:hAnsi="Calibri" w:cs="Times New Roman"/>
          <w:color w:val="000000"/>
        </w:rPr>
        <w:t>G</w:t>
      </w:r>
      <w:r w:rsidR="005B48F0" w:rsidRPr="003570B5">
        <w:rPr>
          <w:rFonts w:ascii="Calibri" w:eastAsia="Times New Roman" w:hAnsi="Calibri" w:cs="Times New Roman"/>
          <w:color w:val="000000"/>
        </w:rPr>
        <w:t xml:space="preserve">rid </w:t>
      </w:r>
      <w:r w:rsidR="003570B5">
        <w:rPr>
          <w:rFonts w:ascii="Calibri" w:eastAsia="Times New Roman" w:hAnsi="Calibri" w:cs="Times New Roman"/>
          <w:color w:val="000000"/>
        </w:rPr>
        <w:t xml:space="preserve">supplied </w:t>
      </w:r>
      <w:r w:rsidR="005B48F0" w:rsidRPr="003570B5">
        <w:rPr>
          <w:rFonts w:ascii="Calibri" w:eastAsia="Times New Roman" w:hAnsi="Calibri" w:cs="Times New Roman"/>
          <w:color w:val="000000"/>
        </w:rPr>
        <w:t xml:space="preserve">electricity makes up </w:t>
      </w:r>
      <w:r w:rsidR="003570B5">
        <w:rPr>
          <w:rFonts w:ascii="Calibri" w:eastAsia="Times New Roman" w:hAnsi="Calibri" w:cs="Times New Roman"/>
          <w:color w:val="000000"/>
        </w:rPr>
        <w:t>the</w:t>
      </w:r>
      <w:r w:rsidR="005B48F0" w:rsidRPr="003570B5">
        <w:rPr>
          <w:rFonts w:ascii="Calibri" w:eastAsia="Times New Roman" w:hAnsi="Calibri" w:cs="Times New Roman"/>
          <w:color w:val="000000"/>
        </w:rPr>
        <w:t xml:space="preserve"> vast majority, </w:t>
      </w:r>
      <w:r w:rsidR="00D942B4" w:rsidRPr="003570B5">
        <w:rPr>
          <w:rFonts w:ascii="Calibri" w:eastAsia="Times New Roman" w:hAnsi="Calibri" w:cs="Times New Roman"/>
          <w:color w:val="000000"/>
        </w:rPr>
        <w:t xml:space="preserve">between </w:t>
      </w:r>
      <w:r w:rsidR="005B48F0" w:rsidRPr="003570B5">
        <w:rPr>
          <w:rFonts w:ascii="Calibri" w:eastAsia="Times New Roman" w:hAnsi="Calibri" w:cs="Times New Roman"/>
          <w:color w:val="000000"/>
        </w:rPr>
        <w:t>8</w:t>
      </w:r>
      <w:r w:rsidR="00D942B4" w:rsidRPr="003570B5">
        <w:rPr>
          <w:rFonts w:ascii="Calibri" w:eastAsia="Times New Roman" w:hAnsi="Calibri" w:cs="Times New Roman"/>
          <w:color w:val="000000"/>
        </w:rPr>
        <w:t>1 and 8</w:t>
      </w:r>
      <w:r w:rsidR="005B48F0" w:rsidRPr="003570B5">
        <w:rPr>
          <w:rFonts w:ascii="Calibri" w:eastAsia="Times New Roman" w:hAnsi="Calibri" w:cs="Times New Roman"/>
          <w:color w:val="000000"/>
        </w:rPr>
        <w:t>6%, of the electricity consumed at CSUN. Unfortunately, the electricity currently supplied by LADWP has an emissions factor of 1,</w:t>
      </w:r>
      <w:r w:rsidR="00D942B4" w:rsidRPr="003570B5">
        <w:rPr>
          <w:rFonts w:ascii="Calibri" w:eastAsia="Times New Roman" w:hAnsi="Calibri" w:cs="Times New Roman"/>
          <w:color w:val="000000"/>
        </w:rPr>
        <w:t>135</w:t>
      </w:r>
      <w:r w:rsidR="005B48F0" w:rsidRPr="003570B5">
        <w:rPr>
          <w:rFonts w:ascii="Calibri" w:eastAsia="Times New Roman" w:hAnsi="Calibri" w:cs="Times New Roman"/>
          <w:color w:val="000000"/>
        </w:rPr>
        <w:t xml:space="preserve"> pounds of CO</w:t>
      </w:r>
      <w:r w:rsidR="005B48F0" w:rsidRPr="003570B5">
        <w:rPr>
          <w:rFonts w:ascii="Calibri" w:eastAsia="Times New Roman" w:hAnsi="Calibri" w:cs="Times New Roman"/>
          <w:color w:val="000000"/>
          <w:vertAlign w:val="subscript"/>
        </w:rPr>
        <w:t>2</w:t>
      </w:r>
      <w:r w:rsidR="005B48F0" w:rsidRPr="003570B5">
        <w:rPr>
          <w:rFonts w:ascii="Calibri" w:eastAsia="Times New Roman" w:hAnsi="Calibri" w:cs="Times New Roman"/>
          <w:color w:val="000000"/>
        </w:rPr>
        <w:t xml:space="preserve"> per </w:t>
      </w:r>
      <w:r w:rsidR="002B73E2">
        <w:rPr>
          <w:rFonts w:ascii="Calibri" w:eastAsia="Times New Roman" w:hAnsi="Calibri" w:cs="Times New Roman"/>
          <w:color w:val="000000"/>
        </w:rPr>
        <w:t>MWh</w:t>
      </w:r>
      <w:r w:rsidR="005B48F0" w:rsidRPr="003570B5">
        <w:rPr>
          <w:rFonts w:ascii="Calibri" w:eastAsia="Times New Roman" w:hAnsi="Calibri" w:cs="Times New Roman"/>
          <w:color w:val="000000"/>
        </w:rPr>
        <w:t xml:space="preserve"> of electricity consumed, one of the highest in the state. Fuel cell electricity generation makes up</w:t>
      </w:r>
      <w:r w:rsidR="005B48F0" w:rsidRPr="005B48F0">
        <w:rPr>
          <w:rFonts w:ascii="Calibri" w:eastAsia="Times New Roman" w:hAnsi="Calibri" w:cs="Times New Roman"/>
          <w:color w:val="000000"/>
        </w:rPr>
        <w:t xml:space="preserve"> 13</w:t>
      </w:r>
      <w:r w:rsidR="003570B5">
        <w:rPr>
          <w:rFonts w:ascii="Calibri" w:eastAsia="Times New Roman" w:hAnsi="Calibri" w:cs="Times New Roman"/>
          <w:color w:val="000000"/>
        </w:rPr>
        <w:t>-17</w:t>
      </w:r>
      <w:r w:rsidR="005B48F0" w:rsidRPr="005B48F0">
        <w:rPr>
          <w:rFonts w:ascii="Calibri" w:eastAsia="Times New Roman" w:hAnsi="Calibri" w:cs="Times New Roman"/>
          <w:color w:val="000000"/>
        </w:rPr>
        <w:t xml:space="preserve">%, with solar contributing the remaining 2%. </w:t>
      </w:r>
    </w:p>
    <w:p w:rsidR="00ED5A06" w:rsidRPr="00ED5A06" w:rsidRDefault="00ED5A06" w:rsidP="00FD0E60">
      <w:pPr>
        <w:rPr>
          <w:rFonts w:ascii="Calibri" w:eastAsia="Calibri" w:hAnsi="Calibri" w:cs="Calibri"/>
          <w:color w:val="000000"/>
        </w:rPr>
      </w:pPr>
    </w:p>
    <w:p w:rsidR="00ED5A06" w:rsidRPr="00ED5A06" w:rsidRDefault="00456997" w:rsidP="00FD0E60">
      <w:pPr>
        <w:rPr>
          <w:rFonts w:ascii="Calibri" w:eastAsia="Calibri" w:hAnsi="Calibri" w:cs="Calibri"/>
          <w:color w:val="000000"/>
        </w:rPr>
      </w:pPr>
      <w:r w:rsidRPr="00ED5A06">
        <w:rPr>
          <w:rFonts w:ascii="Calibri" w:eastAsia="Calibri" w:hAnsi="Calibri" w:cs="Calibri"/>
          <w:noProof/>
          <w:color w:val="000000"/>
        </w:rPr>
        <w:drawing>
          <wp:anchor distT="114300" distB="114300" distL="114300" distR="114300" simplePos="0" relativeHeight="251670528" behindDoc="0" locked="0" layoutInCell="0" allowOverlap="0" wp14:anchorId="010F4982" wp14:editId="4283A77D">
            <wp:simplePos x="0" y="0"/>
            <wp:positionH relativeFrom="margin">
              <wp:posOffset>3657600</wp:posOffset>
            </wp:positionH>
            <wp:positionV relativeFrom="paragraph">
              <wp:posOffset>836930</wp:posOffset>
            </wp:positionV>
            <wp:extent cx="2520950" cy="2190750"/>
            <wp:effectExtent l="0" t="0" r="0" b="0"/>
            <wp:wrapSquare wrapText="bothSides" distT="114300" distB="114300" distL="114300" distR="114300"/>
            <wp:docPr id="23" name="image07.png" descr="A pie chart showing electricity usage in a typical CSUN Student Housing building. 36% of electricity goes to lighting, 43%% to heating, ventilation and air conditioning, and the last 21% to plug loads."/>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39"/>
                    <a:srcRect/>
                    <a:stretch>
                      <a:fillRect/>
                    </a:stretch>
                  </pic:blipFill>
                  <pic:spPr>
                    <a:xfrm>
                      <a:off x="0" y="0"/>
                      <a:ext cx="2520950" cy="2190750"/>
                    </a:xfrm>
                    <a:prstGeom prst="rect">
                      <a:avLst/>
                    </a:prstGeom>
                    <a:ln/>
                  </pic:spPr>
                </pic:pic>
              </a:graphicData>
            </a:graphic>
          </wp:anchor>
        </w:drawing>
      </w:r>
      <w:r w:rsidR="00D942B4">
        <w:rPr>
          <w:rFonts w:ascii="Calibri" w:eastAsia="Calibri" w:hAnsi="Calibri" w:cs="Calibri"/>
          <w:color w:val="000000"/>
        </w:rPr>
        <w:t xml:space="preserve">Electricity </w:t>
      </w:r>
      <w:r w:rsidR="005B48F0">
        <w:rPr>
          <w:rFonts w:ascii="Calibri" w:hAnsi="Calibri"/>
          <w:color w:val="000000"/>
        </w:rPr>
        <w:t xml:space="preserve">is used in every building on campus. With such a widely used resource, it is important to understand how it is being used. In order to </w:t>
      </w:r>
      <w:r w:rsidR="003570B5">
        <w:rPr>
          <w:rFonts w:ascii="Calibri" w:hAnsi="Calibri"/>
          <w:color w:val="000000"/>
        </w:rPr>
        <w:t>accomplish this</w:t>
      </w:r>
      <w:r w:rsidR="005B48F0">
        <w:rPr>
          <w:rFonts w:ascii="Calibri" w:hAnsi="Calibri"/>
          <w:color w:val="000000"/>
        </w:rPr>
        <w:t xml:space="preserve">, the University </w:t>
      </w:r>
      <w:r w:rsidR="003570B5">
        <w:rPr>
          <w:rFonts w:ascii="Calibri" w:hAnsi="Calibri"/>
          <w:color w:val="000000"/>
        </w:rPr>
        <w:t>developed</w:t>
      </w:r>
      <w:r w:rsidR="005B48F0">
        <w:rPr>
          <w:rFonts w:ascii="Calibri" w:hAnsi="Calibri"/>
          <w:color w:val="000000"/>
        </w:rPr>
        <w:t xml:space="preserve"> a Strategic Energy Plan (SEP) to </w:t>
      </w:r>
      <w:r w:rsidR="003570B5">
        <w:rPr>
          <w:rFonts w:ascii="Calibri" w:hAnsi="Calibri"/>
          <w:color w:val="000000"/>
        </w:rPr>
        <w:t>identify</w:t>
      </w:r>
      <w:r w:rsidR="005B48F0">
        <w:rPr>
          <w:rFonts w:ascii="Calibri" w:hAnsi="Calibri"/>
          <w:color w:val="000000"/>
        </w:rPr>
        <w:t xml:space="preserve"> energy conservation measures associated with the CAP. The SEP evaluated electricity use on </w:t>
      </w:r>
      <w:r w:rsidR="003570B5">
        <w:rPr>
          <w:rFonts w:ascii="Calibri" w:hAnsi="Calibri"/>
          <w:color w:val="000000"/>
        </w:rPr>
        <w:t xml:space="preserve">both the </w:t>
      </w:r>
      <w:r w:rsidR="005B48F0">
        <w:rPr>
          <w:rFonts w:ascii="Calibri" w:hAnsi="Calibri"/>
          <w:color w:val="000000"/>
        </w:rPr>
        <w:t xml:space="preserve">main campus </w:t>
      </w:r>
      <w:r w:rsidR="003570B5">
        <w:rPr>
          <w:rFonts w:ascii="Calibri" w:hAnsi="Calibri"/>
          <w:color w:val="000000"/>
        </w:rPr>
        <w:t>and</w:t>
      </w:r>
      <w:r w:rsidR="005B48F0">
        <w:rPr>
          <w:rFonts w:ascii="Calibri" w:hAnsi="Calibri"/>
          <w:color w:val="000000"/>
        </w:rPr>
        <w:t xml:space="preserve"> housing to determine current efficiencies</w:t>
      </w:r>
      <w:r w:rsidR="003570B5">
        <w:rPr>
          <w:rFonts w:ascii="Calibri" w:hAnsi="Calibri"/>
          <w:color w:val="000000"/>
        </w:rPr>
        <w:t>, identify opportunities for improvement</w:t>
      </w:r>
      <w:r w:rsidR="005B48F0">
        <w:rPr>
          <w:rFonts w:ascii="Calibri" w:hAnsi="Calibri"/>
          <w:color w:val="000000"/>
        </w:rPr>
        <w:t xml:space="preserve">, </w:t>
      </w:r>
      <w:r w:rsidR="003570B5">
        <w:rPr>
          <w:rFonts w:ascii="Calibri" w:hAnsi="Calibri"/>
          <w:color w:val="000000"/>
        </w:rPr>
        <w:t xml:space="preserve">and </w:t>
      </w:r>
      <w:r w:rsidR="005B48F0">
        <w:rPr>
          <w:rFonts w:ascii="Calibri" w:hAnsi="Calibri"/>
          <w:color w:val="000000"/>
        </w:rPr>
        <w:t>list</w:t>
      </w:r>
      <w:r w:rsidR="003570B5">
        <w:rPr>
          <w:rFonts w:ascii="Calibri" w:hAnsi="Calibri"/>
          <w:color w:val="000000"/>
        </w:rPr>
        <w:t xml:space="preserve"> </w:t>
      </w:r>
      <w:r w:rsidR="005B48F0">
        <w:rPr>
          <w:rFonts w:ascii="Calibri" w:hAnsi="Calibri"/>
          <w:color w:val="000000"/>
        </w:rPr>
        <w:t xml:space="preserve">energy efficiency measures </w:t>
      </w:r>
      <w:r w:rsidR="003570B5">
        <w:rPr>
          <w:rFonts w:ascii="Calibri" w:hAnsi="Calibri"/>
          <w:color w:val="000000"/>
        </w:rPr>
        <w:t xml:space="preserve">for </w:t>
      </w:r>
      <w:r w:rsidR="005B48F0">
        <w:rPr>
          <w:rFonts w:ascii="Calibri" w:hAnsi="Calibri"/>
          <w:color w:val="000000"/>
        </w:rPr>
        <w:t>implement</w:t>
      </w:r>
      <w:r w:rsidR="003570B5">
        <w:rPr>
          <w:rFonts w:ascii="Calibri" w:hAnsi="Calibri"/>
          <w:color w:val="000000"/>
        </w:rPr>
        <w:t>ation</w:t>
      </w:r>
      <w:r w:rsidR="005B48F0">
        <w:rPr>
          <w:rFonts w:ascii="Calibri" w:hAnsi="Calibri"/>
          <w:color w:val="000000"/>
        </w:rPr>
        <w:t xml:space="preserve">. The study revealed that on average, 47% of the electricity consumed in campus buildings was from lighting, with HVAC load consuming 32% and plug loads making up the remaining 21%. Student Housing showed a slightly different energy balance with HVAC loads being the largest consumer at 43%, lighting loads at 36% and the remaining 21% from </w:t>
      </w:r>
      <w:r w:rsidR="003570B5">
        <w:rPr>
          <w:rFonts w:ascii="Calibri" w:hAnsi="Calibri"/>
          <w:color w:val="000000"/>
        </w:rPr>
        <w:t>plug-in</w:t>
      </w:r>
      <w:r w:rsidR="005B48F0">
        <w:rPr>
          <w:rFonts w:ascii="Calibri" w:hAnsi="Calibri"/>
          <w:color w:val="000000"/>
        </w:rPr>
        <w:t xml:space="preserve"> loads. This information is crucial in </w:t>
      </w:r>
      <w:r w:rsidR="003570B5">
        <w:rPr>
          <w:rFonts w:ascii="Calibri" w:hAnsi="Calibri"/>
          <w:color w:val="000000"/>
        </w:rPr>
        <w:t>building a</w:t>
      </w:r>
      <w:r w:rsidR="005B48F0">
        <w:rPr>
          <w:rFonts w:ascii="Calibri" w:hAnsi="Calibri"/>
          <w:color w:val="000000"/>
        </w:rPr>
        <w:t xml:space="preserve"> </w:t>
      </w:r>
      <w:r w:rsidR="003570B5">
        <w:rPr>
          <w:rFonts w:ascii="Calibri" w:hAnsi="Calibri"/>
          <w:color w:val="000000"/>
        </w:rPr>
        <w:t xml:space="preserve">strategic </w:t>
      </w:r>
      <w:r w:rsidR="005B48F0">
        <w:rPr>
          <w:rFonts w:ascii="Calibri" w:hAnsi="Calibri"/>
          <w:color w:val="000000"/>
        </w:rPr>
        <w:t xml:space="preserve">plan to </w:t>
      </w:r>
      <w:r w:rsidR="003570B5">
        <w:rPr>
          <w:rFonts w:ascii="Calibri" w:hAnsi="Calibri"/>
          <w:color w:val="000000"/>
        </w:rPr>
        <w:t>for</w:t>
      </w:r>
      <w:r w:rsidR="005B48F0">
        <w:rPr>
          <w:rFonts w:ascii="Calibri" w:hAnsi="Calibri"/>
          <w:color w:val="000000"/>
        </w:rPr>
        <w:t xml:space="preserve"> energy conservation </w:t>
      </w:r>
      <w:r w:rsidR="003570B5">
        <w:rPr>
          <w:rFonts w:ascii="Calibri" w:hAnsi="Calibri"/>
          <w:color w:val="000000"/>
        </w:rPr>
        <w:t xml:space="preserve">and </w:t>
      </w:r>
      <w:r w:rsidR="005B48F0">
        <w:rPr>
          <w:rFonts w:ascii="Calibri" w:hAnsi="Calibri"/>
          <w:color w:val="000000"/>
        </w:rPr>
        <w:t xml:space="preserve">greenhouse gas </w:t>
      </w:r>
      <w:r w:rsidR="003570B5">
        <w:rPr>
          <w:rFonts w:ascii="Calibri" w:hAnsi="Calibri"/>
          <w:color w:val="000000"/>
        </w:rPr>
        <w:t>reductions</w:t>
      </w:r>
      <w:r w:rsidR="005B48F0">
        <w:rPr>
          <w:rFonts w:ascii="Calibri" w:hAnsi="Calibri"/>
          <w:color w:val="000000"/>
        </w:rPr>
        <w:t xml:space="preserve"> in both academic and residential</w:t>
      </w:r>
      <w:r w:rsidR="003570B5">
        <w:rPr>
          <w:rFonts w:ascii="Calibri" w:hAnsi="Calibri"/>
          <w:color w:val="000000"/>
        </w:rPr>
        <w:t xml:space="preserve"> buildings.</w:t>
      </w:r>
    </w:p>
    <w:p w:rsidR="00ED5A06" w:rsidRPr="00ED5A06" w:rsidRDefault="00ED5A06" w:rsidP="00FD0E60">
      <w:pPr>
        <w:rPr>
          <w:rFonts w:ascii="Calibri" w:eastAsia="Calibri" w:hAnsi="Calibri" w:cs="Calibri"/>
          <w:color w:val="000000"/>
        </w:rPr>
      </w:pPr>
    </w:p>
    <w:p w:rsidR="005B48F0" w:rsidRPr="005B48F0" w:rsidRDefault="001D28C4" w:rsidP="00FD0E60">
      <w:pPr>
        <w:rPr>
          <w:rFonts w:ascii="Calibri" w:eastAsia="Calibri" w:hAnsi="Calibri" w:cs="Calibri"/>
          <w:color w:val="000000"/>
        </w:rPr>
      </w:pPr>
      <w:r>
        <w:rPr>
          <w:rFonts w:ascii="Calibri" w:eastAsia="Calibri" w:hAnsi="Calibri" w:cs="Calibri"/>
          <w:color w:val="000000"/>
        </w:rPr>
        <w:t>E</w:t>
      </w:r>
      <w:r w:rsidR="005B48F0" w:rsidRPr="005B48F0">
        <w:rPr>
          <w:rFonts w:ascii="Calibri" w:eastAsia="Calibri" w:hAnsi="Calibri" w:cs="Calibri"/>
          <w:color w:val="000000"/>
        </w:rPr>
        <w:t xml:space="preserve">lectricity is used in a variety of applications to support the normal operations of the campus, including: heating and cooling, lighting, plug loads, EV charging stations, pumps, kitchens, vending machines, refrigerators, labs, etc. While </w:t>
      </w:r>
      <w:r>
        <w:rPr>
          <w:rFonts w:ascii="Calibri" w:eastAsia="Calibri" w:hAnsi="Calibri" w:cs="Calibri"/>
          <w:color w:val="000000"/>
        </w:rPr>
        <w:t xml:space="preserve">both </w:t>
      </w:r>
      <w:r w:rsidR="005B48F0" w:rsidRPr="005B48F0">
        <w:rPr>
          <w:rFonts w:ascii="Calibri" w:eastAsia="Calibri" w:hAnsi="Calibri" w:cs="Calibri"/>
          <w:color w:val="000000"/>
        </w:rPr>
        <w:t xml:space="preserve">water and power </w:t>
      </w:r>
      <w:r>
        <w:rPr>
          <w:rFonts w:ascii="Calibri" w:eastAsia="Calibri" w:hAnsi="Calibri" w:cs="Calibri"/>
          <w:color w:val="000000"/>
        </w:rPr>
        <w:t xml:space="preserve">are </w:t>
      </w:r>
      <w:r w:rsidR="005B48F0" w:rsidRPr="005B48F0">
        <w:rPr>
          <w:rFonts w:ascii="Calibri" w:eastAsia="Calibri" w:hAnsi="Calibri" w:cs="Calibri"/>
          <w:color w:val="000000"/>
        </w:rPr>
        <w:t>provide</w:t>
      </w:r>
      <w:r>
        <w:rPr>
          <w:rFonts w:ascii="Calibri" w:eastAsia="Calibri" w:hAnsi="Calibri" w:cs="Calibri"/>
          <w:color w:val="000000"/>
        </w:rPr>
        <w:t>d to CSUN by</w:t>
      </w:r>
      <w:r w:rsidR="005B48F0" w:rsidRPr="005B48F0">
        <w:rPr>
          <w:rFonts w:ascii="Calibri" w:eastAsia="Calibri" w:hAnsi="Calibri" w:cs="Calibri"/>
          <w:color w:val="000000"/>
        </w:rPr>
        <w:t xml:space="preserve"> LADWP, the campus receives natural gas from two sources, Southern California Gas Company (</w:t>
      </w:r>
      <w:r w:rsidR="009728E6" w:rsidRPr="005B48F0">
        <w:rPr>
          <w:rFonts w:ascii="Calibri" w:eastAsia="Calibri" w:hAnsi="Calibri" w:cs="Calibri"/>
          <w:color w:val="000000"/>
        </w:rPr>
        <w:t>SoCal Gas</w:t>
      </w:r>
      <w:r w:rsidR="005B48F0" w:rsidRPr="005B48F0">
        <w:rPr>
          <w:rFonts w:ascii="Calibri" w:eastAsia="Calibri" w:hAnsi="Calibri" w:cs="Calibri"/>
          <w:color w:val="000000"/>
        </w:rPr>
        <w:t xml:space="preserve">) and Department of General Services. </w:t>
      </w:r>
    </w:p>
    <w:p w:rsidR="00ED5A06" w:rsidRPr="00ED5A06" w:rsidRDefault="00ED5A06" w:rsidP="00DA0AC2">
      <w:pPr>
        <w:spacing w:line="240" w:lineRule="auto"/>
        <w:rPr>
          <w:rFonts w:ascii="Calibri" w:eastAsia="Calibri" w:hAnsi="Calibri" w:cs="Calibri"/>
          <w:color w:val="000000"/>
        </w:rPr>
      </w:pPr>
    </w:p>
    <w:p w:rsidR="005B48F0" w:rsidRPr="005B48F0" w:rsidRDefault="009728E6" w:rsidP="00FD0E60">
      <w:pPr>
        <w:rPr>
          <w:rFonts w:ascii="Calibri" w:eastAsia="Calibri" w:hAnsi="Calibri" w:cs="Calibri"/>
          <w:color w:val="000000"/>
        </w:rPr>
      </w:pPr>
      <w:r w:rsidRPr="005B48F0">
        <w:rPr>
          <w:rFonts w:ascii="Calibri" w:eastAsia="Calibri" w:hAnsi="Calibri" w:cs="Calibri"/>
          <w:color w:val="000000"/>
        </w:rPr>
        <w:t>SoCal Gas</w:t>
      </w:r>
      <w:r w:rsidR="005B48F0" w:rsidRPr="005B48F0">
        <w:rPr>
          <w:rFonts w:ascii="Calibri" w:eastAsia="Calibri" w:hAnsi="Calibri" w:cs="Calibri"/>
          <w:color w:val="000000"/>
        </w:rPr>
        <w:t xml:space="preserve"> provides all of the natural gas that is used in campus buildings, dining facilities, student housing as well as the boilers in the Satellite Plant. Natural gas is not heavily used </w:t>
      </w:r>
      <w:r w:rsidR="001D28C4">
        <w:rPr>
          <w:rFonts w:ascii="Calibri" w:eastAsia="Calibri" w:hAnsi="Calibri" w:cs="Calibri"/>
          <w:color w:val="000000"/>
        </w:rPr>
        <w:t>in</w:t>
      </w:r>
      <w:r w:rsidR="005B48F0" w:rsidRPr="005B48F0">
        <w:rPr>
          <w:rFonts w:ascii="Calibri" w:eastAsia="Calibri" w:hAnsi="Calibri" w:cs="Calibri"/>
          <w:color w:val="000000"/>
        </w:rPr>
        <w:t xml:space="preserve"> academic buildings, but there are </w:t>
      </w:r>
      <w:r w:rsidR="001D28C4">
        <w:rPr>
          <w:rFonts w:ascii="Calibri" w:eastAsia="Calibri" w:hAnsi="Calibri" w:cs="Calibri"/>
          <w:color w:val="000000"/>
        </w:rPr>
        <w:t>some exceptions</w:t>
      </w:r>
      <w:r w:rsidR="005B48F0" w:rsidRPr="005B48F0">
        <w:rPr>
          <w:rFonts w:ascii="Calibri" w:eastAsia="Calibri" w:hAnsi="Calibri" w:cs="Calibri"/>
          <w:color w:val="000000"/>
        </w:rPr>
        <w:t xml:space="preserve">. It is used in laboratory buildings for certain equipment like </w:t>
      </w:r>
      <w:r w:rsidRPr="005B48F0">
        <w:rPr>
          <w:rFonts w:ascii="Calibri" w:eastAsia="Calibri" w:hAnsi="Calibri" w:cs="Calibri"/>
          <w:color w:val="000000"/>
        </w:rPr>
        <w:t>Bunsen</w:t>
      </w:r>
      <w:r w:rsidR="005B48F0" w:rsidRPr="005B48F0">
        <w:rPr>
          <w:rFonts w:ascii="Calibri" w:eastAsia="Calibri" w:hAnsi="Calibri" w:cs="Calibri"/>
          <w:color w:val="000000"/>
        </w:rPr>
        <w:t xml:space="preserve"> burners, the Art and Design Center </w:t>
      </w:r>
      <w:r w:rsidR="001D28C4">
        <w:rPr>
          <w:rFonts w:ascii="Calibri" w:eastAsia="Calibri" w:hAnsi="Calibri" w:cs="Calibri"/>
          <w:color w:val="000000"/>
        </w:rPr>
        <w:t>uses a large k</w:t>
      </w:r>
      <w:r w:rsidR="005B48F0" w:rsidRPr="005B48F0">
        <w:rPr>
          <w:rFonts w:ascii="Calibri" w:eastAsia="Calibri" w:hAnsi="Calibri" w:cs="Calibri"/>
          <w:color w:val="000000"/>
        </w:rPr>
        <w:t xml:space="preserve">iln </w:t>
      </w:r>
      <w:r w:rsidR="001D28C4">
        <w:rPr>
          <w:rFonts w:ascii="Calibri" w:eastAsia="Calibri" w:hAnsi="Calibri" w:cs="Calibri"/>
          <w:color w:val="000000"/>
        </w:rPr>
        <w:t>for firing</w:t>
      </w:r>
      <w:r w:rsidR="005B48F0" w:rsidRPr="005B48F0">
        <w:rPr>
          <w:rFonts w:ascii="Calibri" w:eastAsia="Calibri" w:hAnsi="Calibri" w:cs="Calibri"/>
          <w:color w:val="000000"/>
        </w:rPr>
        <w:t xml:space="preserve"> ceramics and the V</w:t>
      </w:r>
      <w:r w:rsidR="001D28C4">
        <w:rPr>
          <w:rFonts w:ascii="Calibri" w:eastAsia="Calibri" w:hAnsi="Calibri" w:cs="Calibri"/>
          <w:color w:val="000000"/>
        </w:rPr>
        <w:t>alley Performing Arts Center utilizes</w:t>
      </w:r>
      <w:r w:rsidR="005B48F0" w:rsidRPr="005B48F0">
        <w:rPr>
          <w:rFonts w:ascii="Calibri" w:eastAsia="Calibri" w:hAnsi="Calibri" w:cs="Calibri"/>
          <w:color w:val="000000"/>
        </w:rPr>
        <w:t xml:space="preserve"> a gas f</w:t>
      </w:r>
      <w:r w:rsidR="001D28C4">
        <w:rPr>
          <w:rFonts w:ascii="Calibri" w:eastAsia="Calibri" w:hAnsi="Calibri" w:cs="Calibri"/>
          <w:color w:val="000000"/>
        </w:rPr>
        <w:t>ired humidifier. Although the</w:t>
      </w:r>
      <w:r w:rsidR="005B48F0" w:rsidRPr="005B48F0">
        <w:rPr>
          <w:rFonts w:ascii="Calibri" w:eastAsia="Calibri" w:hAnsi="Calibri" w:cs="Calibri"/>
          <w:color w:val="000000"/>
        </w:rPr>
        <w:t xml:space="preserve"> majority of the buildings on campus are </w:t>
      </w:r>
      <w:r w:rsidR="001D28C4">
        <w:rPr>
          <w:rFonts w:ascii="Calibri" w:eastAsia="Calibri" w:hAnsi="Calibri" w:cs="Calibri"/>
          <w:color w:val="000000"/>
        </w:rPr>
        <w:t xml:space="preserve">connected </w:t>
      </w:r>
      <w:r w:rsidR="005B48F0" w:rsidRPr="005B48F0">
        <w:rPr>
          <w:rFonts w:ascii="Calibri" w:eastAsia="Calibri" w:hAnsi="Calibri" w:cs="Calibri"/>
          <w:color w:val="000000"/>
        </w:rPr>
        <w:t xml:space="preserve">on </w:t>
      </w:r>
      <w:r w:rsidR="001D28C4">
        <w:rPr>
          <w:rFonts w:ascii="Calibri" w:eastAsia="Calibri" w:hAnsi="Calibri" w:cs="Calibri"/>
          <w:color w:val="000000"/>
        </w:rPr>
        <w:t>our heated h</w:t>
      </w:r>
      <w:r w:rsidR="005B48F0" w:rsidRPr="005B48F0">
        <w:rPr>
          <w:rFonts w:ascii="Calibri" w:eastAsia="Calibri" w:hAnsi="Calibri" w:cs="Calibri"/>
          <w:color w:val="000000"/>
        </w:rPr>
        <w:t xml:space="preserve">ot </w:t>
      </w:r>
      <w:r w:rsidR="001D28C4">
        <w:rPr>
          <w:rFonts w:ascii="Calibri" w:eastAsia="Calibri" w:hAnsi="Calibri" w:cs="Calibri"/>
          <w:color w:val="000000"/>
        </w:rPr>
        <w:t>w</w:t>
      </w:r>
      <w:r w:rsidR="005B48F0" w:rsidRPr="005B48F0">
        <w:rPr>
          <w:rFonts w:ascii="Calibri" w:eastAsia="Calibri" w:hAnsi="Calibri" w:cs="Calibri"/>
          <w:color w:val="000000"/>
        </w:rPr>
        <w:t xml:space="preserve">ater and </w:t>
      </w:r>
      <w:r w:rsidR="001D28C4">
        <w:rPr>
          <w:rFonts w:ascii="Calibri" w:eastAsia="Calibri" w:hAnsi="Calibri" w:cs="Calibri"/>
          <w:color w:val="000000"/>
        </w:rPr>
        <w:t>c</w:t>
      </w:r>
      <w:r w:rsidR="005B48F0" w:rsidRPr="005B48F0">
        <w:rPr>
          <w:rFonts w:ascii="Calibri" w:eastAsia="Calibri" w:hAnsi="Calibri" w:cs="Calibri"/>
          <w:color w:val="000000"/>
        </w:rPr>
        <w:t xml:space="preserve">hilled </w:t>
      </w:r>
      <w:r w:rsidR="001D28C4">
        <w:rPr>
          <w:rFonts w:ascii="Calibri" w:eastAsia="Calibri" w:hAnsi="Calibri" w:cs="Calibri"/>
          <w:color w:val="000000"/>
        </w:rPr>
        <w:t>w</w:t>
      </w:r>
      <w:r w:rsidR="005B48F0" w:rsidRPr="005B48F0">
        <w:rPr>
          <w:rFonts w:ascii="Calibri" w:eastAsia="Calibri" w:hAnsi="Calibri" w:cs="Calibri"/>
          <w:color w:val="000000"/>
        </w:rPr>
        <w:t xml:space="preserve">ater loop </w:t>
      </w:r>
      <w:r w:rsidR="001D28C4">
        <w:rPr>
          <w:rFonts w:ascii="Calibri" w:eastAsia="Calibri" w:hAnsi="Calibri" w:cs="Calibri"/>
          <w:color w:val="000000"/>
        </w:rPr>
        <w:t>for</w:t>
      </w:r>
      <w:r w:rsidR="005B48F0" w:rsidRPr="005B48F0">
        <w:rPr>
          <w:rFonts w:ascii="Calibri" w:eastAsia="Calibri" w:hAnsi="Calibri" w:cs="Calibri"/>
          <w:color w:val="000000"/>
        </w:rPr>
        <w:t xml:space="preserve"> heating and cooling, there are still several buildings that use natural gas fired boilers for heating </w:t>
      </w:r>
      <w:r w:rsidR="001D28C4">
        <w:rPr>
          <w:rFonts w:ascii="Calibri" w:eastAsia="Calibri" w:hAnsi="Calibri" w:cs="Calibri"/>
          <w:color w:val="000000"/>
        </w:rPr>
        <w:t xml:space="preserve">building space and </w:t>
      </w:r>
      <w:r w:rsidR="005B48F0" w:rsidRPr="005B48F0">
        <w:rPr>
          <w:rFonts w:ascii="Calibri" w:eastAsia="Calibri" w:hAnsi="Calibri" w:cs="Calibri"/>
          <w:color w:val="000000"/>
        </w:rPr>
        <w:t>domestic water for restroom</w:t>
      </w:r>
      <w:r w:rsidR="001D28C4">
        <w:rPr>
          <w:rFonts w:ascii="Calibri" w:eastAsia="Calibri" w:hAnsi="Calibri" w:cs="Calibri"/>
          <w:color w:val="000000"/>
        </w:rPr>
        <w:t>s</w:t>
      </w:r>
      <w:r w:rsidR="005B48F0" w:rsidRPr="005B48F0">
        <w:rPr>
          <w:rFonts w:ascii="Calibri" w:eastAsia="Calibri" w:hAnsi="Calibri" w:cs="Calibri"/>
          <w:color w:val="000000"/>
        </w:rPr>
        <w:t>.  </w:t>
      </w:r>
      <w:r w:rsidR="001D28C4">
        <w:rPr>
          <w:rFonts w:ascii="Calibri" w:eastAsia="Calibri" w:hAnsi="Calibri" w:cs="Calibri"/>
          <w:color w:val="000000"/>
        </w:rPr>
        <w:t xml:space="preserve">The </w:t>
      </w:r>
      <w:r w:rsidR="005B48F0" w:rsidRPr="005B48F0">
        <w:rPr>
          <w:rFonts w:ascii="Calibri" w:eastAsia="Calibri" w:hAnsi="Calibri" w:cs="Calibri"/>
          <w:color w:val="000000"/>
        </w:rPr>
        <w:t>large</w:t>
      </w:r>
      <w:r w:rsidR="001D28C4">
        <w:rPr>
          <w:rFonts w:ascii="Calibri" w:eastAsia="Calibri" w:hAnsi="Calibri" w:cs="Calibri"/>
          <w:color w:val="000000"/>
        </w:rPr>
        <w:t>st</w:t>
      </w:r>
      <w:r w:rsidR="005B48F0" w:rsidRPr="005B48F0">
        <w:rPr>
          <w:rFonts w:ascii="Calibri" w:eastAsia="Calibri" w:hAnsi="Calibri" w:cs="Calibri"/>
          <w:color w:val="000000"/>
        </w:rPr>
        <w:t xml:space="preserve"> consumption of natural gas </w:t>
      </w:r>
      <w:r w:rsidR="001D28C4">
        <w:rPr>
          <w:rFonts w:ascii="Calibri" w:eastAsia="Calibri" w:hAnsi="Calibri" w:cs="Calibri"/>
          <w:color w:val="000000"/>
        </w:rPr>
        <w:t>with</w:t>
      </w:r>
      <w:r w:rsidR="005B48F0" w:rsidRPr="005B48F0">
        <w:rPr>
          <w:rFonts w:ascii="Calibri" w:eastAsia="Calibri" w:hAnsi="Calibri" w:cs="Calibri"/>
          <w:color w:val="000000"/>
        </w:rPr>
        <w:t xml:space="preserve">in campus buildings </w:t>
      </w:r>
      <w:r w:rsidR="001D28C4">
        <w:rPr>
          <w:rFonts w:ascii="Calibri" w:eastAsia="Calibri" w:hAnsi="Calibri" w:cs="Calibri"/>
          <w:color w:val="000000"/>
        </w:rPr>
        <w:t>occurs</w:t>
      </w:r>
      <w:r w:rsidR="005B48F0" w:rsidRPr="005B48F0">
        <w:rPr>
          <w:rFonts w:ascii="Calibri" w:eastAsia="Calibri" w:hAnsi="Calibri" w:cs="Calibri"/>
          <w:color w:val="000000"/>
        </w:rPr>
        <w:t xml:space="preserve"> where there are dining facilities </w:t>
      </w:r>
      <w:r w:rsidR="001D28C4">
        <w:rPr>
          <w:rFonts w:ascii="Calibri" w:eastAsia="Calibri" w:hAnsi="Calibri" w:cs="Calibri"/>
          <w:color w:val="000000"/>
        </w:rPr>
        <w:t>with</w:t>
      </w:r>
      <w:r w:rsidR="005B48F0" w:rsidRPr="005B48F0">
        <w:rPr>
          <w:rFonts w:ascii="Calibri" w:eastAsia="Calibri" w:hAnsi="Calibri" w:cs="Calibri"/>
          <w:color w:val="000000"/>
        </w:rPr>
        <w:t xml:space="preserve"> kitchens</w:t>
      </w:r>
      <w:r w:rsidR="009F6101">
        <w:rPr>
          <w:rFonts w:ascii="Calibri" w:eastAsia="Calibri" w:hAnsi="Calibri" w:cs="Calibri"/>
          <w:color w:val="000000"/>
        </w:rPr>
        <w:t xml:space="preserve"> that include</w:t>
      </w:r>
      <w:r w:rsidR="005B48F0" w:rsidRPr="005B48F0">
        <w:rPr>
          <w:rFonts w:ascii="Calibri" w:eastAsia="Calibri" w:hAnsi="Calibri" w:cs="Calibri"/>
          <w:color w:val="000000"/>
        </w:rPr>
        <w:t xml:space="preserve"> cooking equipment. Student housing is also a large consumer of natural gas, with the primary use being to h</w:t>
      </w:r>
      <w:r w:rsidR="009F6101">
        <w:rPr>
          <w:rFonts w:ascii="Calibri" w:eastAsia="Calibri" w:hAnsi="Calibri" w:cs="Calibri"/>
          <w:color w:val="000000"/>
        </w:rPr>
        <w:t>eat</w:t>
      </w:r>
      <w:r w:rsidR="005B48F0" w:rsidRPr="005B48F0">
        <w:rPr>
          <w:rFonts w:ascii="Calibri" w:eastAsia="Calibri" w:hAnsi="Calibri" w:cs="Calibri"/>
          <w:color w:val="000000"/>
        </w:rPr>
        <w:t xml:space="preserve"> water for showers and sinks. </w:t>
      </w:r>
    </w:p>
    <w:p w:rsidR="005B48F0" w:rsidRPr="005B48F0" w:rsidRDefault="005B48F0" w:rsidP="00FD0E60">
      <w:pPr>
        <w:rPr>
          <w:rFonts w:ascii="Calibri" w:eastAsia="Calibri" w:hAnsi="Calibri" w:cs="Calibri"/>
          <w:color w:val="000000"/>
        </w:rPr>
      </w:pPr>
    </w:p>
    <w:p w:rsidR="005B48F0" w:rsidRPr="005B48F0" w:rsidRDefault="005B48F0" w:rsidP="00FD0E60">
      <w:pPr>
        <w:rPr>
          <w:rFonts w:ascii="Calibri" w:eastAsia="Calibri" w:hAnsi="Calibri" w:cs="Calibri"/>
          <w:color w:val="000000"/>
        </w:rPr>
      </w:pPr>
      <w:r w:rsidRPr="005B48F0">
        <w:rPr>
          <w:rFonts w:ascii="Calibri" w:eastAsia="Calibri" w:hAnsi="Calibri" w:cs="Calibri"/>
          <w:color w:val="000000"/>
        </w:rPr>
        <w:t xml:space="preserve">Department of General Services provides the natural gas for the </w:t>
      </w:r>
      <w:r w:rsidR="009F6101">
        <w:rPr>
          <w:rFonts w:ascii="Calibri" w:eastAsia="Calibri" w:hAnsi="Calibri" w:cs="Calibri"/>
          <w:color w:val="000000"/>
        </w:rPr>
        <w:t xml:space="preserve">larger-scale </w:t>
      </w:r>
      <w:r w:rsidRPr="005B48F0">
        <w:rPr>
          <w:rFonts w:ascii="Calibri" w:eastAsia="Calibri" w:hAnsi="Calibri" w:cs="Calibri"/>
          <w:color w:val="000000"/>
        </w:rPr>
        <w:t xml:space="preserve">utility type operations including the Central Plant and Fuel Cell. The Central Plant consumes over 400,000 </w:t>
      </w:r>
      <w:proofErr w:type="spellStart"/>
      <w:r w:rsidRPr="005B48F0">
        <w:rPr>
          <w:rFonts w:ascii="Calibri" w:eastAsia="Calibri" w:hAnsi="Calibri" w:cs="Calibri"/>
          <w:color w:val="000000"/>
        </w:rPr>
        <w:t>therms</w:t>
      </w:r>
      <w:proofErr w:type="spellEnd"/>
      <w:r w:rsidRPr="005B48F0">
        <w:rPr>
          <w:rFonts w:ascii="Calibri" w:eastAsia="Calibri" w:hAnsi="Calibri" w:cs="Calibri"/>
          <w:color w:val="000000"/>
        </w:rPr>
        <w:t xml:space="preserve"> of natural gas annually to produce heated water for the hot water loop</w:t>
      </w:r>
      <w:r w:rsidR="009F6101">
        <w:rPr>
          <w:rFonts w:ascii="Calibri" w:eastAsia="Calibri" w:hAnsi="Calibri" w:cs="Calibri"/>
          <w:color w:val="000000"/>
        </w:rPr>
        <w:t xml:space="preserve"> used to heat most campus buildings. The f</w:t>
      </w:r>
      <w:r w:rsidRPr="005B48F0">
        <w:rPr>
          <w:rFonts w:ascii="Calibri" w:eastAsia="Calibri" w:hAnsi="Calibri" w:cs="Calibri"/>
          <w:color w:val="000000"/>
        </w:rPr>
        <w:t xml:space="preserve">uel </w:t>
      </w:r>
      <w:r w:rsidR="009F6101">
        <w:rPr>
          <w:rFonts w:ascii="Calibri" w:eastAsia="Calibri" w:hAnsi="Calibri" w:cs="Calibri"/>
          <w:color w:val="000000"/>
        </w:rPr>
        <w:t>c</w:t>
      </w:r>
      <w:r w:rsidRPr="005B48F0">
        <w:rPr>
          <w:rFonts w:ascii="Calibri" w:eastAsia="Calibri" w:hAnsi="Calibri" w:cs="Calibri"/>
          <w:color w:val="000000"/>
        </w:rPr>
        <w:t xml:space="preserve">ell consumes 770,000 </w:t>
      </w:r>
      <w:proofErr w:type="spellStart"/>
      <w:r w:rsidRPr="005B48F0">
        <w:rPr>
          <w:rFonts w:ascii="Calibri" w:eastAsia="Calibri" w:hAnsi="Calibri" w:cs="Calibri"/>
          <w:color w:val="000000"/>
        </w:rPr>
        <w:t>therms</w:t>
      </w:r>
      <w:proofErr w:type="spellEnd"/>
      <w:r w:rsidRPr="005B48F0">
        <w:rPr>
          <w:rFonts w:ascii="Calibri" w:eastAsia="Calibri" w:hAnsi="Calibri" w:cs="Calibri"/>
          <w:color w:val="000000"/>
        </w:rPr>
        <w:t xml:space="preserve"> of natural gas annually </w:t>
      </w:r>
      <w:r w:rsidR="009F6101">
        <w:rPr>
          <w:rFonts w:ascii="Calibri" w:eastAsia="Calibri" w:hAnsi="Calibri" w:cs="Calibri"/>
          <w:color w:val="000000"/>
        </w:rPr>
        <w:t>in</w:t>
      </w:r>
      <w:r w:rsidRPr="005B48F0">
        <w:rPr>
          <w:rFonts w:ascii="Calibri" w:eastAsia="Calibri" w:hAnsi="Calibri" w:cs="Calibri"/>
          <w:color w:val="000000"/>
        </w:rPr>
        <w:t xml:space="preserve"> produc</w:t>
      </w:r>
      <w:r w:rsidR="009F6101">
        <w:rPr>
          <w:rFonts w:ascii="Calibri" w:eastAsia="Calibri" w:hAnsi="Calibri" w:cs="Calibri"/>
          <w:color w:val="000000"/>
        </w:rPr>
        <w:t>ing over 7.7 million</w:t>
      </w:r>
      <w:r w:rsidRPr="005B48F0">
        <w:rPr>
          <w:rFonts w:ascii="Calibri" w:eastAsia="Calibri" w:hAnsi="Calibri" w:cs="Calibri"/>
          <w:color w:val="000000"/>
        </w:rPr>
        <w:t xml:space="preserve"> kWh</w:t>
      </w:r>
      <w:r w:rsidR="009F6101">
        <w:rPr>
          <w:rFonts w:ascii="Calibri" w:eastAsia="Calibri" w:hAnsi="Calibri" w:cs="Calibri"/>
          <w:color w:val="000000"/>
        </w:rPr>
        <w:t xml:space="preserve"> of electricity. The f</w:t>
      </w:r>
      <w:r w:rsidRPr="005B48F0">
        <w:rPr>
          <w:rFonts w:ascii="Calibri" w:eastAsia="Calibri" w:hAnsi="Calibri" w:cs="Calibri"/>
          <w:color w:val="000000"/>
        </w:rPr>
        <w:t xml:space="preserve">uel </w:t>
      </w:r>
      <w:r w:rsidR="009F6101">
        <w:rPr>
          <w:rFonts w:ascii="Calibri" w:eastAsia="Calibri" w:hAnsi="Calibri" w:cs="Calibri"/>
          <w:color w:val="000000"/>
        </w:rPr>
        <w:t>c</w:t>
      </w:r>
      <w:r w:rsidRPr="005B48F0">
        <w:rPr>
          <w:rFonts w:ascii="Calibri" w:eastAsia="Calibri" w:hAnsi="Calibri" w:cs="Calibri"/>
          <w:color w:val="000000"/>
        </w:rPr>
        <w:t>ell</w:t>
      </w:r>
      <w:r w:rsidR="009F6101">
        <w:rPr>
          <w:rFonts w:ascii="Calibri" w:eastAsia="Calibri" w:hAnsi="Calibri" w:cs="Calibri"/>
          <w:color w:val="000000"/>
        </w:rPr>
        <w:t>’s</w:t>
      </w:r>
      <w:r w:rsidRPr="005B48F0">
        <w:rPr>
          <w:rFonts w:ascii="Calibri" w:eastAsia="Calibri" w:hAnsi="Calibri" w:cs="Calibri"/>
          <w:color w:val="000000"/>
        </w:rPr>
        <w:t xml:space="preserve"> waste heat is recovered </w:t>
      </w:r>
      <w:r w:rsidR="009F6101">
        <w:rPr>
          <w:rFonts w:ascii="Calibri" w:eastAsia="Calibri" w:hAnsi="Calibri" w:cs="Calibri"/>
          <w:color w:val="000000"/>
        </w:rPr>
        <w:t>and fed into the</w:t>
      </w:r>
      <w:r w:rsidRPr="005B48F0">
        <w:rPr>
          <w:rFonts w:ascii="Calibri" w:eastAsia="Calibri" w:hAnsi="Calibri" w:cs="Calibri"/>
          <w:color w:val="000000"/>
        </w:rPr>
        <w:t xml:space="preserve"> hot water loop. These two </w:t>
      </w:r>
      <w:r w:rsidR="009F6101">
        <w:rPr>
          <w:rFonts w:ascii="Calibri" w:eastAsia="Calibri" w:hAnsi="Calibri" w:cs="Calibri"/>
          <w:color w:val="000000"/>
        </w:rPr>
        <w:t>entities account for the</w:t>
      </w:r>
      <w:r w:rsidRPr="005B48F0">
        <w:rPr>
          <w:rFonts w:ascii="Calibri" w:eastAsia="Calibri" w:hAnsi="Calibri" w:cs="Calibri"/>
          <w:color w:val="000000"/>
        </w:rPr>
        <w:t xml:space="preserve"> majority of natural gas consumed on an annual basis. </w:t>
      </w:r>
    </w:p>
    <w:p w:rsidR="005B48F0" w:rsidRPr="005B48F0" w:rsidRDefault="005B48F0" w:rsidP="00FD0E60">
      <w:pPr>
        <w:rPr>
          <w:rFonts w:ascii="Calibri" w:eastAsia="Calibri" w:hAnsi="Calibri" w:cs="Calibri"/>
          <w:color w:val="000000"/>
        </w:rPr>
      </w:pPr>
    </w:p>
    <w:p w:rsidR="005B48F0" w:rsidRPr="005B48F0" w:rsidRDefault="009F6101" w:rsidP="00FD0E60">
      <w:pPr>
        <w:rPr>
          <w:rFonts w:ascii="Calibri" w:eastAsia="Calibri" w:hAnsi="Calibri" w:cs="Calibri"/>
          <w:color w:val="000000"/>
        </w:rPr>
      </w:pPr>
      <w:r>
        <w:rPr>
          <w:rFonts w:ascii="Calibri" w:eastAsia="Calibri" w:hAnsi="Calibri" w:cs="Calibri"/>
          <w:color w:val="000000"/>
        </w:rPr>
        <w:t>In</w:t>
      </w:r>
      <w:r w:rsidR="005B48F0" w:rsidRPr="005B48F0">
        <w:rPr>
          <w:rFonts w:ascii="Calibri" w:eastAsia="Calibri" w:hAnsi="Calibri" w:cs="Calibri"/>
          <w:color w:val="000000"/>
        </w:rPr>
        <w:t xml:space="preserve"> planning future projects to</w:t>
      </w:r>
      <w:r>
        <w:rPr>
          <w:rFonts w:ascii="Calibri" w:eastAsia="Calibri" w:hAnsi="Calibri" w:cs="Calibri"/>
          <w:color w:val="000000"/>
        </w:rPr>
        <w:t>wards</w:t>
      </w:r>
      <w:r w:rsidR="005B48F0" w:rsidRPr="005B48F0">
        <w:rPr>
          <w:rFonts w:ascii="Calibri" w:eastAsia="Calibri" w:hAnsi="Calibri" w:cs="Calibri"/>
          <w:color w:val="000000"/>
        </w:rPr>
        <w:t xml:space="preserve"> climate neutrality, it is </w:t>
      </w:r>
      <w:r w:rsidR="00D16FBC">
        <w:rPr>
          <w:rFonts w:ascii="Calibri" w:eastAsia="Calibri" w:hAnsi="Calibri" w:cs="Calibri"/>
          <w:color w:val="000000"/>
        </w:rPr>
        <w:t>useful</w:t>
      </w:r>
      <w:r w:rsidR="005B48F0" w:rsidRPr="005B48F0">
        <w:rPr>
          <w:rFonts w:ascii="Calibri" w:eastAsia="Calibri" w:hAnsi="Calibri" w:cs="Calibri"/>
          <w:color w:val="000000"/>
        </w:rPr>
        <w:t xml:space="preserve"> to </w:t>
      </w:r>
      <w:r w:rsidR="00D16FBC">
        <w:rPr>
          <w:rFonts w:ascii="Calibri" w:eastAsia="Calibri" w:hAnsi="Calibri" w:cs="Calibri"/>
          <w:color w:val="000000"/>
        </w:rPr>
        <w:t>understand and rec</w:t>
      </w:r>
      <w:r w:rsidR="005B48F0" w:rsidRPr="005B48F0">
        <w:rPr>
          <w:rFonts w:ascii="Calibri" w:eastAsia="Calibri" w:hAnsi="Calibri" w:cs="Calibri"/>
          <w:color w:val="000000"/>
        </w:rPr>
        <w:t xml:space="preserve">ognize the </w:t>
      </w:r>
      <w:r w:rsidR="00D16FBC">
        <w:rPr>
          <w:rFonts w:ascii="Calibri" w:eastAsia="Calibri" w:hAnsi="Calibri" w:cs="Calibri"/>
          <w:color w:val="000000"/>
        </w:rPr>
        <w:t xml:space="preserve">energy-reduction </w:t>
      </w:r>
      <w:r w:rsidR="005B48F0" w:rsidRPr="005B48F0">
        <w:rPr>
          <w:rFonts w:ascii="Calibri" w:eastAsia="Calibri" w:hAnsi="Calibri" w:cs="Calibri"/>
          <w:color w:val="000000"/>
        </w:rPr>
        <w:t xml:space="preserve">initiatives and accomplishments to-date. </w:t>
      </w:r>
      <w:r w:rsidR="00D16FBC">
        <w:rPr>
          <w:rFonts w:ascii="Calibri" w:eastAsia="Calibri" w:hAnsi="Calibri" w:cs="Calibri"/>
          <w:color w:val="000000"/>
        </w:rPr>
        <w:t>C</w:t>
      </w:r>
      <w:r w:rsidR="005B48F0" w:rsidRPr="005B48F0">
        <w:rPr>
          <w:rFonts w:ascii="Calibri" w:eastAsia="Calibri" w:hAnsi="Calibri" w:cs="Calibri"/>
          <w:color w:val="000000"/>
        </w:rPr>
        <w:t>ompleted within the last 5 years:</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Education Administration Building air handler replacement</w:t>
      </w:r>
    </w:p>
    <w:p w:rsidR="005B48F0" w:rsidRPr="005B48F0" w:rsidRDefault="00D16FBC" w:rsidP="00FD0E60">
      <w:pPr>
        <w:numPr>
          <w:ilvl w:val="0"/>
          <w:numId w:val="11"/>
        </w:numPr>
        <w:rPr>
          <w:rFonts w:ascii="Calibri" w:eastAsia="Calibri" w:hAnsi="Calibri" w:cs="Calibri"/>
          <w:color w:val="000000"/>
        </w:rPr>
      </w:pPr>
      <w:proofErr w:type="spellStart"/>
      <w:r>
        <w:rPr>
          <w:rFonts w:ascii="Calibri" w:eastAsia="Calibri" w:hAnsi="Calibri" w:cs="Calibri"/>
          <w:color w:val="000000"/>
        </w:rPr>
        <w:t>Nordhoff</w:t>
      </w:r>
      <w:proofErr w:type="spellEnd"/>
      <w:r>
        <w:rPr>
          <w:rFonts w:ascii="Calibri" w:eastAsia="Calibri" w:hAnsi="Calibri" w:cs="Calibri"/>
          <w:color w:val="000000"/>
        </w:rPr>
        <w:t xml:space="preserve"> Hall five</w:t>
      </w:r>
      <w:r w:rsidR="005B48F0" w:rsidRPr="005B48F0">
        <w:rPr>
          <w:rFonts w:ascii="Calibri" w:eastAsia="Calibri" w:hAnsi="Calibri" w:cs="Calibri"/>
          <w:color w:val="000000"/>
        </w:rPr>
        <w:t xml:space="preserve"> air handlers replaced</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Lowered HHW loop temperature set</w:t>
      </w:r>
      <w:r w:rsidR="00404CE2">
        <w:rPr>
          <w:rFonts w:ascii="Calibri" w:eastAsia="Calibri" w:hAnsi="Calibri" w:cs="Calibri"/>
          <w:color w:val="000000"/>
        </w:rPr>
        <w:t>-</w:t>
      </w:r>
      <w:r w:rsidRPr="005B48F0">
        <w:rPr>
          <w:rFonts w:ascii="Calibri" w:eastAsia="Calibri" w:hAnsi="Calibri" w:cs="Calibri"/>
          <w:color w:val="000000"/>
        </w:rPr>
        <w:t>point per as part of the Central Plant retro commissioning recommendations</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Central Plant boiler replacement, including installation of smaller boilers at both the Central and Satellite Plants to allow for more efficient operations</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 xml:space="preserve">Chilled water temperature </w:t>
      </w:r>
      <w:r w:rsidR="00404CE2">
        <w:rPr>
          <w:rFonts w:ascii="Calibri" w:eastAsia="Calibri" w:hAnsi="Calibri" w:cs="Calibri"/>
          <w:color w:val="000000"/>
        </w:rPr>
        <w:t>set-point</w:t>
      </w:r>
      <w:r w:rsidRPr="005B48F0">
        <w:rPr>
          <w:rFonts w:ascii="Calibri" w:eastAsia="Calibri" w:hAnsi="Calibri" w:cs="Calibri"/>
          <w:color w:val="000000"/>
        </w:rPr>
        <w:t xml:space="preserve"> reset at the Satellite Plant as recommended by retro commissioning</w:t>
      </w:r>
    </w:p>
    <w:p w:rsidR="005B48F0" w:rsidRPr="005B48F0" w:rsidRDefault="00D16FBC" w:rsidP="00FD0E60">
      <w:pPr>
        <w:numPr>
          <w:ilvl w:val="0"/>
          <w:numId w:val="11"/>
        </w:numPr>
        <w:rPr>
          <w:rFonts w:ascii="Calibri" w:eastAsia="Calibri" w:hAnsi="Calibri" w:cs="Calibri"/>
          <w:color w:val="000000"/>
        </w:rPr>
      </w:pPr>
      <w:r>
        <w:rPr>
          <w:rFonts w:ascii="Calibri" w:eastAsia="Calibri" w:hAnsi="Calibri" w:cs="Calibri"/>
          <w:color w:val="000000"/>
        </w:rPr>
        <w:t>Eighty-nine</w:t>
      </w:r>
      <w:r w:rsidR="005B48F0" w:rsidRPr="005B48F0">
        <w:rPr>
          <w:rFonts w:ascii="Calibri" w:eastAsia="Calibri" w:hAnsi="Calibri" w:cs="Calibri"/>
          <w:color w:val="000000"/>
        </w:rPr>
        <w:t xml:space="preserve"> outdated and inefficient refrigerators replaced with </w:t>
      </w:r>
      <w:proofErr w:type="spellStart"/>
      <w:r w:rsidR="005B48F0" w:rsidRPr="005B48F0">
        <w:rPr>
          <w:rFonts w:ascii="Calibri" w:eastAsia="Calibri" w:hAnsi="Calibri" w:cs="Calibri"/>
          <w:color w:val="000000"/>
        </w:rPr>
        <w:t>EnergyStar</w:t>
      </w:r>
      <w:proofErr w:type="spellEnd"/>
      <w:r w:rsidR="005B48F0" w:rsidRPr="005B48F0">
        <w:rPr>
          <w:rFonts w:ascii="Calibri" w:eastAsia="Calibri" w:hAnsi="Calibri" w:cs="Calibri"/>
          <w:color w:val="000000"/>
        </w:rPr>
        <w:t xml:space="preserve"> rated units campus wide</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Redwood Hall fan replacement with a fan wall allowing for considerable reduction in fan energy</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 xml:space="preserve">Chilled water delta pressure </w:t>
      </w:r>
      <w:r w:rsidR="00404CE2">
        <w:rPr>
          <w:rFonts w:ascii="Calibri" w:eastAsia="Calibri" w:hAnsi="Calibri" w:cs="Calibri"/>
          <w:color w:val="000000"/>
        </w:rPr>
        <w:t>set-point</w:t>
      </w:r>
      <w:r w:rsidRPr="005B48F0">
        <w:rPr>
          <w:rFonts w:ascii="Calibri" w:eastAsia="Calibri" w:hAnsi="Calibri" w:cs="Calibri"/>
          <w:color w:val="000000"/>
        </w:rPr>
        <w:t xml:space="preserve"> reset based on the most open valve on campus as recommended by retro commissioning</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Static pressure reset in PPM based on the most open damper</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University Hall Enlighted Lighting Controls pilot project</w:t>
      </w:r>
    </w:p>
    <w:p w:rsidR="005B48F0" w:rsidRPr="005B48F0" w:rsidRDefault="005B48F0" w:rsidP="00FD0E60">
      <w:pPr>
        <w:numPr>
          <w:ilvl w:val="0"/>
          <w:numId w:val="11"/>
        </w:numPr>
        <w:rPr>
          <w:rFonts w:ascii="Calibri" w:eastAsia="Calibri" w:hAnsi="Calibri" w:cs="Calibri"/>
          <w:color w:val="000000"/>
        </w:rPr>
      </w:pPr>
      <w:r w:rsidRPr="005B48F0">
        <w:rPr>
          <w:rFonts w:ascii="Calibri" w:eastAsia="Calibri" w:hAnsi="Calibri" w:cs="Calibri"/>
          <w:color w:val="000000"/>
        </w:rPr>
        <w:t>University Hall UV limiting window film was added</w:t>
      </w:r>
    </w:p>
    <w:p w:rsidR="005B48F0" w:rsidRPr="005B48F0" w:rsidRDefault="00D16FBC" w:rsidP="00FD0E60">
      <w:pPr>
        <w:numPr>
          <w:ilvl w:val="0"/>
          <w:numId w:val="11"/>
        </w:numPr>
        <w:rPr>
          <w:rFonts w:ascii="Calibri" w:eastAsia="Calibri" w:hAnsi="Calibri" w:cs="Calibri"/>
          <w:color w:val="000000"/>
        </w:rPr>
      </w:pPr>
      <w:r>
        <w:rPr>
          <w:rFonts w:ascii="Calibri" w:eastAsia="Calibri" w:hAnsi="Calibri" w:cs="Calibri"/>
          <w:color w:val="000000"/>
        </w:rPr>
        <w:t>A hundred and fifty</w:t>
      </w:r>
      <w:r w:rsidR="005B48F0" w:rsidRPr="005B48F0">
        <w:rPr>
          <w:rFonts w:ascii="Calibri" w:eastAsia="Calibri" w:hAnsi="Calibri" w:cs="Calibri"/>
          <w:color w:val="000000"/>
        </w:rPr>
        <w:t xml:space="preserve"> street and walkway lights were replaced with LED units</w:t>
      </w:r>
    </w:p>
    <w:p w:rsidR="002B73E2" w:rsidRDefault="002B73E2" w:rsidP="00FD0E60">
      <w:pPr>
        <w:rPr>
          <w:rFonts w:ascii="Calibri" w:eastAsia="Calibri" w:hAnsi="Calibri" w:cs="Calibri"/>
          <w:b/>
          <w:color w:val="000000"/>
        </w:rPr>
      </w:pPr>
    </w:p>
    <w:p w:rsidR="00ED5A06" w:rsidRPr="00ED5A06" w:rsidRDefault="00ED5A06" w:rsidP="00FD0E60">
      <w:pPr>
        <w:rPr>
          <w:rFonts w:ascii="Calibri" w:eastAsia="Calibri" w:hAnsi="Calibri" w:cs="Calibri"/>
          <w:color w:val="000000"/>
        </w:rPr>
      </w:pPr>
      <w:r w:rsidRPr="00ED5A06">
        <w:rPr>
          <w:rFonts w:ascii="Calibri" w:eastAsia="Calibri" w:hAnsi="Calibri" w:cs="Calibri"/>
          <w:b/>
          <w:color w:val="000000"/>
        </w:rPr>
        <w:t>Strategies</w:t>
      </w:r>
    </w:p>
    <w:p w:rsidR="00ED5A06" w:rsidRPr="00ED5A06" w:rsidRDefault="00E505F2" w:rsidP="00FD0E60">
      <w:pPr>
        <w:rPr>
          <w:rFonts w:ascii="Calibri" w:eastAsia="Calibri" w:hAnsi="Calibri" w:cs="Calibri"/>
          <w:color w:val="000000"/>
        </w:rPr>
      </w:pPr>
      <w:r>
        <w:rPr>
          <w:rFonts w:ascii="Calibri" w:eastAsia="Calibri" w:hAnsi="Calibri" w:cs="Calibri"/>
          <w:color w:val="000000"/>
        </w:rPr>
        <w:t>The following lists potential energy-conservation strategies to be implemented and their estimated energy and emission savings, costs and payback times based on the SEP.</w:t>
      </w:r>
    </w:p>
    <w:p w:rsidR="00ED5A06" w:rsidRDefault="00ED5A06" w:rsidP="00DA0AC2">
      <w:pPr>
        <w:spacing w:line="240" w:lineRule="auto"/>
        <w:rPr>
          <w:rFonts w:ascii="Calibri" w:eastAsia="Calibri" w:hAnsi="Calibri" w:cs="Calibri"/>
          <w:color w:val="000000"/>
        </w:rPr>
      </w:pPr>
    </w:p>
    <w:tbl>
      <w:tblPr>
        <w:tblW w:w="9033" w:type="dxa"/>
        <w:tblInd w:w="93" w:type="dxa"/>
        <w:tblLayout w:type="fixed"/>
        <w:tblLook w:val="04A0" w:firstRow="1" w:lastRow="0" w:firstColumn="1" w:lastColumn="0" w:noHBand="0" w:noVBand="1"/>
      </w:tblPr>
      <w:tblGrid>
        <w:gridCol w:w="15"/>
        <w:gridCol w:w="3600"/>
        <w:gridCol w:w="3960"/>
        <w:gridCol w:w="1440"/>
        <w:gridCol w:w="18"/>
      </w:tblGrid>
      <w:tr w:rsidR="00F636FC" w:rsidRPr="00F636FC" w:rsidTr="00F636FC">
        <w:trPr>
          <w:gridAfter w:val="1"/>
          <w:wAfter w:w="18" w:type="dxa"/>
          <w:trHeight w:val="1200"/>
        </w:trPr>
        <w:tc>
          <w:tcPr>
            <w:tcW w:w="361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636FC" w:rsidRPr="00F636FC" w:rsidRDefault="00F636FC" w:rsidP="00DA0AC2">
            <w:pPr>
              <w:spacing w:line="240" w:lineRule="auto"/>
              <w:rPr>
                <w:rFonts w:ascii="Calibri" w:eastAsia="Times New Roman" w:hAnsi="Calibri" w:cs="Times New Roman"/>
                <w:b/>
                <w:bCs/>
                <w:color w:val="000000"/>
              </w:rPr>
            </w:pPr>
            <w:r w:rsidRPr="00F636FC">
              <w:rPr>
                <w:rFonts w:ascii="Calibri" w:eastAsia="Times New Roman" w:hAnsi="Calibri" w:cs="Times New Roman"/>
                <w:b/>
                <w:bCs/>
                <w:color w:val="000000"/>
              </w:rPr>
              <w:t>Strategy</w:t>
            </w:r>
          </w:p>
        </w:tc>
        <w:tc>
          <w:tcPr>
            <w:tcW w:w="3960" w:type="dxa"/>
            <w:tcBorders>
              <w:top w:val="single" w:sz="4" w:space="0" w:color="auto"/>
              <w:left w:val="nil"/>
              <w:bottom w:val="single" w:sz="4" w:space="0" w:color="auto"/>
              <w:right w:val="single" w:sz="4" w:space="0" w:color="auto"/>
            </w:tcBorders>
            <w:shd w:val="clear" w:color="auto" w:fill="auto"/>
            <w:vAlign w:val="center"/>
            <w:hideMark/>
          </w:tcPr>
          <w:p w:rsidR="00F636FC" w:rsidRPr="00F636FC" w:rsidRDefault="00F636FC" w:rsidP="00DA0AC2">
            <w:pPr>
              <w:spacing w:line="240" w:lineRule="auto"/>
              <w:rPr>
                <w:rFonts w:ascii="Calibri" w:eastAsia="Times New Roman" w:hAnsi="Calibri" w:cs="Times New Roman"/>
                <w:b/>
                <w:bCs/>
                <w:color w:val="000000"/>
              </w:rPr>
            </w:pPr>
            <w:r w:rsidRPr="00F636FC">
              <w:rPr>
                <w:rFonts w:ascii="Calibri" w:eastAsia="Times New Roman" w:hAnsi="Calibri" w:cs="Times New Roman"/>
                <w:b/>
                <w:bCs/>
                <w:color w:val="000000"/>
              </w:rPr>
              <w:t xml:space="preserve">Potential Energy Savings </w:t>
            </w:r>
          </w:p>
        </w:tc>
        <w:tc>
          <w:tcPr>
            <w:tcW w:w="1440" w:type="dxa"/>
            <w:tcBorders>
              <w:top w:val="single" w:sz="4" w:space="0" w:color="auto"/>
              <w:left w:val="nil"/>
              <w:bottom w:val="single" w:sz="4" w:space="0" w:color="auto"/>
              <w:right w:val="single" w:sz="4" w:space="0" w:color="auto"/>
            </w:tcBorders>
            <w:shd w:val="clear" w:color="auto" w:fill="auto"/>
            <w:vAlign w:val="center"/>
            <w:hideMark/>
          </w:tcPr>
          <w:p w:rsidR="00F636FC" w:rsidRPr="00F636FC" w:rsidRDefault="00F636FC" w:rsidP="00DA0AC2">
            <w:pPr>
              <w:spacing w:line="240" w:lineRule="auto"/>
              <w:rPr>
                <w:rFonts w:ascii="Calibri" w:eastAsia="Times New Roman" w:hAnsi="Calibri" w:cs="Times New Roman"/>
                <w:b/>
                <w:bCs/>
                <w:color w:val="000000"/>
              </w:rPr>
            </w:pPr>
            <w:r w:rsidRPr="00F636FC">
              <w:rPr>
                <w:rFonts w:ascii="Calibri" w:eastAsia="Times New Roman" w:hAnsi="Calibri" w:cs="Times New Roman"/>
                <w:b/>
                <w:bCs/>
                <w:color w:val="000000"/>
              </w:rPr>
              <w:t>Estimated Project cost (one-time and ongoing)</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 </w:t>
            </w:r>
            <w:r w:rsidR="00F636FC" w:rsidRPr="00F636FC">
              <w:rPr>
                <w:rFonts w:ascii="Calibri" w:eastAsia="Times New Roman" w:hAnsi="Calibri" w:cs="Times New Roman"/>
                <w:color w:val="000000"/>
              </w:rPr>
              <w:t>LED lighting for interior spaces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6,313,835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rPr>
                <w:rFonts w:ascii="Calibri" w:eastAsia="Times New Roman" w:hAnsi="Calibri" w:cs="Times New Roman"/>
                <w:color w:val="000000"/>
              </w:rPr>
            </w:pPr>
            <w:r w:rsidRPr="00F636FC">
              <w:rPr>
                <w:rFonts w:ascii="Calibri" w:eastAsia="Times New Roman" w:hAnsi="Calibri" w:cs="Times New Roman"/>
                <w:color w:val="000000"/>
              </w:rPr>
              <w:t xml:space="preserve"> </w:t>
            </w:r>
            <w:r w:rsidR="00703007" w:rsidRPr="00703007">
              <w:rPr>
                <w:rFonts w:ascii="Calibri" w:eastAsia="Times New Roman" w:hAnsi="Calibri" w:cs="Times New Roman"/>
                <w:color w:val="000000"/>
              </w:rPr>
              <w:t>$24,983,364</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2. </w:t>
            </w:r>
            <w:r w:rsidR="00F636FC" w:rsidRPr="00F636FC">
              <w:rPr>
                <w:rFonts w:ascii="Calibri" w:eastAsia="Times New Roman" w:hAnsi="Calibri" w:cs="Times New Roman"/>
                <w:color w:val="000000"/>
              </w:rPr>
              <w:t>Task area lighting</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168,517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rPr>
                <w:rFonts w:ascii="Calibri" w:eastAsia="Times New Roman" w:hAnsi="Calibri" w:cs="Times New Roman"/>
                <w:color w:val="000000"/>
              </w:rPr>
            </w:pPr>
            <w:r w:rsidRPr="00F636FC">
              <w:rPr>
                <w:rFonts w:ascii="Calibri" w:eastAsia="Times New Roman" w:hAnsi="Calibri" w:cs="Times New Roman"/>
                <w:color w:val="000000"/>
              </w:rPr>
              <w:t xml:space="preserve"> </w:t>
            </w:r>
            <w:r w:rsidR="00703007" w:rsidRPr="00703007">
              <w:rPr>
                <w:rFonts w:ascii="Calibri" w:eastAsia="Times New Roman" w:hAnsi="Calibri" w:cs="Times New Roman"/>
                <w:color w:val="000000"/>
              </w:rPr>
              <w:t>$966,645</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3. </w:t>
            </w:r>
            <w:r w:rsidR="00F636FC" w:rsidRPr="00F636FC">
              <w:rPr>
                <w:rFonts w:ascii="Calibri" w:eastAsia="Times New Roman" w:hAnsi="Calibri" w:cs="Times New Roman"/>
                <w:color w:val="000000"/>
              </w:rPr>
              <w:t>Lighting occupancy sensors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1,825,920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rPr>
                <w:rFonts w:ascii="Calibri" w:eastAsia="Times New Roman" w:hAnsi="Calibri" w:cs="Times New Roman"/>
                <w:color w:val="000000"/>
              </w:rPr>
            </w:pPr>
            <w:r w:rsidRPr="00F636FC">
              <w:rPr>
                <w:rFonts w:ascii="Calibri" w:eastAsia="Times New Roman" w:hAnsi="Calibri" w:cs="Times New Roman"/>
                <w:color w:val="000000"/>
              </w:rPr>
              <w:t xml:space="preserve"> </w:t>
            </w:r>
            <w:r w:rsidR="00703007" w:rsidRPr="00703007">
              <w:rPr>
                <w:rFonts w:ascii="Calibri" w:eastAsia="Times New Roman" w:hAnsi="Calibri" w:cs="Times New Roman"/>
                <w:color w:val="000000"/>
              </w:rPr>
              <w:t>$941,921</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4. </w:t>
            </w:r>
            <w:r w:rsidR="00F636FC" w:rsidRPr="00F636FC">
              <w:rPr>
                <w:rFonts w:ascii="Calibri" w:eastAsia="Times New Roman" w:hAnsi="Calibri" w:cs="Times New Roman"/>
                <w:color w:val="000000"/>
              </w:rPr>
              <w:t>Stairwell bi-level lighting</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56,100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703007" w:rsidP="00DA0AC2">
            <w:pPr>
              <w:spacing w:line="240" w:lineRule="auto"/>
              <w:rPr>
                <w:rFonts w:ascii="Calibri" w:eastAsia="Times New Roman" w:hAnsi="Calibri" w:cs="Times New Roman"/>
                <w:color w:val="000000"/>
              </w:rPr>
            </w:pPr>
            <w:r w:rsidRPr="00703007">
              <w:rPr>
                <w:rFonts w:ascii="Calibri" w:eastAsia="Times New Roman" w:hAnsi="Calibri" w:cs="Times New Roman"/>
                <w:color w:val="000000"/>
              </w:rPr>
              <w:t>$45,146</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5. </w:t>
            </w:r>
            <w:r w:rsidR="00F636FC" w:rsidRPr="00F636FC">
              <w:rPr>
                <w:rFonts w:ascii="Calibri" w:eastAsia="Times New Roman" w:hAnsi="Calibri" w:cs="Times New Roman"/>
                <w:color w:val="000000"/>
              </w:rPr>
              <w:t>Daylight harvesting at perimeter zones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381,253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$252,219</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6. </w:t>
            </w:r>
            <w:r w:rsidR="00F636FC" w:rsidRPr="00F636FC">
              <w:rPr>
                <w:rFonts w:ascii="Calibri" w:eastAsia="Times New Roman" w:hAnsi="Calibri" w:cs="Times New Roman"/>
                <w:color w:val="000000"/>
              </w:rPr>
              <w:t>Occupancy-based book-stack lighting</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73,878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$610,766</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7. </w:t>
            </w:r>
            <w:r w:rsidR="00F636FC" w:rsidRPr="00F636FC">
              <w:rPr>
                <w:rFonts w:ascii="Calibri" w:eastAsia="Times New Roman" w:hAnsi="Calibri" w:cs="Times New Roman"/>
                <w:color w:val="000000"/>
              </w:rPr>
              <w:t>LED lighting &amp; bi-level controls for exterior</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1,452,080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$1,550,228</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8. </w:t>
            </w:r>
            <w:r w:rsidR="00F636FC" w:rsidRPr="00F636FC">
              <w:rPr>
                <w:rFonts w:ascii="Calibri" w:eastAsia="Times New Roman" w:hAnsi="Calibri" w:cs="Times New Roman"/>
                <w:color w:val="000000"/>
              </w:rPr>
              <w:t>New AHUs w/ economizers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1,127,051 kWh &amp;</w:t>
            </w:r>
          </w:p>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1,482 MMBTU’s gas/year</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$84,638,304</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9. </w:t>
            </w:r>
            <w:r w:rsidR="00F636FC" w:rsidRPr="00F636FC">
              <w:rPr>
                <w:rFonts w:ascii="Calibri" w:eastAsia="Times New Roman" w:hAnsi="Calibri" w:cs="Times New Roman"/>
                <w:color w:val="000000"/>
              </w:rPr>
              <w:t>Pneumatic to DDC controls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697,570 kWh &amp;</w:t>
            </w:r>
          </w:p>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1,295 MMBTU’s gas/year</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$3,602,435</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10. </w:t>
            </w:r>
            <w:r w:rsidR="00F636FC" w:rsidRPr="00F636FC">
              <w:rPr>
                <w:rFonts w:ascii="Calibri" w:eastAsia="Times New Roman" w:hAnsi="Calibri" w:cs="Times New Roman"/>
                <w:color w:val="000000"/>
              </w:rPr>
              <w:t>Demand controlled ventilation (DCV)</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781,321 kWh &amp;</w:t>
            </w:r>
          </w:p>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2,666 MMBTU’s gas/year</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rPr>
                <w:rFonts w:ascii="Calibri" w:eastAsia="Times New Roman" w:hAnsi="Calibri" w:cs="Times New Roman"/>
                <w:color w:val="000000"/>
              </w:rPr>
            </w:pPr>
            <w:r w:rsidRPr="00F636FC">
              <w:rPr>
                <w:rFonts w:ascii="Calibri" w:eastAsia="Times New Roman" w:hAnsi="Calibri" w:cs="Times New Roman"/>
                <w:color w:val="000000"/>
              </w:rPr>
              <w:t xml:space="preserve"> </w:t>
            </w:r>
            <w:r w:rsidR="00372CBD" w:rsidRPr="00372CBD">
              <w:rPr>
                <w:rFonts w:ascii="Calibri" w:eastAsia="Times New Roman" w:hAnsi="Calibri" w:cs="Times New Roman"/>
                <w:color w:val="000000"/>
              </w:rPr>
              <w:t>$4,456,332</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11. </w:t>
            </w:r>
            <w:r w:rsidR="00F636FC" w:rsidRPr="00F636FC">
              <w:rPr>
                <w:rFonts w:ascii="Calibri" w:eastAsia="Times New Roman" w:hAnsi="Calibri" w:cs="Times New Roman"/>
                <w:color w:val="000000"/>
              </w:rPr>
              <w:t>Occupancy-based HVAC</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2,301,631 kWh &amp;</w:t>
            </w:r>
          </w:p>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3,166 MMBTU’s gas/year</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$5,280,376</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12. </w:t>
            </w:r>
            <w:r w:rsidR="00F636FC" w:rsidRPr="00F636FC">
              <w:rPr>
                <w:rFonts w:ascii="Calibri" w:eastAsia="Times New Roman" w:hAnsi="Calibri" w:cs="Times New Roman"/>
                <w:color w:val="000000"/>
              </w:rPr>
              <w:t>High-efficiency motors at elevators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10,277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$2,800,000</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13. </w:t>
            </w:r>
            <w:r w:rsidR="00F636FC" w:rsidRPr="00F636FC">
              <w:rPr>
                <w:rFonts w:ascii="Calibri" w:eastAsia="Times New Roman" w:hAnsi="Calibri" w:cs="Times New Roman"/>
                <w:color w:val="000000"/>
              </w:rPr>
              <w:t>Computer shut-down management</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447,454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rPr>
                <w:rFonts w:ascii="Calibri" w:eastAsia="Times New Roman" w:hAnsi="Calibri" w:cs="Times New Roman"/>
                <w:color w:val="000000"/>
              </w:rPr>
            </w:pPr>
            <w:r w:rsidRPr="00F636FC">
              <w:rPr>
                <w:rFonts w:ascii="Calibri" w:eastAsia="Times New Roman" w:hAnsi="Calibri" w:cs="Times New Roman"/>
                <w:color w:val="000000"/>
              </w:rPr>
              <w:t xml:space="preserve"> </w:t>
            </w:r>
            <w:r w:rsidR="00372CBD" w:rsidRPr="00372CBD">
              <w:rPr>
                <w:rFonts w:ascii="Calibri" w:eastAsia="Times New Roman" w:hAnsi="Calibri" w:cs="Times New Roman"/>
                <w:color w:val="000000"/>
              </w:rPr>
              <w:t>$186,625</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14. </w:t>
            </w:r>
            <w:r w:rsidR="00F636FC" w:rsidRPr="00F636FC">
              <w:rPr>
                <w:rFonts w:ascii="Calibri" w:eastAsia="Times New Roman" w:hAnsi="Calibri" w:cs="Times New Roman"/>
                <w:color w:val="000000"/>
              </w:rPr>
              <w:t>Vending misers for vending machines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37,215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$10,125</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15. </w:t>
            </w:r>
            <w:r w:rsidR="00F636FC" w:rsidRPr="00F636FC">
              <w:rPr>
                <w:rFonts w:ascii="Calibri" w:eastAsia="Times New Roman" w:hAnsi="Calibri" w:cs="Times New Roman"/>
                <w:color w:val="000000"/>
              </w:rPr>
              <w:t>High efficiency windows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1,010,156 kWh &amp;</w:t>
            </w:r>
          </w:p>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2,494 MMBTU’s gas/year</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rPr>
                <w:rFonts w:ascii="Calibri" w:eastAsia="Times New Roman" w:hAnsi="Calibri" w:cs="Times New Roman"/>
                <w:color w:val="000000"/>
              </w:rPr>
            </w:pPr>
            <w:r w:rsidRPr="00F636FC">
              <w:rPr>
                <w:rFonts w:ascii="Calibri" w:eastAsia="Times New Roman" w:hAnsi="Calibri" w:cs="Times New Roman"/>
                <w:color w:val="000000"/>
              </w:rPr>
              <w:t xml:space="preserve"> </w:t>
            </w:r>
            <w:r w:rsidR="00372CBD" w:rsidRPr="00372CBD">
              <w:rPr>
                <w:rFonts w:ascii="Calibri" w:eastAsia="Times New Roman" w:hAnsi="Calibri" w:cs="Times New Roman"/>
                <w:color w:val="000000"/>
              </w:rPr>
              <w:t>$1,750,469</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16. </w:t>
            </w:r>
            <w:r w:rsidR="00F636FC" w:rsidRPr="00F636FC">
              <w:rPr>
                <w:rFonts w:ascii="Calibri" w:eastAsia="Times New Roman" w:hAnsi="Calibri" w:cs="Times New Roman"/>
                <w:color w:val="000000"/>
              </w:rPr>
              <w:t>Network Thermostats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1,631,847 kWh &amp;</w:t>
            </w:r>
          </w:p>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3,469 MMBTU’s gas/year</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$429,000</w:t>
            </w:r>
          </w:p>
        </w:tc>
      </w:tr>
      <w:tr w:rsidR="00F636FC" w:rsidRPr="00F636FC" w:rsidTr="00F636F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17. </w:t>
            </w:r>
            <w:r w:rsidR="00F636FC" w:rsidRPr="00F636FC">
              <w:rPr>
                <w:rFonts w:ascii="Calibri" w:eastAsia="Times New Roman" w:hAnsi="Calibri" w:cs="Times New Roman"/>
                <w:color w:val="000000"/>
              </w:rPr>
              <w:t>Central Plant Chiller Retrofit</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908,645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372CBD" w:rsidP="00DA0AC2">
            <w:pPr>
              <w:spacing w:line="240" w:lineRule="auto"/>
              <w:rPr>
                <w:rFonts w:ascii="Calibri" w:eastAsia="Times New Roman" w:hAnsi="Calibri" w:cs="Times New Roman"/>
                <w:color w:val="000000"/>
              </w:rPr>
            </w:pPr>
            <w:r w:rsidRPr="00372CBD">
              <w:rPr>
                <w:rFonts w:ascii="Calibri" w:eastAsia="Times New Roman" w:hAnsi="Calibri" w:cs="Times New Roman"/>
                <w:color w:val="000000"/>
              </w:rPr>
              <w:t>$2,646,000</w:t>
            </w:r>
          </w:p>
        </w:tc>
      </w:tr>
      <w:tr w:rsidR="00F636FC" w:rsidRPr="00F636FC" w:rsidTr="009139CC">
        <w:trPr>
          <w:gridBefore w:val="1"/>
          <w:wBefore w:w="15" w:type="dxa"/>
          <w:trHeight w:val="290"/>
        </w:trPr>
        <w:tc>
          <w:tcPr>
            <w:tcW w:w="3600" w:type="dxa"/>
            <w:tcBorders>
              <w:top w:val="nil"/>
              <w:left w:val="single" w:sz="4" w:space="0" w:color="auto"/>
              <w:bottom w:val="single" w:sz="4" w:space="0" w:color="auto"/>
              <w:right w:val="single" w:sz="4" w:space="0" w:color="auto"/>
            </w:tcBorders>
            <w:shd w:val="clear" w:color="auto" w:fill="auto"/>
            <w:noWrap/>
            <w:vAlign w:val="bottom"/>
            <w:hideMark/>
          </w:tcPr>
          <w:p w:rsidR="00F636FC" w:rsidRPr="00F636FC" w:rsidRDefault="002B73E2" w:rsidP="00DA0AC2">
            <w:pPr>
              <w:spacing w:line="240" w:lineRule="auto"/>
              <w:rPr>
                <w:rFonts w:ascii="Calibri" w:eastAsia="Times New Roman" w:hAnsi="Calibri" w:cs="Times New Roman"/>
                <w:color w:val="000000"/>
              </w:rPr>
            </w:pPr>
            <w:r>
              <w:rPr>
                <w:rFonts w:ascii="Calibri" w:eastAsia="Times New Roman" w:hAnsi="Calibri" w:cs="Times New Roman"/>
                <w:color w:val="000000"/>
              </w:rPr>
              <w:t xml:space="preserve">18. </w:t>
            </w:r>
            <w:r w:rsidR="00F636FC" w:rsidRPr="00F636FC">
              <w:rPr>
                <w:rFonts w:ascii="Calibri" w:eastAsia="Times New Roman" w:hAnsi="Calibri" w:cs="Times New Roman"/>
                <w:color w:val="000000"/>
              </w:rPr>
              <w:t>Central Plant Chiller Savings from Building Measures</w:t>
            </w:r>
          </w:p>
        </w:tc>
        <w:tc>
          <w:tcPr>
            <w:tcW w:w="3960" w:type="dxa"/>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jc w:val="center"/>
              <w:rPr>
                <w:rFonts w:ascii="Calibri" w:eastAsia="Times New Roman" w:hAnsi="Calibri" w:cs="Times New Roman"/>
                <w:color w:val="000000"/>
              </w:rPr>
            </w:pPr>
            <w:r w:rsidRPr="00F636FC">
              <w:rPr>
                <w:rFonts w:ascii="Calibri" w:eastAsia="Times New Roman" w:hAnsi="Calibri" w:cs="Times New Roman"/>
                <w:color w:val="000000"/>
              </w:rPr>
              <w:t>2,110,532 kWh</w:t>
            </w:r>
          </w:p>
        </w:tc>
        <w:tc>
          <w:tcPr>
            <w:tcW w:w="1458" w:type="dxa"/>
            <w:gridSpan w:val="2"/>
            <w:tcBorders>
              <w:top w:val="nil"/>
              <w:left w:val="nil"/>
              <w:bottom w:val="single" w:sz="4" w:space="0" w:color="auto"/>
              <w:right w:val="single" w:sz="4" w:space="0" w:color="auto"/>
            </w:tcBorders>
            <w:shd w:val="clear" w:color="auto" w:fill="auto"/>
            <w:noWrap/>
            <w:vAlign w:val="bottom"/>
            <w:hideMark/>
          </w:tcPr>
          <w:p w:rsidR="00F636FC" w:rsidRPr="00F636FC" w:rsidRDefault="00F636FC" w:rsidP="00DA0AC2">
            <w:pPr>
              <w:spacing w:line="240" w:lineRule="auto"/>
              <w:rPr>
                <w:rFonts w:ascii="Calibri" w:eastAsia="Times New Roman" w:hAnsi="Calibri" w:cs="Times New Roman"/>
                <w:color w:val="000000"/>
              </w:rPr>
            </w:pPr>
            <w:r w:rsidRPr="00F636FC">
              <w:rPr>
                <w:rFonts w:ascii="Calibri" w:eastAsia="Times New Roman" w:hAnsi="Calibri" w:cs="Times New Roman"/>
                <w:color w:val="000000"/>
              </w:rPr>
              <w:t xml:space="preserve"> </w:t>
            </w:r>
          </w:p>
        </w:tc>
      </w:tr>
      <w:tr w:rsidR="009139CC" w:rsidRPr="00F636FC" w:rsidTr="009139CC">
        <w:trPr>
          <w:gridBefore w:val="1"/>
          <w:wBefore w:w="15" w:type="dxa"/>
          <w:trHeight w:val="290"/>
        </w:trPr>
        <w:tc>
          <w:tcPr>
            <w:tcW w:w="360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139CC" w:rsidRPr="009139CC" w:rsidRDefault="009139CC" w:rsidP="00DA0AC2">
            <w:pPr>
              <w:spacing w:line="240" w:lineRule="auto"/>
              <w:rPr>
                <w:rFonts w:ascii="Calibri" w:eastAsia="Times New Roman" w:hAnsi="Calibri" w:cs="Times New Roman"/>
                <w:b/>
                <w:color w:val="000000"/>
              </w:rPr>
            </w:pPr>
            <w:r w:rsidRPr="009139CC">
              <w:rPr>
                <w:rFonts w:ascii="Calibri" w:eastAsia="Times New Roman" w:hAnsi="Calibri" w:cs="Times New Roman"/>
                <w:b/>
                <w:color w:val="000000"/>
              </w:rPr>
              <w:t xml:space="preserve">TOTAL (all </w:t>
            </w:r>
            <w:r>
              <w:rPr>
                <w:rFonts w:ascii="Calibri" w:eastAsia="Times New Roman" w:hAnsi="Calibri" w:cs="Times New Roman"/>
                <w:b/>
                <w:color w:val="000000"/>
              </w:rPr>
              <w:t xml:space="preserve">energy conservation </w:t>
            </w:r>
            <w:r w:rsidRPr="009139CC">
              <w:rPr>
                <w:rFonts w:ascii="Calibri" w:eastAsia="Times New Roman" w:hAnsi="Calibri" w:cs="Times New Roman"/>
                <w:b/>
                <w:color w:val="000000"/>
              </w:rPr>
              <w:t>projects)</w:t>
            </w:r>
          </w:p>
        </w:tc>
        <w:tc>
          <w:tcPr>
            <w:tcW w:w="3960" w:type="dxa"/>
            <w:tcBorders>
              <w:top w:val="single" w:sz="4" w:space="0" w:color="auto"/>
              <w:left w:val="nil"/>
              <w:bottom w:val="single" w:sz="4" w:space="0" w:color="auto"/>
              <w:right w:val="single" w:sz="4" w:space="0" w:color="auto"/>
            </w:tcBorders>
            <w:shd w:val="clear" w:color="auto" w:fill="auto"/>
            <w:noWrap/>
            <w:vAlign w:val="bottom"/>
          </w:tcPr>
          <w:p w:rsidR="009139CC" w:rsidRPr="009139CC" w:rsidRDefault="009139CC" w:rsidP="00DA0AC2">
            <w:pPr>
              <w:spacing w:line="240" w:lineRule="auto"/>
              <w:jc w:val="center"/>
              <w:rPr>
                <w:rFonts w:ascii="Calibri" w:eastAsia="Times New Roman" w:hAnsi="Calibri" w:cs="Times New Roman"/>
                <w:b/>
                <w:color w:val="000000"/>
              </w:rPr>
            </w:pPr>
          </w:p>
        </w:tc>
        <w:tc>
          <w:tcPr>
            <w:tcW w:w="1458" w:type="dxa"/>
            <w:gridSpan w:val="2"/>
            <w:tcBorders>
              <w:top w:val="single" w:sz="4" w:space="0" w:color="auto"/>
              <w:left w:val="nil"/>
              <w:bottom w:val="single" w:sz="4" w:space="0" w:color="auto"/>
              <w:right w:val="single" w:sz="4" w:space="0" w:color="auto"/>
            </w:tcBorders>
            <w:shd w:val="clear" w:color="auto" w:fill="auto"/>
            <w:noWrap/>
            <w:vAlign w:val="bottom"/>
          </w:tcPr>
          <w:p w:rsidR="009139CC" w:rsidRPr="009139CC" w:rsidRDefault="009139CC" w:rsidP="00DA0AC2">
            <w:pPr>
              <w:spacing w:line="240" w:lineRule="auto"/>
              <w:rPr>
                <w:rFonts w:ascii="Calibri" w:eastAsia="Times New Roman" w:hAnsi="Calibri" w:cs="Times New Roman"/>
                <w:b/>
                <w:color w:val="000000"/>
              </w:rPr>
            </w:pPr>
            <w:r w:rsidRPr="009139CC">
              <w:rPr>
                <w:rFonts w:ascii="Calibri" w:eastAsia="Times New Roman" w:hAnsi="Calibri" w:cs="Times New Roman"/>
                <w:b/>
                <w:color w:val="000000"/>
              </w:rPr>
              <w:t>$135,149,955</w:t>
            </w:r>
          </w:p>
        </w:tc>
      </w:tr>
    </w:tbl>
    <w:p w:rsidR="00644494" w:rsidRDefault="00644494" w:rsidP="00DA0AC2">
      <w:pPr>
        <w:spacing w:line="240" w:lineRule="auto"/>
        <w:rPr>
          <w:rFonts w:ascii="Calibri" w:eastAsia="Times New Roman" w:hAnsi="Calibri" w:cs="Times New Roman"/>
          <w:b/>
          <w:color w:val="000000"/>
        </w:rPr>
      </w:pPr>
    </w:p>
    <w:p w:rsidR="00FD0E60" w:rsidRDefault="00FD0E60">
      <w:pPr>
        <w:rPr>
          <w:rFonts w:ascii="Calibri" w:eastAsia="Times New Roman" w:hAnsi="Calibri" w:cs="Times New Roman"/>
          <w:b/>
          <w:bCs/>
          <w:color w:val="000000"/>
        </w:rPr>
      </w:pPr>
      <w:r>
        <w:rPr>
          <w:rFonts w:ascii="Calibri" w:eastAsia="Times New Roman" w:hAnsi="Calibri" w:cs="Times New Roman"/>
          <w:b/>
          <w:bCs/>
          <w:color w:val="000000"/>
        </w:rPr>
        <w:br w:type="page"/>
      </w:r>
    </w:p>
    <w:p w:rsidR="005B48F0" w:rsidRPr="005B48F0" w:rsidRDefault="005B48F0" w:rsidP="00FD0E60">
      <w:pPr>
        <w:numPr>
          <w:ilvl w:val="0"/>
          <w:numId w:val="12"/>
        </w:numPr>
        <w:ind w:hanging="720"/>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lastRenderedPageBreak/>
        <w:t>LED lighting for interior spaces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Complete interior lighting modernization to LED technology. Existing interior lighting is primarily composed of linear fluorescent and compact fluorescent fixtures. This project will convert existing lighting to LED throughout all spaces which can reduce existing lighting load by as much as 50%. LED lighting would also allow for more efficient controls such as dimming, occupancy sensing and daylight harvesting.</w:t>
      </w:r>
    </w:p>
    <w:p w:rsidR="005B48F0" w:rsidRPr="005B48F0" w:rsidRDefault="005B48F0" w:rsidP="00FD0E60">
      <w:pPr>
        <w:numPr>
          <w:ilvl w:val="0"/>
          <w:numId w:val="13"/>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Task area lighting</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For all areas such as offices, PC labs, and study areas, this measure would reduce the illumination from ceiling level light fixtures. To compensate, LED task lights should be added at all work areas. These can be incorporated with timers for automatic shutoff. Optimal design is for the workstations to have the recommended 50 foot-candles (per IES) with assistance from task lights; while the surrounding areas are to have 20 to 30 foot-candles.</w:t>
      </w:r>
    </w:p>
    <w:p w:rsidR="005B48F0" w:rsidRPr="005B48F0" w:rsidRDefault="005B48F0" w:rsidP="00FD0E60">
      <w:pPr>
        <w:numPr>
          <w:ilvl w:val="0"/>
          <w:numId w:val="14"/>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Lighting occupancy sensors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Complete interior lighting controls upgrades to with the capability of sensing occupancy. Occupancy sensors allow lights to be automatically turned off when no motion is detected in a given space. These controls are ideal for areas such as classrooms, private offices, activity rooms, conference rooms, restrooms, and large public use areas which have variable occupancy. While the campus does have some use of occupancy sensors, this measure will install occup</w:t>
      </w:r>
      <w:r w:rsidR="00207BEA">
        <w:rPr>
          <w:rFonts w:ascii="Calibri" w:eastAsia="Times New Roman" w:hAnsi="Calibri" w:cs="Times New Roman"/>
          <w:color w:val="000000"/>
        </w:rPr>
        <w:t>ancy sensors in remaining areas</w:t>
      </w:r>
      <w:r w:rsidRPr="005B48F0">
        <w:rPr>
          <w:rFonts w:ascii="Calibri" w:eastAsia="Times New Roman" w:hAnsi="Calibri" w:cs="Times New Roman"/>
          <w:color w:val="000000"/>
        </w:rPr>
        <w:t>.</w:t>
      </w:r>
    </w:p>
    <w:p w:rsidR="005B48F0" w:rsidRPr="005B48F0" w:rsidRDefault="005B48F0" w:rsidP="00FD0E60">
      <w:pPr>
        <w:numPr>
          <w:ilvl w:val="0"/>
          <w:numId w:val="15"/>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Stairwell bi-level lighting</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Stairwells typically offer energy saving opportunities in lighting because lights normally remain on 24-hours a day although the space is only occupied a fraction of the time. This project will require the installation of new bi-level LED fixtures integrated with an ultrasonic motion sensor. When the space is unoccupied, lights will step-down to a fraction of full load and ramp back up when occupancy is sensed.</w:t>
      </w:r>
    </w:p>
    <w:p w:rsidR="005B48F0" w:rsidRPr="005B48F0" w:rsidRDefault="005B48F0" w:rsidP="00FD0E60">
      <w:pPr>
        <w:numPr>
          <w:ilvl w:val="0"/>
          <w:numId w:val="16"/>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Daylight harvesting at perimeter zones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Most buildings on the campus enjoy an abundant amount of daylight through glass windows at its perimeter or skylights at the roof. When daylight is present, there is an opportunity for energy savings by dimming the light fixtures, or in some cases, turning them off. This project will require the installation of photocells at interior </w:t>
      </w:r>
      <w:r w:rsidR="009728E6" w:rsidRPr="005B48F0">
        <w:rPr>
          <w:rFonts w:ascii="Calibri" w:eastAsia="Times New Roman" w:hAnsi="Calibri" w:cs="Times New Roman"/>
          <w:color w:val="000000"/>
        </w:rPr>
        <w:t>day lit</w:t>
      </w:r>
      <w:r w:rsidRPr="005B48F0">
        <w:rPr>
          <w:rFonts w:ascii="Calibri" w:eastAsia="Times New Roman" w:hAnsi="Calibri" w:cs="Times New Roman"/>
          <w:color w:val="000000"/>
        </w:rPr>
        <w:t xml:space="preserve"> zones and controls to dim the light fixtures up and down so as to maintain constant illumination levels.</w:t>
      </w:r>
    </w:p>
    <w:p w:rsidR="005B48F0" w:rsidRPr="005B48F0" w:rsidRDefault="005B48F0" w:rsidP="00FD0E60">
      <w:pPr>
        <w:numPr>
          <w:ilvl w:val="0"/>
          <w:numId w:val="17"/>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Occupancy-based book-stack lighting</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The </w:t>
      </w:r>
      <w:proofErr w:type="spellStart"/>
      <w:r w:rsidRPr="005B48F0">
        <w:rPr>
          <w:rFonts w:ascii="Calibri" w:eastAsia="Times New Roman" w:hAnsi="Calibri" w:cs="Times New Roman"/>
          <w:color w:val="000000"/>
        </w:rPr>
        <w:t>Oviatt</w:t>
      </w:r>
      <w:proofErr w:type="spellEnd"/>
      <w:r w:rsidRPr="005B48F0">
        <w:rPr>
          <w:rFonts w:ascii="Calibri" w:eastAsia="Times New Roman" w:hAnsi="Calibri" w:cs="Times New Roman"/>
          <w:color w:val="000000"/>
        </w:rPr>
        <w:t xml:space="preserve"> Library book stack areas typically have a low occupancy level. Given the limited traffic, there’s a large energy savings opportunity for occupancy-based lighting controls.  Unfortunately, the existing lighting systems desi</w:t>
      </w:r>
      <w:r w:rsidR="00586934">
        <w:rPr>
          <w:rFonts w:ascii="Calibri" w:eastAsia="Times New Roman" w:hAnsi="Calibri" w:cs="Times New Roman"/>
          <w:color w:val="000000"/>
        </w:rPr>
        <w:t>gn and book stack arrangement are</w:t>
      </w:r>
      <w:r w:rsidRPr="005B48F0">
        <w:rPr>
          <w:rFonts w:ascii="Calibri" w:eastAsia="Times New Roman" w:hAnsi="Calibri" w:cs="Times New Roman"/>
          <w:color w:val="000000"/>
        </w:rPr>
        <w:t xml:space="preserve"> not particularly suited for implementation of such controls thus a redesign of lighting would be required. The new lighting system would provide uniform light distribution across all stack areas with light levels per IES standards (i.e., IES suggests that stacks be maintained at an average of 30 FC). The system will also allow for individual isle-way occupancy controls. </w:t>
      </w:r>
    </w:p>
    <w:p w:rsidR="00105B1D" w:rsidRDefault="00105B1D">
      <w:pPr>
        <w:rPr>
          <w:rFonts w:ascii="Calibri" w:eastAsia="Times New Roman" w:hAnsi="Calibri" w:cs="Times New Roman"/>
          <w:b/>
          <w:bCs/>
          <w:color w:val="000000"/>
        </w:rPr>
      </w:pPr>
      <w:r>
        <w:rPr>
          <w:rFonts w:ascii="Calibri" w:eastAsia="Times New Roman" w:hAnsi="Calibri" w:cs="Times New Roman"/>
          <w:b/>
          <w:bCs/>
          <w:color w:val="000000"/>
        </w:rPr>
        <w:br w:type="page"/>
      </w:r>
    </w:p>
    <w:p w:rsidR="005B48F0" w:rsidRPr="005B48F0" w:rsidRDefault="005B48F0" w:rsidP="00FD0E60">
      <w:pPr>
        <w:numPr>
          <w:ilvl w:val="0"/>
          <w:numId w:val="18"/>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lastRenderedPageBreak/>
        <w:t>LED lighting &amp; bi-level controls for exterior</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Various exterior areas throughout the campus are illuminate</w:t>
      </w:r>
      <w:r w:rsidR="00586934">
        <w:rPr>
          <w:rFonts w:ascii="Calibri" w:eastAsia="Times New Roman" w:hAnsi="Calibri" w:cs="Times New Roman"/>
          <w:color w:val="000000"/>
        </w:rPr>
        <w:t>d</w:t>
      </w:r>
      <w:r w:rsidRPr="005B48F0">
        <w:rPr>
          <w:rFonts w:ascii="Calibri" w:eastAsia="Times New Roman" w:hAnsi="Calibri" w:cs="Times New Roman"/>
          <w:color w:val="000000"/>
        </w:rPr>
        <w:t xml:space="preserve"> by high pressure sodium (HPS), metal halide (MH), </w:t>
      </w:r>
      <w:proofErr w:type="gramStart"/>
      <w:r w:rsidRPr="005B48F0">
        <w:rPr>
          <w:rFonts w:ascii="Calibri" w:eastAsia="Times New Roman" w:hAnsi="Calibri" w:cs="Times New Roman"/>
          <w:color w:val="000000"/>
        </w:rPr>
        <w:t>compact</w:t>
      </w:r>
      <w:proofErr w:type="gramEnd"/>
      <w:r w:rsidRPr="005B48F0">
        <w:rPr>
          <w:rFonts w:ascii="Calibri" w:eastAsia="Times New Roman" w:hAnsi="Calibri" w:cs="Times New Roman"/>
          <w:color w:val="000000"/>
        </w:rPr>
        <w:t xml:space="preserve"> fluorescent (CF),</w:t>
      </w:r>
      <w:r w:rsidR="00586934">
        <w:rPr>
          <w:rFonts w:ascii="Calibri" w:eastAsia="Times New Roman" w:hAnsi="Calibri" w:cs="Times New Roman"/>
          <w:color w:val="000000"/>
        </w:rPr>
        <w:t xml:space="preserve"> halogen, and incandescent lamp</w:t>
      </w:r>
      <w:r w:rsidRPr="005B48F0">
        <w:rPr>
          <w:rFonts w:ascii="Calibri" w:eastAsia="Times New Roman" w:hAnsi="Calibri" w:cs="Times New Roman"/>
          <w:color w:val="000000"/>
        </w:rPr>
        <w:t xml:space="preserve"> fixtures. These are located at building perimeters, walkways, parking structures, parking lots, and roadways. This project proposes replacement of all exterior fixtures (not already LED) with new LED-based fixtures. For enhanced energy savings and to meet Title 24's mandated controls compliance, this project also proposes multi-level lighting controls. The multi</w:t>
      </w:r>
      <w:r w:rsidR="00586934">
        <w:rPr>
          <w:rFonts w:ascii="Calibri" w:eastAsia="Times New Roman" w:hAnsi="Calibri" w:cs="Times New Roman"/>
          <w:color w:val="000000"/>
        </w:rPr>
        <w:t>-</w:t>
      </w:r>
      <w:r w:rsidRPr="005B48F0">
        <w:rPr>
          <w:rFonts w:ascii="Calibri" w:eastAsia="Times New Roman" w:hAnsi="Calibri" w:cs="Times New Roman"/>
          <w:color w:val="000000"/>
        </w:rPr>
        <w:t>level lighting control system generally consists of “smart sensors” at each fixture. Each luminaire with embedded control technology is designed with an intelligent microprocessor directly integrated into the LED fixture driver. This design eliminates the need for additional interfaces, enabling the fixture and controls to communicate directly with each other for instantaneous and seamless interoperability. The control system offers occupancy sensing, daylight harvesting, light level scheduling, and demand response controls.</w:t>
      </w:r>
    </w:p>
    <w:p w:rsidR="005B48F0" w:rsidRPr="005B48F0" w:rsidRDefault="005B48F0" w:rsidP="00FD0E60">
      <w:pPr>
        <w:numPr>
          <w:ilvl w:val="0"/>
          <w:numId w:val="19"/>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New AHUs with economizers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Many buildings on campus have original HVAC equipment (+50 years) that </w:t>
      </w:r>
      <w:r w:rsidR="00586934">
        <w:rPr>
          <w:rFonts w:ascii="Calibri" w:eastAsia="Times New Roman" w:hAnsi="Calibri" w:cs="Times New Roman"/>
          <w:color w:val="000000"/>
        </w:rPr>
        <w:t>is</w:t>
      </w:r>
      <w:r w:rsidRPr="005B48F0">
        <w:rPr>
          <w:rFonts w:ascii="Calibri" w:eastAsia="Times New Roman" w:hAnsi="Calibri" w:cs="Times New Roman"/>
          <w:color w:val="000000"/>
        </w:rPr>
        <w:t xml:space="preserve"> reaching or ha</w:t>
      </w:r>
      <w:r w:rsidR="00586934">
        <w:rPr>
          <w:rFonts w:ascii="Calibri" w:eastAsia="Times New Roman" w:hAnsi="Calibri" w:cs="Times New Roman"/>
          <w:color w:val="000000"/>
        </w:rPr>
        <w:t>s</w:t>
      </w:r>
      <w:r w:rsidRPr="005B48F0">
        <w:rPr>
          <w:rFonts w:ascii="Calibri" w:eastAsia="Times New Roman" w:hAnsi="Calibri" w:cs="Times New Roman"/>
          <w:color w:val="000000"/>
        </w:rPr>
        <w:t xml:space="preserve"> passed the end of </w:t>
      </w:r>
      <w:r w:rsidR="00586934">
        <w:rPr>
          <w:rFonts w:ascii="Calibri" w:eastAsia="Times New Roman" w:hAnsi="Calibri" w:cs="Times New Roman"/>
          <w:color w:val="000000"/>
        </w:rPr>
        <w:t>its</w:t>
      </w:r>
      <w:r w:rsidRPr="005B48F0">
        <w:rPr>
          <w:rFonts w:ascii="Calibri" w:eastAsia="Times New Roman" w:hAnsi="Calibri" w:cs="Times New Roman"/>
          <w:color w:val="000000"/>
        </w:rPr>
        <w:t xml:space="preserve"> useful life (i.e., 15 – 30 years). Specifically, this includes existing constant volume air handlers without existing variable frequency drives (VFDs) to control fans or air-side economizers to control outside air. This project proposes replacement of existing air handlers with new air handlers of the same capacity, VFDs to modulate fan speed, air-side economizers for free cooling, and high delta-T water coils to improve central plant efficiency. Also, in buildings with constant volume air distribution, zones shall be converted to variable air volume (VAV).</w:t>
      </w:r>
    </w:p>
    <w:p w:rsidR="005B48F0" w:rsidRPr="005B48F0" w:rsidRDefault="005B48F0" w:rsidP="00FD0E60">
      <w:pPr>
        <w:numPr>
          <w:ilvl w:val="0"/>
          <w:numId w:val="20"/>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Pneumatic to DDC controls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Although most of the buildings on the campus utilize a Siemens Energy Management System (EMS) system with Direct Digital Control (DDC) controls, some building systems still depend on pneumatic HVAC controls. This project will require the replacement existing pneumatic controls with state-of-the-art DDC controls. Since HVAC energy use in any given building is significant, it takes the best tools available in the industry to make a positive impact on their use efficiency. DDC systems allows a maintenance technician to remotely monitor room temperature conditions, maintain and change </w:t>
      </w:r>
      <w:r w:rsidR="00586934">
        <w:rPr>
          <w:rFonts w:ascii="Calibri" w:eastAsia="Times New Roman" w:hAnsi="Calibri" w:cs="Times New Roman"/>
          <w:color w:val="000000"/>
        </w:rPr>
        <w:t>set points, schedule equipment o</w:t>
      </w:r>
      <w:r w:rsidRPr="005B48F0">
        <w:rPr>
          <w:rFonts w:ascii="Calibri" w:eastAsia="Times New Roman" w:hAnsi="Calibri" w:cs="Times New Roman"/>
          <w:color w:val="000000"/>
        </w:rPr>
        <w:t>n/</w:t>
      </w:r>
      <w:r w:rsidR="00586934">
        <w:rPr>
          <w:rFonts w:ascii="Calibri" w:eastAsia="Times New Roman" w:hAnsi="Calibri" w:cs="Times New Roman"/>
          <w:color w:val="000000"/>
        </w:rPr>
        <w:t>o</w:t>
      </w:r>
      <w:r w:rsidRPr="005B48F0">
        <w:rPr>
          <w:rFonts w:ascii="Calibri" w:eastAsia="Times New Roman" w:hAnsi="Calibri" w:cs="Times New Roman"/>
          <w:color w:val="000000"/>
        </w:rPr>
        <w:t xml:space="preserve">ff periods, track energy use, and detect potential problems before the space users </w:t>
      </w:r>
      <w:r w:rsidR="00586934">
        <w:rPr>
          <w:rFonts w:ascii="Calibri" w:eastAsia="Times New Roman" w:hAnsi="Calibri" w:cs="Times New Roman"/>
          <w:color w:val="000000"/>
        </w:rPr>
        <w:t>become uncomfortable</w:t>
      </w:r>
      <w:r w:rsidRPr="005B48F0">
        <w:rPr>
          <w:rFonts w:ascii="Calibri" w:eastAsia="Times New Roman" w:hAnsi="Calibri" w:cs="Times New Roman"/>
          <w:color w:val="000000"/>
        </w:rPr>
        <w:t xml:space="preserve">. Because a majority of the </w:t>
      </w:r>
      <w:r w:rsidR="00586934">
        <w:rPr>
          <w:rFonts w:ascii="Calibri" w:eastAsia="Times New Roman" w:hAnsi="Calibri" w:cs="Times New Roman"/>
          <w:color w:val="000000"/>
        </w:rPr>
        <w:t>u</w:t>
      </w:r>
      <w:r w:rsidRPr="005B48F0">
        <w:rPr>
          <w:rFonts w:ascii="Calibri" w:eastAsia="Times New Roman" w:hAnsi="Calibri" w:cs="Times New Roman"/>
          <w:color w:val="000000"/>
        </w:rPr>
        <w:t>niversity buildings will remain in operation for the foreseeable future, it makes sense to migrate subject building controls to the current technology for improved monitoring, maintenance, and energy efficiency. In addition to cooling and heating energy savings, there would be added savings from elimination of compressed air systems.</w:t>
      </w:r>
    </w:p>
    <w:p w:rsidR="005B48F0" w:rsidRPr="005B48F0" w:rsidRDefault="005B48F0" w:rsidP="00FD0E60">
      <w:pPr>
        <w:numPr>
          <w:ilvl w:val="0"/>
          <w:numId w:val="21"/>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Demand controlled ventilation (DCV)</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Install CO</w:t>
      </w:r>
      <w:r w:rsidRPr="00586934">
        <w:rPr>
          <w:rFonts w:ascii="Calibri" w:eastAsia="Times New Roman" w:hAnsi="Calibri" w:cs="Times New Roman"/>
          <w:color w:val="000000"/>
          <w:vertAlign w:val="subscript"/>
        </w:rPr>
        <w:t>2</w:t>
      </w:r>
      <w:r w:rsidRPr="005B48F0">
        <w:rPr>
          <w:rFonts w:ascii="Calibri" w:eastAsia="Times New Roman" w:hAnsi="Calibri" w:cs="Times New Roman"/>
          <w:color w:val="000000"/>
        </w:rPr>
        <w:t xml:space="preserve"> sensors at all zones with variable occupancy for demand controlled ventilation (DCV) HVAC controls. Building ventilation rates are typically designed for 15 CFM per person, so as to maintain indoor CO</w:t>
      </w:r>
      <w:r w:rsidRPr="00C3653D">
        <w:rPr>
          <w:rFonts w:ascii="Calibri" w:eastAsia="Times New Roman" w:hAnsi="Calibri" w:cs="Times New Roman"/>
          <w:color w:val="000000"/>
          <w:vertAlign w:val="subscript"/>
        </w:rPr>
        <w:t>2</w:t>
      </w:r>
      <w:r w:rsidRPr="005B48F0">
        <w:rPr>
          <w:rFonts w:ascii="Calibri" w:eastAsia="Times New Roman" w:hAnsi="Calibri" w:cs="Times New Roman"/>
          <w:color w:val="000000"/>
        </w:rPr>
        <w:t xml:space="preserve"> concentrations below 1000 PPM (or 700 PPM above the ambient level of 300-400 PPM). Fan systems are typically designed to provide a ventilation rate large enough </w:t>
      </w:r>
      <w:r w:rsidR="00C3653D">
        <w:rPr>
          <w:rFonts w:ascii="Calibri" w:eastAsia="Times New Roman" w:hAnsi="Calibri" w:cs="Times New Roman"/>
          <w:color w:val="000000"/>
        </w:rPr>
        <w:t>to</w:t>
      </w:r>
      <w:r w:rsidRPr="005B48F0">
        <w:rPr>
          <w:rFonts w:ascii="Calibri" w:eastAsia="Times New Roman" w:hAnsi="Calibri" w:cs="Times New Roman"/>
          <w:color w:val="000000"/>
        </w:rPr>
        <w:t xml:space="preserve"> handle the peak occupancy conditions of a given space. Since no space is loaded to 100% capacity at all times, there is an opportunity to modulate the outside air dampers during partial occupancy periods </w:t>
      </w:r>
      <w:r w:rsidRPr="005B48F0">
        <w:rPr>
          <w:rFonts w:ascii="Calibri" w:eastAsia="Times New Roman" w:hAnsi="Calibri" w:cs="Times New Roman"/>
          <w:color w:val="000000"/>
        </w:rPr>
        <w:lastRenderedPageBreak/>
        <w:t xml:space="preserve">while continually meeting the design intent of </w:t>
      </w:r>
      <w:r w:rsidR="00C3653D">
        <w:rPr>
          <w:rFonts w:ascii="Calibri" w:eastAsia="Times New Roman" w:hAnsi="Calibri" w:cs="Times New Roman"/>
          <w:color w:val="000000"/>
        </w:rPr>
        <w:t>maintaining the</w:t>
      </w:r>
      <w:r w:rsidRPr="005B48F0">
        <w:rPr>
          <w:rFonts w:ascii="Calibri" w:eastAsia="Times New Roman" w:hAnsi="Calibri" w:cs="Times New Roman"/>
          <w:color w:val="000000"/>
        </w:rPr>
        <w:t xml:space="preserve"> CO</w:t>
      </w:r>
      <w:r w:rsidRPr="00C3653D">
        <w:rPr>
          <w:rFonts w:ascii="Calibri" w:eastAsia="Times New Roman" w:hAnsi="Calibri" w:cs="Times New Roman"/>
          <w:color w:val="000000"/>
          <w:vertAlign w:val="subscript"/>
        </w:rPr>
        <w:t xml:space="preserve">2 </w:t>
      </w:r>
      <w:r w:rsidRPr="005B48F0">
        <w:rPr>
          <w:rFonts w:ascii="Calibri" w:eastAsia="Times New Roman" w:hAnsi="Calibri" w:cs="Times New Roman"/>
          <w:color w:val="000000"/>
        </w:rPr>
        <w:t>level under 1000 PPM. Reducing the outside airflow at lower occupancy conditions enables a reduction in heating energy and cooling energy. Under this measure, the CO</w:t>
      </w:r>
      <w:r w:rsidRPr="00C3653D">
        <w:rPr>
          <w:rFonts w:ascii="Calibri" w:eastAsia="Times New Roman" w:hAnsi="Calibri" w:cs="Times New Roman"/>
          <w:color w:val="000000"/>
          <w:vertAlign w:val="subscript"/>
        </w:rPr>
        <w:t xml:space="preserve">2 </w:t>
      </w:r>
      <w:r w:rsidRPr="005B48F0">
        <w:rPr>
          <w:rFonts w:ascii="Calibri" w:eastAsia="Times New Roman" w:hAnsi="Calibri" w:cs="Times New Roman"/>
          <w:color w:val="000000"/>
        </w:rPr>
        <w:t>sensor would signal the need for more or less fresh outside air</w:t>
      </w:r>
      <w:r w:rsidR="00C3653D">
        <w:rPr>
          <w:rFonts w:ascii="Calibri" w:eastAsia="Times New Roman" w:hAnsi="Calibri" w:cs="Times New Roman"/>
          <w:color w:val="000000"/>
        </w:rPr>
        <w:t xml:space="preserve"> and</w:t>
      </w:r>
      <w:r w:rsidRPr="005B48F0">
        <w:rPr>
          <w:rFonts w:ascii="Calibri" w:eastAsia="Times New Roman" w:hAnsi="Calibri" w:cs="Times New Roman"/>
          <w:color w:val="000000"/>
        </w:rPr>
        <w:t xml:space="preserve"> controls would operate so that the OSA damper adjusts to maintain a </w:t>
      </w:r>
      <w:r w:rsidR="00C3653D">
        <w:rPr>
          <w:rFonts w:ascii="Calibri" w:eastAsia="Times New Roman" w:hAnsi="Calibri" w:cs="Times New Roman"/>
          <w:color w:val="000000"/>
        </w:rPr>
        <w:t>healthy CO</w:t>
      </w:r>
      <w:r w:rsidR="00C3653D" w:rsidRPr="00C3653D">
        <w:rPr>
          <w:rFonts w:ascii="Calibri" w:eastAsia="Times New Roman" w:hAnsi="Calibri" w:cs="Times New Roman"/>
          <w:color w:val="000000"/>
          <w:vertAlign w:val="subscript"/>
        </w:rPr>
        <w:t>2</w:t>
      </w:r>
      <w:r w:rsidR="00C3653D">
        <w:rPr>
          <w:rFonts w:ascii="Calibri" w:eastAsia="Times New Roman" w:hAnsi="Calibri" w:cs="Times New Roman"/>
          <w:color w:val="000000"/>
        </w:rPr>
        <w:t xml:space="preserve"> level</w:t>
      </w:r>
      <w:r w:rsidRPr="005B48F0">
        <w:rPr>
          <w:rFonts w:ascii="Calibri" w:eastAsia="Times New Roman" w:hAnsi="Calibri" w:cs="Times New Roman"/>
          <w:color w:val="000000"/>
        </w:rPr>
        <w:t>.  </w:t>
      </w:r>
    </w:p>
    <w:p w:rsidR="005B48F0" w:rsidRPr="005B48F0" w:rsidRDefault="005B48F0" w:rsidP="00FD0E60">
      <w:pPr>
        <w:numPr>
          <w:ilvl w:val="0"/>
          <w:numId w:val="22"/>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Occupancy-based HVAC</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This measure would require the linkage of existing occupancy sensors to the EMS system for capability to reset zone temperatures when no occupancy is detected. This of course is reliant upon the fact that each zone is or will be equipped with lighting occupancy sensors. Under the proposed system, the existing occupancy sensor in each zone will relay a signal to the EMS when no occupancy is detected.  When there are no occupants, the EMS shall automatically set back zone temperatures to a more efficient setting. This can be accomplished by simply providing low-voltage wiring from the sensor to the EMS controller input.  </w:t>
      </w:r>
    </w:p>
    <w:p w:rsidR="005B48F0" w:rsidRPr="005B48F0" w:rsidRDefault="005B48F0" w:rsidP="00FD0E60">
      <w:pPr>
        <w:numPr>
          <w:ilvl w:val="0"/>
          <w:numId w:val="23"/>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High-efficiency motors at elevators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Existing elevator motors throughout the campus range from 30 to 50 HP. For energy savings, this project proposes replacement of standard efficiency motors with new premium efficiency motors of matching capacity.</w:t>
      </w:r>
    </w:p>
    <w:p w:rsidR="005B48F0" w:rsidRPr="005B48F0" w:rsidRDefault="005B48F0" w:rsidP="00FD0E60">
      <w:pPr>
        <w:numPr>
          <w:ilvl w:val="0"/>
          <w:numId w:val="24"/>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Computer shut-down management</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A majority of computers on campus remain on after normal building operating hours. This measure would require the implementation of software to automatic</w:t>
      </w:r>
      <w:r w:rsidR="00DB68F3">
        <w:rPr>
          <w:rFonts w:ascii="Calibri" w:eastAsia="Times New Roman" w:hAnsi="Calibri" w:cs="Times New Roman"/>
          <w:color w:val="000000"/>
        </w:rPr>
        <w:t>ally</w:t>
      </w:r>
      <w:r w:rsidRPr="005B48F0">
        <w:rPr>
          <w:rFonts w:ascii="Calibri" w:eastAsia="Times New Roman" w:hAnsi="Calibri" w:cs="Times New Roman"/>
          <w:color w:val="000000"/>
        </w:rPr>
        <w:t xml:space="preserve"> shut off the computer at a specified time every day. This will eliminate energy consumption over extended periods like nighttime hours, weekends, and breaks. The computers will be given a set time in the off hours to accommodate for software updates and will subsequently be turned off. </w:t>
      </w:r>
    </w:p>
    <w:p w:rsidR="005B48F0" w:rsidRPr="005B48F0" w:rsidRDefault="005B48F0" w:rsidP="00FD0E60">
      <w:pPr>
        <w:numPr>
          <w:ilvl w:val="0"/>
          <w:numId w:val="25"/>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Vending misers for vending machines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This measure would require the installation of a vending machine controllers at all campus vending machines to monitor occupancy and space temperature conditions in the vicinity and to power down the vending machines during periods when the surrounding areas are vacated. The controllers also re-power the cooling system at periodic intervals to ensure that the beverages remain cold.</w:t>
      </w:r>
    </w:p>
    <w:p w:rsidR="005B48F0" w:rsidRPr="005B48F0" w:rsidRDefault="005B48F0" w:rsidP="00FD0E60">
      <w:pPr>
        <w:numPr>
          <w:ilvl w:val="0"/>
          <w:numId w:val="26"/>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High efficiency windows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Windows in buildings are typically responsible </w:t>
      </w:r>
      <w:r w:rsidR="00DB68F3">
        <w:rPr>
          <w:rFonts w:ascii="Calibri" w:eastAsia="Times New Roman" w:hAnsi="Calibri" w:cs="Times New Roman"/>
          <w:color w:val="000000"/>
        </w:rPr>
        <w:t xml:space="preserve">for a </w:t>
      </w:r>
      <w:r w:rsidRPr="005B48F0">
        <w:rPr>
          <w:rFonts w:ascii="Calibri" w:eastAsia="Times New Roman" w:hAnsi="Calibri" w:cs="Times New Roman"/>
          <w:color w:val="000000"/>
        </w:rPr>
        <w:t xml:space="preserve">large part of the heat loss during winter and heat gain in the summer.  Heat is transferred by direct conduction through the glass and through the frame around the window assembly.  Although not fully eliminated, this heat loss can be reduced by various means including converting from single to multiple panes, specialty selective films or coatings, and high tech framing.  This measure would require the replacement of existing single-pane windows with double-pane windows at south-facing and west-facing conditioned rooms throughout campus facilities. </w:t>
      </w:r>
    </w:p>
    <w:p w:rsidR="005B48F0" w:rsidRPr="005B48F0" w:rsidRDefault="005B48F0" w:rsidP="00FD0E60">
      <w:pPr>
        <w:numPr>
          <w:ilvl w:val="0"/>
          <w:numId w:val="27"/>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Network Thermostats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Install network thermostats for all HVAC system in University Park Apartments 1 – 15. Existing HVAC control is done by programmable thermostats; however, it is difficult for campus to enforce schedules or temperature set-points. HVAC may operate for long periods of time without any occupancy in the space or with cooling set</w:t>
      </w:r>
      <w:r w:rsidR="00404CE2">
        <w:rPr>
          <w:rFonts w:ascii="Calibri" w:eastAsia="Times New Roman" w:hAnsi="Calibri" w:cs="Times New Roman"/>
          <w:color w:val="000000"/>
        </w:rPr>
        <w:t>-</w:t>
      </w:r>
      <w:r w:rsidRPr="005B48F0">
        <w:rPr>
          <w:rFonts w:ascii="Calibri" w:eastAsia="Times New Roman" w:hAnsi="Calibri" w:cs="Times New Roman"/>
          <w:color w:val="000000"/>
        </w:rPr>
        <w:t xml:space="preserve">points as low as 68 F. This project proposes replacement </w:t>
      </w:r>
      <w:r w:rsidRPr="005B48F0">
        <w:rPr>
          <w:rFonts w:ascii="Calibri" w:eastAsia="Times New Roman" w:hAnsi="Calibri" w:cs="Times New Roman"/>
          <w:color w:val="000000"/>
        </w:rPr>
        <w:lastRenderedPageBreak/>
        <w:t>of existing programmable thermostats with new network thermostats, an alternative lower cost option to direct digital control (DDC) systems. Network thermostats can be connected via a secure wired Ethernet to a facility’s data network. This allows for maintenance staff to monitor, diagnose, and control HVAC systems from a central location.    </w:t>
      </w:r>
    </w:p>
    <w:p w:rsidR="005B48F0" w:rsidRPr="005B48F0" w:rsidRDefault="005B48F0" w:rsidP="00FD0E60">
      <w:pPr>
        <w:numPr>
          <w:ilvl w:val="0"/>
          <w:numId w:val="28"/>
        </w:numPr>
        <w:textAlignment w:val="baseline"/>
        <w:rPr>
          <w:rFonts w:ascii="Calibri" w:eastAsia="Times New Roman" w:hAnsi="Calibri" w:cs="Times New Roman"/>
          <w:b/>
          <w:bCs/>
          <w:color w:val="000000"/>
        </w:rPr>
      </w:pPr>
      <w:r w:rsidRPr="005B48F0">
        <w:rPr>
          <w:rFonts w:ascii="Calibri" w:eastAsia="Times New Roman" w:hAnsi="Calibri" w:cs="Times New Roman"/>
          <w:b/>
          <w:bCs/>
          <w:color w:val="000000"/>
        </w:rPr>
        <w:t>Central Plant Chiller Retrofit</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Retrofitted in 1997, the Central Plant efficiency is measured at 0.74 kW/</w:t>
      </w:r>
      <w:r w:rsidR="00DB68F3">
        <w:rPr>
          <w:rFonts w:ascii="Calibri" w:eastAsia="Times New Roman" w:hAnsi="Calibri" w:cs="Times New Roman"/>
          <w:color w:val="000000"/>
        </w:rPr>
        <w:t>t</w:t>
      </w:r>
      <w:r w:rsidRPr="005B48F0">
        <w:rPr>
          <w:rFonts w:ascii="Calibri" w:eastAsia="Times New Roman" w:hAnsi="Calibri" w:cs="Times New Roman"/>
          <w:color w:val="000000"/>
        </w:rPr>
        <w:t>on and is approaching the end of useful equipment life (i.e., 15+ years). This measure proposes the replacement of existing centrifugal compressors with the energy efficient compressors and variable speed drives</w:t>
      </w:r>
      <w:r w:rsidR="00874B62">
        <w:rPr>
          <w:rFonts w:ascii="Calibri" w:eastAsia="Times New Roman" w:hAnsi="Calibri" w:cs="Times New Roman"/>
          <w:color w:val="000000"/>
        </w:rPr>
        <w:t>,</w:t>
      </w:r>
      <w:r w:rsidRPr="005B48F0">
        <w:rPr>
          <w:rFonts w:ascii="Calibri" w:eastAsia="Times New Roman" w:hAnsi="Calibri" w:cs="Times New Roman"/>
          <w:color w:val="000000"/>
        </w:rPr>
        <w:t xml:space="preserve"> install</w:t>
      </w:r>
      <w:r w:rsidR="00874B62">
        <w:rPr>
          <w:rFonts w:ascii="Calibri" w:eastAsia="Times New Roman" w:hAnsi="Calibri" w:cs="Times New Roman"/>
          <w:color w:val="000000"/>
        </w:rPr>
        <w:t>ing</w:t>
      </w:r>
      <w:r w:rsidRPr="005B48F0">
        <w:rPr>
          <w:rFonts w:ascii="Calibri" w:eastAsia="Times New Roman" w:hAnsi="Calibri" w:cs="Times New Roman"/>
          <w:color w:val="000000"/>
        </w:rPr>
        <w:t xml:space="preserve"> variable speed primary pumps, condenser pumps, and cooling tower fans. With this installation, the chiller is expected to operate at an efficiency of 0.54 kW/ton (full load) and 0.48 kW/ton (part load); resulting in savings of approximately 0.20 kW/ton at full load and 0.12 kW/ton at part load.</w:t>
      </w:r>
    </w:p>
    <w:p w:rsidR="005B48F0" w:rsidRPr="005B48F0" w:rsidRDefault="005B48F0" w:rsidP="00FD0E60">
      <w:pPr>
        <w:numPr>
          <w:ilvl w:val="0"/>
          <w:numId w:val="29"/>
        </w:numPr>
        <w:textAlignment w:val="baseline"/>
        <w:rPr>
          <w:rFonts w:ascii="Calibri" w:eastAsia="Times New Roman" w:hAnsi="Calibri" w:cs="Times New Roman"/>
          <w:color w:val="000000"/>
        </w:rPr>
      </w:pPr>
      <w:r w:rsidRPr="005B48F0">
        <w:rPr>
          <w:rFonts w:ascii="Calibri" w:eastAsia="Times New Roman" w:hAnsi="Calibri" w:cs="Times New Roman"/>
          <w:b/>
          <w:bCs/>
          <w:color w:val="000000"/>
        </w:rPr>
        <w:t>Central Plant Chiller Savings from Building Measures</w:t>
      </w:r>
    </w:p>
    <w:p w:rsidR="005B48F0" w:rsidRPr="005B48F0" w:rsidRDefault="005B48F0" w:rsidP="00FD0E60">
      <w:pPr>
        <w:rPr>
          <w:rFonts w:ascii="Times New Roman" w:eastAsia="Times New Roman" w:hAnsi="Times New Roman" w:cs="Times New Roman"/>
          <w:sz w:val="24"/>
          <w:szCs w:val="24"/>
        </w:rPr>
      </w:pPr>
      <w:r w:rsidRPr="005B48F0">
        <w:rPr>
          <w:rFonts w:ascii="Calibri" w:eastAsia="Times New Roman" w:hAnsi="Calibri" w:cs="Times New Roman"/>
          <w:color w:val="000000"/>
        </w:rPr>
        <w:t>This strategy captures the savings realized through the implementation of the above strategies related to the campus HVAC system. Because of the efficiencies gained at the building level, the Central Plant supplying the chilled and heated hot water for HVAC proposed will have a lower overall demand.</w:t>
      </w:r>
    </w:p>
    <w:p w:rsidR="005B48F0" w:rsidRPr="005B48F0" w:rsidRDefault="005B48F0" w:rsidP="00DA0AC2">
      <w:pPr>
        <w:spacing w:line="240" w:lineRule="auto"/>
        <w:rPr>
          <w:rFonts w:ascii="Times New Roman" w:eastAsia="Times New Roman" w:hAnsi="Times New Roman" w:cs="Times New Roman"/>
          <w:sz w:val="24"/>
          <w:szCs w:val="24"/>
        </w:rPr>
      </w:pPr>
    </w:p>
    <w:p w:rsidR="005B48F0" w:rsidRDefault="005B48F0" w:rsidP="00FD0E60">
      <w:pPr>
        <w:rPr>
          <w:rFonts w:ascii="Calibri" w:eastAsia="Times New Roman" w:hAnsi="Calibri" w:cs="Times New Roman"/>
          <w:color w:val="000000"/>
        </w:rPr>
      </w:pPr>
      <w:r w:rsidRPr="005B48F0">
        <w:rPr>
          <w:rFonts w:ascii="Calibri" w:eastAsia="Times New Roman" w:hAnsi="Calibri" w:cs="Times New Roman"/>
          <w:color w:val="000000"/>
        </w:rPr>
        <w:t>All of the above strategies were derived from the CSUN Strategic Energy Plan. This plan outlines each measure and breaks down the cost as well as the greenhouse gas emission reductions that are expected from each measure.</w:t>
      </w:r>
    </w:p>
    <w:p w:rsidR="00735C2A" w:rsidRPr="00735C2A" w:rsidRDefault="00735C2A" w:rsidP="00FD0E60">
      <w:pPr>
        <w:pStyle w:val="Heading3"/>
      </w:pPr>
      <w:bookmarkStart w:id="13" w:name="_Toc440630058"/>
      <w:r w:rsidRPr="00735C2A">
        <w:t>3.1.1 Refrigerants and Chemicals</w:t>
      </w:r>
      <w:bookmarkEnd w:id="13"/>
    </w:p>
    <w:p w:rsidR="00735C2A" w:rsidRPr="000E46EB" w:rsidRDefault="00735C2A" w:rsidP="00FD0E60">
      <w:pPr>
        <w:rPr>
          <w:rFonts w:ascii="Times New Roman" w:eastAsia="Times New Roman" w:hAnsi="Times New Roman" w:cs="Times New Roman"/>
          <w:sz w:val="24"/>
          <w:szCs w:val="24"/>
        </w:rPr>
      </w:pPr>
      <w:r w:rsidRPr="000E46EB">
        <w:rPr>
          <w:rFonts w:ascii="Calibri" w:eastAsia="Times New Roman" w:hAnsi="Calibri" w:cs="Times New Roman"/>
          <w:color w:val="000000"/>
        </w:rPr>
        <w:t xml:space="preserve">Refrigerants and chemicals emissions primarily come from the use of refrigerants in a variety of equipment on campus. Some examples of this equipment are vehicles, air conditioning (both large and small), etc. Certain types of refrigerants, primarily chlorofluorocarbons (CFCs) and </w:t>
      </w:r>
      <w:proofErr w:type="spellStart"/>
      <w:r w:rsidRPr="000E46EB">
        <w:rPr>
          <w:rFonts w:ascii="Calibri" w:eastAsia="Times New Roman" w:hAnsi="Calibri" w:cs="Times New Roman"/>
          <w:color w:val="000000"/>
        </w:rPr>
        <w:t>hydrochlorofluorocarbons</w:t>
      </w:r>
      <w:proofErr w:type="spellEnd"/>
      <w:r w:rsidRPr="000E46EB">
        <w:rPr>
          <w:rFonts w:ascii="Calibri" w:eastAsia="Times New Roman" w:hAnsi="Calibri" w:cs="Times New Roman"/>
          <w:color w:val="000000"/>
        </w:rPr>
        <w:t xml:space="preserve"> (HCFCs), are harmful to the environment and result in fugitive emissions</w:t>
      </w:r>
      <w:r>
        <w:rPr>
          <w:rFonts w:ascii="Calibri" w:eastAsia="Times New Roman" w:hAnsi="Calibri" w:cs="Times New Roman"/>
          <w:color w:val="000000"/>
        </w:rPr>
        <w:t xml:space="preserve"> </w:t>
      </w:r>
      <w:r w:rsidRPr="000E46EB">
        <w:rPr>
          <w:rFonts w:ascii="Calibri" w:eastAsia="Times New Roman" w:hAnsi="Calibri" w:cs="Times New Roman"/>
          <w:color w:val="000000"/>
        </w:rPr>
        <w:t xml:space="preserve">directly introduced to the atmosphere </w:t>
      </w:r>
      <w:r>
        <w:rPr>
          <w:rFonts w:ascii="Calibri" w:eastAsia="Times New Roman" w:hAnsi="Calibri" w:cs="Times New Roman"/>
          <w:color w:val="000000"/>
        </w:rPr>
        <w:t>through</w:t>
      </w:r>
      <w:r w:rsidRPr="000E46EB">
        <w:rPr>
          <w:rFonts w:ascii="Calibri" w:eastAsia="Times New Roman" w:hAnsi="Calibri" w:cs="Times New Roman"/>
          <w:color w:val="000000"/>
        </w:rPr>
        <w:t xml:space="preserve"> leakage and service/maintenance of equipment.</w:t>
      </w:r>
      <w:r>
        <w:rPr>
          <w:rFonts w:ascii="Times New Roman" w:eastAsia="Times New Roman" w:hAnsi="Times New Roman" w:cs="Times New Roman"/>
          <w:sz w:val="24"/>
          <w:szCs w:val="24"/>
        </w:rPr>
        <w:t xml:space="preserve">  </w:t>
      </w:r>
      <w:r w:rsidRPr="000E46EB">
        <w:rPr>
          <w:rFonts w:ascii="Calibri" w:eastAsia="Times New Roman" w:hAnsi="Calibri" w:cs="Times New Roman"/>
          <w:color w:val="000000"/>
        </w:rPr>
        <w:t xml:space="preserve">CSUN’s </w:t>
      </w:r>
      <w:r>
        <w:rPr>
          <w:rFonts w:ascii="Calibri" w:eastAsia="Times New Roman" w:hAnsi="Calibri" w:cs="Times New Roman"/>
          <w:color w:val="000000"/>
        </w:rPr>
        <w:t>GHG</w:t>
      </w:r>
      <w:r w:rsidRPr="000E46EB">
        <w:rPr>
          <w:rFonts w:ascii="Calibri" w:eastAsia="Times New Roman" w:hAnsi="Calibri" w:cs="Times New Roman"/>
          <w:color w:val="000000"/>
        </w:rPr>
        <w:t xml:space="preserve"> Emissions Report revealed that the University’s use of refrigerants and chemicals contributes only 374 </w:t>
      </w:r>
      <w:proofErr w:type="spellStart"/>
      <w:r>
        <w:rPr>
          <w:rFonts w:ascii="Calibri" w:eastAsia="Times New Roman" w:hAnsi="Calibri" w:cs="Times New Roman"/>
          <w:color w:val="000000"/>
        </w:rPr>
        <w:t>t</w:t>
      </w:r>
      <w:r w:rsidRPr="000E46EB">
        <w:rPr>
          <w:rFonts w:ascii="Calibri" w:eastAsia="Times New Roman" w:hAnsi="Calibri" w:cs="Times New Roman"/>
          <w:color w:val="000000"/>
        </w:rPr>
        <w:t>onnes</w:t>
      </w:r>
      <w:proofErr w:type="spellEnd"/>
      <w:r w:rsidRPr="000E46EB">
        <w:rPr>
          <w:rFonts w:ascii="Calibri" w:eastAsia="Times New Roman" w:hAnsi="Calibri" w:cs="Times New Roman"/>
          <w:color w:val="000000"/>
        </w:rPr>
        <w:t xml:space="preserve"> eCO</w:t>
      </w:r>
      <w:r w:rsidRPr="0057094E">
        <w:rPr>
          <w:rFonts w:ascii="Calibri" w:eastAsia="Times New Roman" w:hAnsi="Calibri" w:cs="Times New Roman"/>
          <w:color w:val="000000"/>
          <w:vertAlign w:val="subscript"/>
        </w:rPr>
        <w:t>2</w:t>
      </w:r>
      <w:r w:rsidRPr="000E46EB">
        <w:rPr>
          <w:rFonts w:ascii="Calibri" w:eastAsia="Times New Roman" w:hAnsi="Calibri" w:cs="Times New Roman"/>
          <w:color w:val="000000"/>
        </w:rPr>
        <w:t xml:space="preserve"> annually, equivalent to 0.004% of the total campus emissions. </w:t>
      </w:r>
    </w:p>
    <w:p w:rsidR="00735C2A" w:rsidRPr="000E46EB" w:rsidRDefault="00735C2A" w:rsidP="00FD0E60">
      <w:pPr>
        <w:rPr>
          <w:rFonts w:ascii="Times New Roman" w:eastAsia="Times New Roman" w:hAnsi="Times New Roman" w:cs="Times New Roman"/>
          <w:sz w:val="24"/>
          <w:szCs w:val="24"/>
        </w:rPr>
      </w:pPr>
    </w:p>
    <w:p w:rsidR="00735C2A" w:rsidRPr="000E46EB" w:rsidRDefault="00735C2A" w:rsidP="00FD0E60">
      <w:pPr>
        <w:rPr>
          <w:rFonts w:ascii="Times New Roman" w:eastAsia="Times New Roman" w:hAnsi="Times New Roman" w:cs="Times New Roman"/>
          <w:sz w:val="24"/>
          <w:szCs w:val="24"/>
        </w:rPr>
      </w:pPr>
      <w:r w:rsidRPr="000E46EB">
        <w:rPr>
          <w:rFonts w:ascii="Calibri" w:eastAsia="Times New Roman" w:hAnsi="Calibri" w:cs="Times New Roman"/>
          <w:color w:val="000000"/>
        </w:rPr>
        <w:t>The data on refrigerants and chemical leakage and disposal at CSUN is only available between 2010 and 2013. Using the</w:t>
      </w:r>
      <w:r>
        <w:rPr>
          <w:rFonts w:ascii="Calibri" w:eastAsia="Times New Roman" w:hAnsi="Calibri" w:cs="Times New Roman"/>
          <w:color w:val="000000"/>
        </w:rPr>
        <w:t>se</w:t>
      </w:r>
      <w:r w:rsidRPr="000E46EB">
        <w:rPr>
          <w:rFonts w:ascii="Calibri" w:eastAsia="Times New Roman" w:hAnsi="Calibri" w:cs="Times New Roman"/>
          <w:color w:val="000000"/>
        </w:rPr>
        <w:t xml:space="preserve">, the fugitive emissions were </w:t>
      </w:r>
      <w:r>
        <w:rPr>
          <w:rFonts w:ascii="Calibri" w:eastAsia="Times New Roman" w:hAnsi="Calibri" w:cs="Times New Roman"/>
          <w:color w:val="000000"/>
        </w:rPr>
        <w:t>found to</w:t>
      </w:r>
      <w:r w:rsidRPr="000E46EB">
        <w:rPr>
          <w:rFonts w:ascii="Calibri" w:eastAsia="Times New Roman" w:hAnsi="Calibri" w:cs="Times New Roman"/>
          <w:color w:val="000000"/>
        </w:rPr>
        <w:t xml:space="preserve"> account for less than 0.5% of total emissions for the years in which they are available</w:t>
      </w:r>
      <w:r>
        <w:rPr>
          <w:rFonts w:ascii="Calibri" w:eastAsia="Times New Roman" w:hAnsi="Calibri" w:cs="Times New Roman"/>
          <w:color w:val="000000"/>
        </w:rPr>
        <w:t>, and thus</w:t>
      </w:r>
      <w:r w:rsidRPr="000E46EB">
        <w:rPr>
          <w:rFonts w:ascii="Calibri" w:eastAsia="Times New Roman" w:hAnsi="Calibri" w:cs="Times New Roman"/>
          <w:color w:val="000000"/>
        </w:rPr>
        <w:t xml:space="preserve"> fall under the de </w:t>
      </w:r>
      <w:proofErr w:type="spellStart"/>
      <w:r w:rsidRPr="000E46EB">
        <w:rPr>
          <w:rFonts w:ascii="Calibri" w:eastAsia="Times New Roman" w:hAnsi="Calibri" w:cs="Times New Roman"/>
          <w:color w:val="000000"/>
        </w:rPr>
        <w:t>minimis</w:t>
      </w:r>
      <w:proofErr w:type="spellEnd"/>
      <w:r w:rsidRPr="000E46EB">
        <w:rPr>
          <w:rFonts w:ascii="Calibri" w:eastAsia="Times New Roman" w:hAnsi="Calibri" w:cs="Times New Roman"/>
          <w:color w:val="000000"/>
        </w:rPr>
        <w:t xml:space="preserve"> category (materially insignificant) used for small emission sources that collectively comprise less than 5% of the institution's total GHG emissions.</w:t>
      </w:r>
    </w:p>
    <w:p w:rsidR="00735C2A" w:rsidRPr="000E46EB" w:rsidRDefault="00735C2A" w:rsidP="00FD0E60">
      <w:pPr>
        <w:rPr>
          <w:rFonts w:ascii="Times New Roman" w:eastAsia="Times New Roman" w:hAnsi="Times New Roman" w:cs="Times New Roman"/>
          <w:sz w:val="24"/>
          <w:szCs w:val="24"/>
        </w:rPr>
      </w:pPr>
    </w:p>
    <w:p w:rsidR="00735C2A" w:rsidRPr="000E46EB" w:rsidRDefault="00735C2A" w:rsidP="00FD0E60">
      <w:pPr>
        <w:rPr>
          <w:rFonts w:ascii="Times New Roman" w:eastAsia="Times New Roman" w:hAnsi="Times New Roman" w:cs="Times New Roman"/>
          <w:sz w:val="24"/>
          <w:szCs w:val="24"/>
        </w:rPr>
      </w:pPr>
      <w:r w:rsidRPr="000E46EB">
        <w:rPr>
          <w:rFonts w:ascii="Calibri" w:eastAsia="Times New Roman" w:hAnsi="Calibri" w:cs="Times New Roman"/>
          <w:color w:val="000000"/>
        </w:rPr>
        <w:t xml:space="preserve">While these emissions may fall under the de </w:t>
      </w:r>
      <w:proofErr w:type="spellStart"/>
      <w:r w:rsidRPr="000E46EB">
        <w:rPr>
          <w:rFonts w:ascii="Calibri" w:eastAsia="Times New Roman" w:hAnsi="Calibri" w:cs="Times New Roman"/>
          <w:color w:val="000000"/>
        </w:rPr>
        <w:t>minimis</w:t>
      </w:r>
      <w:proofErr w:type="spellEnd"/>
      <w:r w:rsidRPr="000E46EB">
        <w:rPr>
          <w:rFonts w:ascii="Calibri" w:eastAsia="Times New Roman" w:hAnsi="Calibri" w:cs="Times New Roman"/>
          <w:color w:val="000000"/>
        </w:rPr>
        <w:t xml:space="preserve"> category, it is important that the university continue to track the leakage and disposal of these refrigerants and chemicals as they </w:t>
      </w:r>
      <w:r>
        <w:rPr>
          <w:rFonts w:ascii="Calibri" w:eastAsia="Times New Roman" w:hAnsi="Calibri" w:cs="Times New Roman"/>
          <w:color w:val="000000"/>
        </w:rPr>
        <w:t>are</w:t>
      </w:r>
      <w:r w:rsidRPr="000E46EB">
        <w:rPr>
          <w:rFonts w:ascii="Calibri" w:eastAsia="Times New Roman" w:hAnsi="Calibri" w:cs="Times New Roman"/>
          <w:color w:val="000000"/>
        </w:rPr>
        <w:t xml:space="preserve"> significantly more </w:t>
      </w:r>
      <w:r>
        <w:rPr>
          <w:rFonts w:ascii="Calibri" w:eastAsia="Times New Roman" w:hAnsi="Calibri" w:cs="Times New Roman"/>
          <w:color w:val="000000"/>
        </w:rPr>
        <w:t>potent GHGs</w:t>
      </w:r>
      <w:r w:rsidRPr="000E46EB">
        <w:rPr>
          <w:rFonts w:ascii="Calibri" w:eastAsia="Times New Roman" w:hAnsi="Calibri" w:cs="Times New Roman"/>
          <w:color w:val="000000"/>
        </w:rPr>
        <w:t xml:space="preserve"> than CO</w:t>
      </w:r>
      <w:r w:rsidRPr="00C94AFA">
        <w:rPr>
          <w:rFonts w:ascii="Calibri" w:eastAsia="Times New Roman" w:hAnsi="Calibri" w:cs="Times New Roman"/>
          <w:color w:val="000000"/>
          <w:vertAlign w:val="subscript"/>
        </w:rPr>
        <w:t>2</w:t>
      </w:r>
      <w:r w:rsidRPr="000E46EB">
        <w:rPr>
          <w:rFonts w:ascii="Calibri" w:eastAsia="Times New Roman" w:hAnsi="Calibri" w:cs="Times New Roman"/>
          <w:color w:val="000000"/>
        </w:rPr>
        <w:t>. In order to ensure that these emissions do not increase, the University has identified the following strategies for implementation.</w:t>
      </w:r>
    </w:p>
    <w:p w:rsidR="00735C2A" w:rsidRPr="00C94AFA" w:rsidRDefault="00735C2A" w:rsidP="00FD0E60">
      <w:pPr>
        <w:rPr>
          <w:rFonts w:ascii="Times New Roman" w:eastAsia="Times New Roman" w:hAnsi="Times New Roman" w:cs="Times New Roman"/>
        </w:rPr>
      </w:pPr>
    </w:p>
    <w:p w:rsidR="00735C2A" w:rsidRPr="00C94AFA" w:rsidRDefault="00735C2A" w:rsidP="00FD0E60">
      <w:pPr>
        <w:rPr>
          <w:rFonts w:ascii="Times New Roman" w:eastAsia="Times New Roman" w:hAnsi="Times New Roman" w:cs="Times New Roman"/>
        </w:rPr>
      </w:pPr>
      <w:r w:rsidRPr="00C94AFA">
        <w:rPr>
          <w:rFonts w:ascii="Calibri" w:eastAsia="Times New Roman" w:hAnsi="Calibri" w:cs="Times New Roman"/>
          <w:b/>
          <w:bCs/>
          <w:color w:val="000000"/>
        </w:rPr>
        <w:lastRenderedPageBreak/>
        <w:t xml:space="preserve">Strategies </w:t>
      </w:r>
    </w:p>
    <w:tbl>
      <w:tblPr>
        <w:tblW w:w="0" w:type="auto"/>
        <w:tblCellMar>
          <w:top w:w="15" w:type="dxa"/>
          <w:left w:w="15" w:type="dxa"/>
          <w:bottom w:w="15" w:type="dxa"/>
          <w:right w:w="15" w:type="dxa"/>
        </w:tblCellMar>
        <w:tblLook w:val="04A0" w:firstRow="1" w:lastRow="0" w:firstColumn="1" w:lastColumn="0" w:noHBand="0" w:noVBand="1"/>
      </w:tblPr>
      <w:tblGrid>
        <w:gridCol w:w="3586"/>
        <w:gridCol w:w="2335"/>
        <w:gridCol w:w="3063"/>
      </w:tblGrid>
      <w:tr w:rsidR="00735C2A" w:rsidRPr="00C94AFA" w:rsidTr="009711EC">
        <w:trPr>
          <w:trHeight w:val="480"/>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605D55"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b/>
                <w:bCs/>
                <w:color w:val="000000"/>
              </w:rPr>
              <w:t>Strategy</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605D55"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b/>
                <w:bCs/>
                <w:color w:val="000000"/>
              </w:rPr>
              <w:t xml:space="preserve">Potential GHG Savings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605D55"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b/>
                <w:bCs/>
                <w:color w:val="000000"/>
              </w:rPr>
              <w:t>Estimated Project cost (one-time and ongoing)</w:t>
            </w:r>
          </w:p>
        </w:tc>
      </w:tr>
      <w:tr w:rsidR="00735C2A" w:rsidRPr="00C94AFA" w:rsidTr="009711EC">
        <w:trPr>
          <w:trHeight w:val="480"/>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605D55"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bCs/>
                <w:color w:val="000000"/>
              </w:rPr>
              <w:t xml:space="preserve">1. Leak prevention and Repair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194307"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color w:val="000000"/>
              </w:rPr>
              <w:t>21 lbs. R-22</w:t>
            </w:r>
            <w:r>
              <w:rPr>
                <w:rFonts w:ascii="Calibri" w:eastAsia="Times New Roman" w:hAnsi="Calibri" w:cs="Times New Roman"/>
                <w:color w:val="000000"/>
              </w:rPr>
              <w:t xml:space="preserve"> (16 </w:t>
            </w:r>
            <w:proofErr w:type="spellStart"/>
            <w:r>
              <w:rPr>
                <w:rFonts w:ascii="Calibri" w:eastAsia="Times New Roman" w:hAnsi="Calibri" w:cs="Times New Roman"/>
                <w:color w:val="000000"/>
              </w:rPr>
              <w:t>tonnes</w:t>
            </w:r>
            <w:proofErr w:type="spellEnd"/>
            <w:r>
              <w:rPr>
                <w:rFonts w:ascii="Calibri" w:eastAsia="Times New Roman" w:hAnsi="Calibri" w:cs="Times New Roman"/>
                <w:color w:val="000000"/>
              </w:rPr>
              <w:t xml:space="preserve"> eCO</w:t>
            </w:r>
            <w:r>
              <w:rPr>
                <w:rFonts w:ascii="Calibri" w:eastAsia="Times New Roman" w:hAnsi="Calibri" w:cs="Times New Roman"/>
                <w:color w:val="000000"/>
                <w:vertAlign w:val="subscript"/>
              </w:rPr>
              <w:t>2</w:t>
            </w:r>
            <w:r>
              <w:rPr>
                <w:rFonts w:ascii="Calibri" w:eastAsia="Times New Roman" w:hAnsi="Calibri" w:cs="Times New Roman"/>
                <w:color w:val="00000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605D55"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color w:val="000000"/>
              </w:rPr>
              <w:t>current practice- no additional cost</w:t>
            </w:r>
          </w:p>
        </w:tc>
      </w:tr>
      <w:tr w:rsidR="00735C2A" w:rsidRPr="00C94AFA" w:rsidTr="009711EC">
        <w:trPr>
          <w:trHeight w:val="480"/>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605D55"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bCs/>
                <w:color w:val="000000"/>
              </w:rPr>
              <w:t>2. Phase out and replace all equipment using HCFC's (R22)</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Default="00735C2A" w:rsidP="00DA0AC2">
            <w:pPr>
              <w:spacing w:line="240" w:lineRule="auto"/>
              <w:rPr>
                <w:rFonts w:ascii="Calibri" w:eastAsia="Times New Roman" w:hAnsi="Calibri" w:cs="Times New Roman"/>
                <w:color w:val="000000"/>
              </w:rPr>
            </w:pPr>
            <w:r w:rsidRPr="00605D55">
              <w:rPr>
                <w:rFonts w:ascii="Calibri" w:eastAsia="Times New Roman" w:hAnsi="Calibri" w:cs="Times New Roman"/>
                <w:color w:val="000000"/>
              </w:rPr>
              <w:t>318,673 kWh</w:t>
            </w:r>
          </w:p>
          <w:p w:rsidR="00735C2A" w:rsidRPr="00194307" w:rsidRDefault="00735C2A" w:rsidP="00DA0AC2">
            <w:pPr>
              <w:spacing w:line="240" w:lineRule="auto"/>
              <w:rPr>
                <w:rFonts w:ascii="Times New Roman" w:eastAsia="Times New Roman" w:hAnsi="Times New Roman" w:cs="Times New Roman"/>
              </w:rPr>
            </w:pPr>
            <w:r w:rsidRPr="00605D55">
              <w:rPr>
                <w:rFonts w:ascii="Calibri" w:eastAsia="Times New Roman" w:hAnsi="Calibri" w:cs="Times New Roman"/>
                <w:color w:val="000000"/>
              </w:rPr>
              <w:t xml:space="preserve"> &amp; 413 lbs. R-22</w:t>
            </w:r>
            <w:r>
              <w:rPr>
                <w:rFonts w:ascii="Calibri" w:eastAsia="Times New Roman" w:hAnsi="Calibri" w:cs="Times New Roman"/>
                <w:color w:val="000000"/>
              </w:rPr>
              <w:t xml:space="preserve"> (318 </w:t>
            </w:r>
            <w:proofErr w:type="spellStart"/>
            <w:r>
              <w:rPr>
                <w:rFonts w:ascii="Calibri" w:eastAsia="Times New Roman" w:hAnsi="Calibri" w:cs="Times New Roman"/>
                <w:color w:val="000000"/>
              </w:rPr>
              <w:t>tonnes</w:t>
            </w:r>
            <w:proofErr w:type="spellEnd"/>
            <w:r>
              <w:rPr>
                <w:rFonts w:ascii="Calibri" w:eastAsia="Times New Roman" w:hAnsi="Calibri" w:cs="Times New Roman"/>
                <w:color w:val="000000"/>
              </w:rPr>
              <w:t xml:space="preserve"> eCO</w:t>
            </w:r>
            <w:r>
              <w:rPr>
                <w:rFonts w:ascii="Calibri" w:eastAsia="Times New Roman" w:hAnsi="Calibri" w:cs="Times New Roman"/>
                <w:color w:val="000000"/>
                <w:vertAlign w:val="subscript"/>
              </w:rPr>
              <w:t>2</w:t>
            </w:r>
            <w:r>
              <w:rPr>
                <w:rFonts w:ascii="Calibri" w:eastAsia="Times New Roman" w:hAnsi="Calibri" w:cs="Times New Roman"/>
                <w:color w:val="00000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735C2A" w:rsidRPr="00605D55" w:rsidRDefault="00085B98" w:rsidP="00DA0AC2">
            <w:pPr>
              <w:spacing w:line="240" w:lineRule="auto"/>
              <w:rPr>
                <w:rFonts w:ascii="Times New Roman" w:eastAsia="Times New Roman" w:hAnsi="Times New Roman" w:cs="Times New Roman"/>
              </w:rPr>
            </w:pPr>
            <w:r>
              <w:rPr>
                <w:rFonts w:ascii="Calibri" w:eastAsia="Times New Roman" w:hAnsi="Calibri" w:cs="Times New Roman"/>
                <w:color w:val="000000"/>
              </w:rPr>
              <w:t>$1,926,750</w:t>
            </w:r>
            <w:r w:rsidR="00735C2A" w:rsidRPr="00605D55">
              <w:rPr>
                <w:rFonts w:ascii="Calibri" w:eastAsia="Times New Roman" w:hAnsi="Calibri" w:cs="Times New Roman"/>
                <w:color w:val="000000"/>
              </w:rPr>
              <w:t xml:space="preserve"> </w:t>
            </w:r>
          </w:p>
        </w:tc>
      </w:tr>
    </w:tbl>
    <w:p w:rsidR="00735C2A" w:rsidRPr="00C94AFA" w:rsidRDefault="00735C2A" w:rsidP="00DA0AC2">
      <w:pPr>
        <w:spacing w:line="240" w:lineRule="auto"/>
        <w:rPr>
          <w:rFonts w:ascii="Times New Roman" w:eastAsia="Times New Roman" w:hAnsi="Times New Roman" w:cs="Times New Roman"/>
        </w:rPr>
      </w:pPr>
    </w:p>
    <w:p w:rsidR="00735C2A" w:rsidRPr="00C94AFA" w:rsidRDefault="00735C2A" w:rsidP="00FD0E60">
      <w:pPr>
        <w:numPr>
          <w:ilvl w:val="0"/>
          <w:numId w:val="34"/>
        </w:numPr>
        <w:textAlignment w:val="baseline"/>
        <w:rPr>
          <w:rFonts w:ascii="Calibri" w:eastAsia="Times New Roman" w:hAnsi="Calibri" w:cs="Times New Roman"/>
          <w:b/>
          <w:bCs/>
          <w:color w:val="000000"/>
        </w:rPr>
      </w:pPr>
      <w:r w:rsidRPr="00C94AFA">
        <w:rPr>
          <w:rFonts w:ascii="Calibri" w:eastAsia="Times New Roman" w:hAnsi="Calibri" w:cs="Times New Roman"/>
          <w:b/>
          <w:bCs/>
          <w:color w:val="000000"/>
        </w:rPr>
        <w:t>Leak prevention &amp; repair</w:t>
      </w:r>
    </w:p>
    <w:p w:rsidR="00735C2A" w:rsidRPr="00C94AFA" w:rsidRDefault="00735C2A" w:rsidP="00FD0E60">
      <w:pPr>
        <w:rPr>
          <w:rFonts w:ascii="Times New Roman" w:eastAsia="Times New Roman" w:hAnsi="Times New Roman" w:cs="Times New Roman"/>
        </w:rPr>
      </w:pPr>
      <w:r w:rsidRPr="00C94AFA">
        <w:rPr>
          <w:rFonts w:ascii="Calibri" w:eastAsia="Times New Roman" w:hAnsi="Calibri" w:cs="Times New Roman"/>
          <w:color w:val="000000"/>
        </w:rPr>
        <w:t xml:space="preserve">The refrigeration equipment on campus is managed and maintain by the University’s Physical Plant Management Engineering Services Department. This strategy will have the department develop a strategic plan </w:t>
      </w:r>
      <w:r>
        <w:rPr>
          <w:rFonts w:ascii="Calibri" w:eastAsia="Times New Roman" w:hAnsi="Calibri" w:cs="Times New Roman"/>
          <w:color w:val="000000"/>
        </w:rPr>
        <w:t xml:space="preserve">to </w:t>
      </w:r>
      <w:r w:rsidRPr="00C94AFA">
        <w:rPr>
          <w:rFonts w:ascii="Calibri" w:eastAsia="Times New Roman" w:hAnsi="Calibri" w:cs="Times New Roman"/>
          <w:color w:val="000000"/>
        </w:rPr>
        <w:t>find and monitor/track leaks on refrigeration equipment as well as refill and repair these units</w:t>
      </w:r>
      <w:r>
        <w:rPr>
          <w:rFonts w:ascii="Calibri" w:eastAsia="Times New Roman" w:hAnsi="Calibri" w:cs="Times New Roman"/>
          <w:color w:val="000000"/>
        </w:rPr>
        <w:t>.</w:t>
      </w:r>
    </w:p>
    <w:p w:rsidR="00735C2A" w:rsidRPr="00C94AFA" w:rsidRDefault="00735C2A" w:rsidP="00FD0E60">
      <w:pPr>
        <w:numPr>
          <w:ilvl w:val="0"/>
          <w:numId w:val="35"/>
        </w:numPr>
        <w:textAlignment w:val="baseline"/>
        <w:rPr>
          <w:rFonts w:ascii="Calibri" w:eastAsia="Times New Roman" w:hAnsi="Calibri" w:cs="Times New Roman"/>
          <w:b/>
          <w:bCs/>
          <w:color w:val="000000"/>
        </w:rPr>
      </w:pPr>
      <w:r w:rsidRPr="00C94AFA">
        <w:rPr>
          <w:rFonts w:ascii="Calibri" w:eastAsia="Times New Roman" w:hAnsi="Calibri" w:cs="Times New Roman"/>
          <w:b/>
          <w:bCs/>
          <w:color w:val="000000"/>
        </w:rPr>
        <w:t>Retrofit, phase out and replace all equipment using HCFC's</w:t>
      </w:r>
    </w:p>
    <w:p w:rsidR="00735C2A" w:rsidRPr="00C94AFA" w:rsidRDefault="00735C2A" w:rsidP="00FD0E60">
      <w:pPr>
        <w:rPr>
          <w:rFonts w:ascii="Times New Roman" w:eastAsia="Times New Roman" w:hAnsi="Times New Roman" w:cs="Times New Roman"/>
        </w:rPr>
      </w:pPr>
      <w:r w:rsidRPr="00C94AFA">
        <w:rPr>
          <w:rFonts w:ascii="Calibri" w:eastAsia="Times New Roman" w:hAnsi="Calibri" w:cs="Times New Roman"/>
          <w:color w:val="000000"/>
        </w:rPr>
        <w:t xml:space="preserve">The University has identified over 63 individual packaged units spread throughout 12 buildings on campus that are still using HCFC’s, particularly R22 refrigerant. This strategy will be to replace all of these units with more efficient SEER 14 units that do not use HCFC refrigerants. The replacement of these units will be done in a phased approach, </w:t>
      </w:r>
      <w:r>
        <w:rPr>
          <w:rFonts w:ascii="Calibri" w:eastAsia="Times New Roman" w:hAnsi="Calibri" w:cs="Times New Roman"/>
          <w:color w:val="000000"/>
        </w:rPr>
        <w:t>as</w:t>
      </w:r>
      <w:r w:rsidRPr="00C94AFA">
        <w:rPr>
          <w:rFonts w:ascii="Calibri" w:eastAsia="Times New Roman" w:hAnsi="Calibri" w:cs="Times New Roman"/>
          <w:color w:val="000000"/>
        </w:rPr>
        <w:t xml:space="preserve"> fund</w:t>
      </w:r>
      <w:r>
        <w:rPr>
          <w:rFonts w:ascii="Calibri" w:eastAsia="Times New Roman" w:hAnsi="Calibri" w:cs="Times New Roman"/>
          <w:color w:val="000000"/>
        </w:rPr>
        <w:t>ing permits</w:t>
      </w:r>
      <w:r w:rsidRPr="00C94AFA">
        <w:rPr>
          <w:rFonts w:ascii="Calibri" w:eastAsia="Times New Roman" w:hAnsi="Calibri" w:cs="Times New Roman"/>
          <w:color w:val="000000"/>
        </w:rPr>
        <w:t>.</w:t>
      </w:r>
    </w:p>
    <w:p w:rsidR="00ED5A06" w:rsidRPr="00ED5A06" w:rsidRDefault="002B73E2" w:rsidP="00FD0E60">
      <w:pPr>
        <w:pStyle w:val="Heading2"/>
      </w:pPr>
      <w:bookmarkStart w:id="14" w:name="_Toc440630059"/>
      <w:r>
        <w:t>3</w:t>
      </w:r>
      <w:r w:rsidR="00ED5A06" w:rsidRPr="00ED5A06">
        <w:t>.</w:t>
      </w:r>
      <w:r w:rsidR="001C0B7D">
        <w:t>2</w:t>
      </w:r>
      <w:r w:rsidR="00ED5A06" w:rsidRPr="00ED5A06">
        <w:t xml:space="preserve"> Power </w:t>
      </w:r>
      <w:r w:rsidR="001C0B7D">
        <w:t>M</w:t>
      </w:r>
      <w:r w:rsidR="00ED5A06" w:rsidRPr="00ED5A06">
        <w:t>ix</w:t>
      </w:r>
      <w:bookmarkEnd w:id="14"/>
      <w:r w:rsidR="00ED5A06" w:rsidRPr="00ED5A06">
        <w:t xml:space="preserve"> </w:t>
      </w:r>
    </w:p>
    <w:p w:rsidR="00644494" w:rsidRDefault="00BB596B" w:rsidP="00FD0E60">
      <w:pPr>
        <w:rPr>
          <w:rFonts w:ascii="Calibri" w:eastAsia="Calibri" w:hAnsi="Calibri" w:cs="Calibri"/>
          <w:color w:val="000000"/>
        </w:rPr>
      </w:pPr>
      <w:r>
        <w:rPr>
          <w:rFonts w:ascii="Calibri" w:eastAsia="Calibri" w:hAnsi="Calibri" w:cs="Calibri"/>
          <w:color w:val="000000"/>
        </w:rPr>
        <w:t xml:space="preserve">CSUN generates approximately 18% of its electricity on site </w:t>
      </w:r>
      <w:r w:rsidR="0045673D">
        <w:rPr>
          <w:rFonts w:ascii="Calibri" w:eastAsia="Calibri" w:hAnsi="Calibri" w:cs="Calibri"/>
          <w:color w:val="000000"/>
        </w:rPr>
        <w:t>utilizing</w:t>
      </w:r>
      <w:r>
        <w:rPr>
          <w:rFonts w:ascii="Calibri" w:eastAsia="Calibri" w:hAnsi="Calibri" w:cs="Calibri"/>
          <w:color w:val="000000"/>
        </w:rPr>
        <w:t xml:space="preserve"> a </w:t>
      </w:r>
      <w:r w:rsidR="0045673D">
        <w:rPr>
          <w:rFonts w:ascii="Calibri" w:eastAsia="Calibri" w:hAnsi="Calibri" w:cs="Calibri"/>
          <w:color w:val="000000"/>
        </w:rPr>
        <w:t xml:space="preserve">1 MW </w:t>
      </w:r>
      <w:r>
        <w:rPr>
          <w:rFonts w:ascii="Calibri" w:eastAsia="Calibri" w:hAnsi="Calibri" w:cs="Calibri"/>
          <w:color w:val="000000"/>
        </w:rPr>
        <w:t>fuel cell</w:t>
      </w:r>
      <w:r w:rsidR="0045673D">
        <w:rPr>
          <w:rFonts w:ascii="Calibri" w:eastAsia="Calibri" w:hAnsi="Calibri" w:cs="Calibri"/>
          <w:color w:val="000000"/>
        </w:rPr>
        <w:t xml:space="preserve">, 692 kW of solar PV panels installed over parking lots B2 and E6 in the early 2000s, </w:t>
      </w:r>
      <w:r w:rsidR="001867BC">
        <w:rPr>
          <w:rFonts w:ascii="Calibri" w:eastAsia="Calibri" w:hAnsi="Calibri" w:cs="Calibri"/>
          <w:color w:val="000000"/>
        </w:rPr>
        <w:t>a</w:t>
      </w:r>
      <w:r w:rsidR="0045673D">
        <w:rPr>
          <w:rFonts w:ascii="Calibri" w:eastAsia="Calibri" w:hAnsi="Calibri" w:cs="Calibri"/>
          <w:color w:val="000000"/>
        </w:rPr>
        <w:t xml:space="preserve"> </w:t>
      </w:r>
      <w:r w:rsidR="001867BC">
        <w:rPr>
          <w:rFonts w:ascii="Calibri" w:eastAsia="Calibri" w:hAnsi="Calibri" w:cs="Calibri"/>
          <w:color w:val="000000"/>
        </w:rPr>
        <w:t>90</w:t>
      </w:r>
      <w:r w:rsidR="0045673D" w:rsidRPr="001867BC">
        <w:rPr>
          <w:rFonts w:ascii="Calibri" w:eastAsia="Calibri" w:hAnsi="Calibri" w:cs="Calibri"/>
          <w:color w:val="000000"/>
        </w:rPr>
        <w:t xml:space="preserve"> k</w:t>
      </w:r>
      <w:r w:rsidR="0045673D">
        <w:rPr>
          <w:rFonts w:ascii="Calibri" w:eastAsia="Calibri" w:hAnsi="Calibri" w:cs="Calibri"/>
          <w:color w:val="000000"/>
        </w:rPr>
        <w:t>W solar rooftop installation over the Student Recreation Center</w:t>
      </w:r>
      <w:r w:rsidR="001867BC">
        <w:rPr>
          <w:rFonts w:ascii="Calibri" w:eastAsia="Calibri" w:hAnsi="Calibri" w:cs="Calibri"/>
          <w:color w:val="000000"/>
        </w:rPr>
        <w:t xml:space="preserve">, and 61 kW of potential PV from pilot </w:t>
      </w:r>
      <w:r w:rsidR="00317C64">
        <w:rPr>
          <w:rFonts w:ascii="Calibri" w:eastAsia="Calibri" w:hAnsi="Calibri" w:cs="Calibri"/>
          <w:color w:val="000000"/>
        </w:rPr>
        <w:t>technology</w:t>
      </w:r>
      <w:r w:rsidR="001867BC">
        <w:rPr>
          <w:rFonts w:ascii="Calibri" w:eastAsia="Calibri" w:hAnsi="Calibri" w:cs="Calibri"/>
          <w:color w:val="000000"/>
        </w:rPr>
        <w:t xml:space="preserve"> developed with Boeing</w:t>
      </w:r>
      <w:r w:rsidR="0045673D">
        <w:rPr>
          <w:rFonts w:ascii="Calibri" w:eastAsia="Calibri" w:hAnsi="Calibri" w:cs="Calibri"/>
          <w:color w:val="000000"/>
        </w:rPr>
        <w:t xml:space="preserve">.  </w:t>
      </w:r>
      <w:r w:rsidR="00317C64">
        <w:rPr>
          <w:rFonts w:ascii="Calibri" w:eastAsia="Calibri" w:hAnsi="Calibri" w:cs="Calibri"/>
          <w:color w:val="000000"/>
        </w:rPr>
        <w:t>Over 80% of</w:t>
      </w:r>
      <w:r w:rsidR="0045673D">
        <w:rPr>
          <w:rFonts w:ascii="Calibri" w:eastAsia="Calibri" w:hAnsi="Calibri" w:cs="Calibri"/>
          <w:color w:val="000000"/>
        </w:rPr>
        <w:t xml:space="preserve"> electricity used on campus is purchased from the Los Angeles Department of Water and Power (LADWP), our local utility provider.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he Los Angeles Department of Water and Power's Power Content Label for calendar year 2013."/>
      </w:tblPr>
      <w:tblGrid>
        <w:gridCol w:w="9000"/>
      </w:tblGrid>
      <w:tr w:rsidR="00E255DF" w:rsidTr="00211F33">
        <w:trPr>
          <w:trHeight w:val="4760"/>
          <w:tblHeader/>
        </w:trPr>
        <w:tc>
          <w:tcPr>
            <w:tcW w:w="9108" w:type="dxa"/>
          </w:tcPr>
          <w:p w:rsidR="00FD0E60" w:rsidRDefault="00E255DF" w:rsidP="00FD0E60">
            <w:pPr>
              <w:jc w:val="center"/>
              <w:rPr>
                <w:rFonts w:ascii="Calibri" w:eastAsia="Calibri" w:hAnsi="Calibri" w:cs="Calibri"/>
                <w:b/>
                <w:color w:val="000000"/>
              </w:rPr>
            </w:pPr>
            <w:r>
              <w:rPr>
                <w:noProof/>
              </w:rPr>
              <w:lastRenderedPageBreak/>
              <w:drawing>
                <wp:inline distT="0" distB="0" distL="0" distR="0" wp14:anchorId="1BFCC8C5" wp14:editId="4BAEEFF4">
                  <wp:extent cx="3274743" cy="2828925"/>
                  <wp:effectExtent l="0" t="0" r="1905" b="0"/>
                  <wp:docPr id="13" name="Picture 13" descr="The Los Angeles Department of Water and Power's Power Content Label for calendar year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300307" cy="2851009"/>
                          </a:xfrm>
                          <a:prstGeom prst="rect">
                            <a:avLst/>
                          </a:prstGeom>
                        </pic:spPr>
                      </pic:pic>
                    </a:graphicData>
                  </a:graphic>
                </wp:inline>
              </w:drawing>
            </w:r>
          </w:p>
          <w:p w:rsidR="00E255DF" w:rsidRPr="006349AD" w:rsidRDefault="006349AD" w:rsidP="009139CC">
            <w:pPr>
              <w:spacing w:before="120"/>
              <w:jc w:val="center"/>
              <w:rPr>
                <w:rFonts w:ascii="Calibri" w:eastAsia="Calibri" w:hAnsi="Calibri" w:cs="Calibri"/>
                <w:b/>
                <w:color w:val="000000"/>
              </w:rPr>
            </w:pPr>
            <w:r w:rsidRPr="006349AD">
              <w:rPr>
                <w:rFonts w:ascii="Calibri" w:eastAsia="Calibri" w:hAnsi="Calibri" w:cs="Calibri"/>
                <w:b/>
                <w:color w:val="000000"/>
              </w:rPr>
              <w:t>Figure 8</w:t>
            </w:r>
            <w:r w:rsidR="00E255DF" w:rsidRPr="006349AD">
              <w:rPr>
                <w:rFonts w:ascii="Calibri" w:eastAsia="Calibri" w:hAnsi="Calibri" w:cs="Calibri"/>
                <w:b/>
                <w:color w:val="000000"/>
              </w:rPr>
              <w:t xml:space="preserve">. Fuel mix of power generated by LADWP in 2013 and compared to the </w:t>
            </w:r>
            <w:r w:rsidR="002B73E2">
              <w:rPr>
                <w:rFonts w:ascii="Calibri" w:eastAsia="Calibri" w:hAnsi="Calibri" w:cs="Calibri"/>
                <w:b/>
                <w:color w:val="000000"/>
              </w:rPr>
              <w:t>CA</w:t>
            </w:r>
            <w:r w:rsidR="00E255DF" w:rsidRPr="006349AD">
              <w:rPr>
                <w:rFonts w:ascii="Calibri" w:eastAsia="Calibri" w:hAnsi="Calibri" w:cs="Calibri"/>
                <w:b/>
                <w:color w:val="000000"/>
              </w:rPr>
              <w:t xml:space="preserve"> average.</w:t>
            </w:r>
          </w:p>
        </w:tc>
      </w:tr>
    </w:tbl>
    <w:p w:rsidR="00854237" w:rsidRDefault="00854237" w:rsidP="00DA0AC2">
      <w:pPr>
        <w:spacing w:line="240" w:lineRule="auto"/>
        <w:rPr>
          <w:rFonts w:ascii="Calibri" w:eastAsia="Calibri" w:hAnsi="Calibri" w:cs="Calibri"/>
          <w:color w:val="000000"/>
        </w:rPr>
      </w:pPr>
    </w:p>
    <w:p w:rsidR="00854237" w:rsidRDefault="00854237" w:rsidP="00FD0E60">
      <w:pPr>
        <w:rPr>
          <w:rFonts w:ascii="Calibri" w:eastAsia="Calibri" w:hAnsi="Calibri" w:cs="Calibri"/>
          <w:color w:val="000000"/>
        </w:rPr>
      </w:pPr>
      <w:r>
        <w:rPr>
          <w:rFonts w:ascii="Calibri" w:eastAsia="Calibri" w:hAnsi="Calibri" w:cs="Calibri"/>
          <w:color w:val="000000"/>
        </w:rPr>
        <w:t>Much of LADWP’s power is generated from coal (Figure 8), which has the highest GHG emissions per unit of energy generated of any fuel (300 g CO</w:t>
      </w:r>
      <w:r>
        <w:rPr>
          <w:rFonts w:ascii="Calibri" w:eastAsia="Calibri" w:hAnsi="Calibri" w:cs="Calibri"/>
          <w:color w:val="000000"/>
          <w:vertAlign w:val="subscript"/>
        </w:rPr>
        <w:t>2</w:t>
      </w:r>
      <w:r>
        <w:rPr>
          <w:rFonts w:ascii="Calibri" w:eastAsia="Calibri" w:hAnsi="Calibri" w:cs="Calibri"/>
          <w:color w:val="000000"/>
        </w:rPr>
        <w:t>/kWh</w:t>
      </w:r>
      <w:r w:rsidR="009139CC">
        <w:rPr>
          <w:rFonts w:ascii="Calibri" w:eastAsia="Calibri" w:hAnsi="Calibri" w:cs="Calibri"/>
          <w:color w:val="000000"/>
        </w:rPr>
        <w:t>)</w:t>
      </w:r>
      <w:r>
        <w:rPr>
          <w:rFonts w:ascii="Calibri" w:eastAsia="Calibri" w:hAnsi="Calibri" w:cs="Calibri"/>
          <w:color w:val="000000"/>
        </w:rPr>
        <w:t xml:space="preserve"> compared to natural gas at 181 g</w:t>
      </w:r>
      <w:r w:rsidRPr="00317C64">
        <w:rPr>
          <w:rFonts w:ascii="Calibri" w:eastAsia="Calibri" w:hAnsi="Calibri" w:cs="Calibri"/>
          <w:color w:val="000000"/>
        </w:rPr>
        <w:t xml:space="preserve"> </w:t>
      </w:r>
      <w:r>
        <w:rPr>
          <w:rFonts w:ascii="Calibri" w:eastAsia="Calibri" w:hAnsi="Calibri" w:cs="Calibri"/>
          <w:color w:val="000000"/>
        </w:rPr>
        <w:t>CO</w:t>
      </w:r>
      <w:r>
        <w:rPr>
          <w:rFonts w:ascii="Calibri" w:eastAsia="Calibri" w:hAnsi="Calibri" w:cs="Calibri"/>
          <w:color w:val="000000"/>
          <w:vertAlign w:val="subscript"/>
        </w:rPr>
        <w:t>2</w:t>
      </w:r>
      <w:r>
        <w:rPr>
          <w:rFonts w:ascii="Calibri" w:eastAsia="Calibri" w:hAnsi="Calibri" w:cs="Calibri"/>
          <w:color w:val="000000"/>
        </w:rPr>
        <w:t>/kWh and oil at 240 g CO</w:t>
      </w:r>
      <w:r>
        <w:rPr>
          <w:rFonts w:ascii="Calibri" w:eastAsia="Calibri" w:hAnsi="Calibri" w:cs="Calibri"/>
          <w:color w:val="000000"/>
          <w:vertAlign w:val="subscript"/>
        </w:rPr>
        <w:t>2</w:t>
      </w:r>
      <w:r>
        <w:rPr>
          <w:rFonts w:ascii="Calibri" w:eastAsia="Calibri" w:hAnsi="Calibri" w:cs="Calibri"/>
          <w:color w:val="000000"/>
        </w:rPr>
        <w:t>/kWh, thus the carbon intensity of CSUN’s electricity use is considerably higher than the statewide average.</w:t>
      </w:r>
    </w:p>
    <w:p w:rsidR="00E255DF" w:rsidRDefault="00E255DF" w:rsidP="00FD0E60">
      <w:pPr>
        <w:rPr>
          <w:rFonts w:ascii="Calibri" w:eastAsia="Calibri" w:hAnsi="Calibri" w:cs="Calibri"/>
          <w:color w:val="000000"/>
        </w:rPr>
      </w:pPr>
    </w:p>
    <w:p w:rsidR="000315C0" w:rsidRDefault="00A22A46" w:rsidP="00FD0E60">
      <w:pPr>
        <w:rPr>
          <w:rFonts w:ascii="Calibri" w:eastAsia="Calibri" w:hAnsi="Calibri" w:cs="Calibri"/>
          <w:color w:val="000000"/>
        </w:rPr>
      </w:pPr>
      <w:r>
        <w:rPr>
          <w:rFonts w:ascii="Calibri" w:eastAsia="Calibri" w:hAnsi="Calibri" w:cs="Calibri"/>
          <w:color w:val="000000"/>
        </w:rPr>
        <w:t>According to the most recent (2013) data, t</w:t>
      </w:r>
      <w:r w:rsidR="000315C0">
        <w:rPr>
          <w:rFonts w:ascii="Calibri" w:eastAsia="Calibri" w:hAnsi="Calibri" w:cs="Calibri"/>
          <w:color w:val="000000"/>
        </w:rPr>
        <w:t xml:space="preserve">he </w:t>
      </w:r>
      <w:r w:rsidR="00D933F0">
        <w:rPr>
          <w:rFonts w:ascii="Calibri" w:eastAsia="Calibri" w:hAnsi="Calibri" w:cs="Calibri"/>
          <w:color w:val="000000"/>
        </w:rPr>
        <w:t>utility</w:t>
      </w:r>
      <w:r w:rsidR="000315C0">
        <w:rPr>
          <w:rFonts w:ascii="Calibri" w:eastAsia="Calibri" w:hAnsi="Calibri" w:cs="Calibri"/>
          <w:color w:val="000000"/>
        </w:rPr>
        <w:t xml:space="preserve"> company’s GHG emissions per </w:t>
      </w:r>
      <w:r w:rsidR="00A70414">
        <w:rPr>
          <w:rFonts w:ascii="Calibri" w:eastAsia="Calibri" w:hAnsi="Calibri" w:cs="Calibri"/>
          <w:color w:val="000000"/>
        </w:rPr>
        <w:t>unit</w:t>
      </w:r>
      <w:r w:rsidR="000315C0">
        <w:rPr>
          <w:rFonts w:ascii="Calibri" w:eastAsia="Calibri" w:hAnsi="Calibri" w:cs="Calibri"/>
          <w:color w:val="000000"/>
        </w:rPr>
        <w:t xml:space="preserve"> of electricity generated</w:t>
      </w:r>
      <w:r>
        <w:rPr>
          <w:rFonts w:ascii="Calibri" w:eastAsia="Calibri" w:hAnsi="Calibri" w:cs="Calibri"/>
          <w:color w:val="000000"/>
        </w:rPr>
        <w:t xml:space="preserve"> were</w:t>
      </w:r>
      <w:r w:rsidR="000315C0">
        <w:rPr>
          <w:rFonts w:ascii="Calibri" w:eastAsia="Calibri" w:hAnsi="Calibri" w:cs="Calibri"/>
          <w:color w:val="000000"/>
        </w:rPr>
        <w:t xml:space="preserve"> </w:t>
      </w:r>
      <w:r w:rsidR="00804ED3">
        <w:rPr>
          <w:rFonts w:ascii="Calibri" w:eastAsia="Calibri" w:hAnsi="Calibri" w:cs="Calibri"/>
          <w:color w:val="000000"/>
        </w:rPr>
        <w:t xml:space="preserve">1135 </w:t>
      </w:r>
      <w:proofErr w:type="spellStart"/>
      <w:r w:rsidR="00804ED3">
        <w:rPr>
          <w:rFonts w:ascii="Calibri" w:eastAsia="Calibri" w:hAnsi="Calibri" w:cs="Calibri"/>
          <w:color w:val="000000"/>
        </w:rPr>
        <w:t>lbs</w:t>
      </w:r>
      <w:proofErr w:type="spellEnd"/>
      <w:r w:rsidR="00804ED3">
        <w:rPr>
          <w:rFonts w:ascii="Calibri" w:eastAsia="Calibri" w:hAnsi="Calibri" w:cs="Calibri"/>
          <w:color w:val="000000"/>
        </w:rPr>
        <w:t xml:space="preserve"> CO</w:t>
      </w:r>
      <w:r w:rsidR="00804ED3" w:rsidRPr="00804ED3">
        <w:rPr>
          <w:rFonts w:ascii="Calibri" w:eastAsia="Calibri" w:hAnsi="Calibri" w:cs="Calibri"/>
          <w:color w:val="000000"/>
          <w:vertAlign w:val="subscript"/>
        </w:rPr>
        <w:t>2</w:t>
      </w:r>
      <w:r w:rsidR="00804ED3">
        <w:rPr>
          <w:rFonts w:ascii="Calibri" w:eastAsia="Calibri" w:hAnsi="Calibri" w:cs="Calibri"/>
          <w:color w:val="000000"/>
        </w:rPr>
        <w:t xml:space="preserve"> /MWh,</w:t>
      </w:r>
      <w:r>
        <w:rPr>
          <w:rFonts w:ascii="Calibri" w:eastAsia="Calibri" w:hAnsi="Calibri" w:cs="Calibri"/>
          <w:color w:val="000000"/>
        </w:rPr>
        <w:t xml:space="preserve"> and</w:t>
      </w:r>
      <w:r w:rsidR="00804ED3">
        <w:rPr>
          <w:rFonts w:ascii="Calibri" w:eastAsia="Calibri" w:hAnsi="Calibri" w:cs="Calibri"/>
          <w:color w:val="000000"/>
        </w:rPr>
        <w:t xml:space="preserve"> </w:t>
      </w:r>
      <w:r w:rsidR="000315C0">
        <w:rPr>
          <w:rFonts w:ascii="Calibri" w:eastAsia="Calibri" w:hAnsi="Calibri" w:cs="Calibri"/>
          <w:color w:val="000000"/>
        </w:rPr>
        <w:t xml:space="preserve">although improving </w:t>
      </w:r>
      <w:r w:rsidR="00D933F0">
        <w:rPr>
          <w:rFonts w:ascii="Calibri" w:eastAsia="Calibri" w:hAnsi="Calibri" w:cs="Calibri"/>
          <w:color w:val="000000"/>
        </w:rPr>
        <w:t>by 20%</w:t>
      </w:r>
      <w:r w:rsidR="000315C0">
        <w:rPr>
          <w:rFonts w:ascii="Calibri" w:eastAsia="Calibri" w:hAnsi="Calibri" w:cs="Calibri"/>
          <w:color w:val="000000"/>
        </w:rPr>
        <w:t xml:space="preserve"> </w:t>
      </w:r>
      <w:r w:rsidR="00D933F0">
        <w:rPr>
          <w:rFonts w:ascii="Calibri" w:eastAsia="Calibri" w:hAnsi="Calibri" w:cs="Calibri"/>
          <w:color w:val="000000"/>
        </w:rPr>
        <w:t>since 1990</w:t>
      </w:r>
      <w:r w:rsidR="000315C0">
        <w:rPr>
          <w:rFonts w:ascii="Calibri" w:eastAsia="Calibri" w:hAnsi="Calibri" w:cs="Calibri"/>
          <w:color w:val="000000"/>
        </w:rPr>
        <w:t xml:space="preserve"> remain significantly higher than </w:t>
      </w:r>
      <w:r w:rsidR="00804ED3">
        <w:rPr>
          <w:rFonts w:ascii="Calibri" w:eastAsia="Calibri" w:hAnsi="Calibri" w:cs="Calibri"/>
          <w:color w:val="000000"/>
        </w:rPr>
        <w:t xml:space="preserve">other generators in California (PG&amp;E’s emission factor is </w:t>
      </w:r>
      <w:r w:rsidR="00804ED3">
        <w:t xml:space="preserve">427 </w:t>
      </w:r>
      <w:proofErr w:type="spellStart"/>
      <w:r w:rsidR="00804ED3">
        <w:t>lbs</w:t>
      </w:r>
      <w:proofErr w:type="spellEnd"/>
      <w:r w:rsidR="00804ED3">
        <w:t>/MWh</w:t>
      </w:r>
      <w:r w:rsidR="00804ED3">
        <w:rPr>
          <w:rStyle w:val="FootnoteReference"/>
        </w:rPr>
        <w:footnoteReference w:id="14"/>
      </w:r>
      <w:r w:rsidR="00804ED3">
        <w:t xml:space="preserve"> and </w:t>
      </w:r>
      <w:r w:rsidR="000315C0">
        <w:rPr>
          <w:rFonts w:ascii="Calibri" w:eastAsia="Calibri" w:hAnsi="Calibri" w:cs="Calibri"/>
          <w:color w:val="000000"/>
        </w:rPr>
        <w:t xml:space="preserve">the statewide average </w:t>
      </w:r>
      <w:r w:rsidR="00804ED3">
        <w:rPr>
          <w:rFonts w:ascii="Calibri" w:eastAsia="Calibri" w:hAnsi="Calibri" w:cs="Calibri"/>
          <w:color w:val="000000"/>
        </w:rPr>
        <w:t>is</w:t>
      </w:r>
      <w:r w:rsidR="000315C0">
        <w:rPr>
          <w:rFonts w:ascii="Calibri" w:eastAsia="Calibri" w:hAnsi="Calibri" w:cs="Calibri"/>
          <w:color w:val="000000"/>
        </w:rPr>
        <w:t xml:space="preserve"> </w:t>
      </w:r>
      <w:r w:rsidR="00A70414" w:rsidRPr="00A70414">
        <w:rPr>
          <w:rFonts w:ascii="Calibri" w:eastAsia="Calibri" w:hAnsi="Calibri" w:cs="Calibri"/>
          <w:color w:val="000000"/>
        </w:rPr>
        <w:t>650.31</w:t>
      </w:r>
      <w:r w:rsidR="000315C0">
        <w:rPr>
          <w:rFonts w:ascii="Calibri" w:eastAsia="Calibri" w:hAnsi="Calibri" w:cs="Calibri"/>
          <w:color w:val="000000"/>
        </w:rPr>
        <w:t xml:space="preserve"> </w:t>
      </w:r>
      <w:proofErr w:type="spellStart"/>
      <w:r w:rsidR="00A70414">
        <w:rPr>
          <w:rFonts w:ascii="Calibri" w:eastAsia="Calibri" w:hAnsi="Calibri" w:cs="Calibri"/>
          <w:color w:val="000000"/>
        </w:rPr>
        <w:t>lbs</w:t>
      </w:r>
      <w:proofErr w:type="spellEnd"/>
      <w:r w:rsidR="00A70414">
        <w:rPr>
          <w:rFonts w:ascii="Calibri" w:eastAsia="Calibri" w:hAnsi="Calibri" w:cs="Calibri"/>
          <w:color w:val="000000"/>
        </w:rPr>
        <w:t>/MWh</w:t>
      </w:r>
      <w:r w:rsidR="00A70414">
        <w:rPr>
          <w:rStyle w:val="FootnoteReference"/>
          <w:rFonts w:ascii="Calibri" w:eastAsia="Calibri" w:hAnsi="Calibri" w:cs="Calibri"/>
          <w:color w:val="000000"/>
        </w:rPr>
        <w:footnoteReference w:id="15"/>
      </w:r>
      <w:r w:rsidR="00A70414">
        <w:rPr>
          <w:rFonts w:ascii="Calibri" w:eastAsia="Calibri" w:hAnsi="Calibri" w:cs="Calibri"/>
          <w:color w:val="000000"/>
        </w:rPr>
        <w:t>)</w:t>
      </w:r>
      <w:r w:rsidR="000315C0">
        <w:rPr>
          <w:rFonts w:ascii="Calibri" w:eastAsia="Calibri" w:hAnsi="Calibri" w:cs="Calibri"/>
          <w:color w:val="000000"/>
        </w:rPr>
        <w:t>.</w:t>
      </w:r>
      <w:r w:rsidR="00A70414">
        <w:rPr>
          <w:rFonts w:ascii="Calibri" w:eastAsia="Calibri" w:hAnsi="Calibri" w:cs="Calibri"/>
          <w:color w:val="000000"/>
        </w:rPr>
        <w:t xml:space="preserve">  This emissions factor is a significant factor </w:t>
      </w:r>
      <w:r>
        <w:rPr>
          <w:rFonts w:ascii="Calibri" w:eastAsia="Calibri" w:hAnsi="Calibri" w:cs="Calibri"/>
          <w:color w:val="000000"/>
        </w:rPr>
        <w:t>contributing to</w:t>
      </w:r>
      <w:r w:rsidR="00A70414">
        <w:rPr>
          <w:rFonts w:ascii="Calibri" w:eastAsia="Calibri" w:hAnsi="Calibri" w:cs="Calibri"/>
          <w:color w:val="000000"/>
        </w:rPr>
        <w:t xml:space="preserve"> CSUN</w:t>
      </w:r>
      <w:r>
        <w:rPr>
          <w:rFonts w:ascii="Calibri" w:eastAsia="Calibri" w:hAnsi="Calibri" w:cs="Calibri"/>
          <w:color w:val="000000"/>
        </w:rPr>
        <w:t>’s</w:t>
      </w:r>
      <w:r w:rsidR="00A70414">
        <w:rPr>
          <w:rFonts w:ascii="Calibri" w:eastAsia="Calibri" w:hAnsi="Calibri" w:cs="Calibri"/>
          <w:color w:val="000000"/>
        </w:rPr>
        <w:t xml:space="preserve"> carbon footprint.</w:t>
      </w:r>
    </w:p>
    <w:p w:rsidR="000315C0" w:rsidRDefault="000315C0" w:rsidP="00DA0AC2">
      <w:pPr>
        <w:spacing w:line="240" w:lineRule="auto"/>
        <w:rPr>
          <w:rFonts w:ascii="Calibri" w:eastAsia="Calibri" w:hAnsi="Calibri" w:cs="Calibri"/>
          <w:color w:val="000000"/>
        </w:rPr>
      </w:pPr>
    </w:p>
    <w:tbl>
      <w:tblPr>
        <w:tblW w:w="0" w:type="auto"/>
        <w:tblInd w:w="180" w:type="dxa"/>
        <w:tblBorders>
          <w:top w:val="single" w:sz="6" w:space="0" w:color="000000"/>
          <w:left w:val="single" w:sz="6" w:space="0" w:color="000000"/>
          <w:bottom w:val="single" w:sz="6" w:space="0" w:color="000000"/>
          <w:right w:val="single" w:sz="6" w:space="0" w:color="000000"/>
        </w:tblBorders>
        <w:tblLook w:val="0000" w:firstRow="0" w:lastRow="0" w:firstColumn="0" w:lastColumn="0" w:noHBand="0" w:noVBand="0"/>
      </w:tblPr>
      <w:tblGrid>
        <w:gridCol w:w="703"/>
        <w:gridCol w:w="2076"/>
        <w:gridCol w:w="2447"/>
        <w:gridCol w:w="1762"/>
        <w:gridCol w:w="1816"/>
      </w:tblGrid>
      <w:tr w:rsidR="000315C0" w:rsidRPr="004E0790" w:rsidTr="00317C64">
        <w:trPr>
          <w:trHeight w:val="152"/>
        </w:trPr>
        <w:tc>
          <w:tcPr>
            <w:tcW w:w="0" w:type="auto"/>
            <w:gridSpan w:val="5"/>
            <w:tcBorders>
              <w:top w:val="single" w:sz="6" w:space="0" w:color="000000"/>
              <w:bottom w:val="single" w:sz="8" w:space="0" w:color="auto"/>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b/>
                <w:bCs/>
                <w:color w:val="000000"/>
                <w:sz w:val="24"/>
                <w:szCs w:val="24"/>
              </w:rPr>
              <w:t>HISTORICAL LADWP POWER GENERATION CO</w:t>
            </w:r>
            <w:r w:rsidRPr="004E0790">
              <w:rPr>
                <w:rFonts w:cs="Arial"/>
                <w:b/>
                <w:bCs/>
                <w:color w:val="000000"/>
                <w:position w:val="-8"/>
                <w:sz w:val="24"/>
                <w:szCs w:val="24"/>
                <w:vertAlign w:val="subscript"/>
              </w:rPr>
              <w:t xml:space="preserve">2 </w:t>
            </w:r>
            <w:r w:rsidRPr="004E0790">
              <w:rPr>
                <w:rFonts w:cs="Arial"/>
                <w:b/>
                <w:bCs/>
                <w:color w:val="000000"/>
                <w:sz w:val="24"/>
                <w:szCs w:val="24"/>
              </w:rPr>
              <w:t xml:space="preserve">EMISSIONS </w:t>
            </w:r>
          </w:p>
        </w:tc>
      </w:tr>
      <w:tr w:rsidR="000315C0" w:rsidRPr="004E0790" w:rsidTr="00317C64">
        <w:trPr>
          <w:trHeight w:val="600"/>
        </w:trPr>
        <w:tc>
          <w:tcPr>
            <w:tcW w:w="0" w:type="auto"/>
            <w:tcBorders>
              <w:top w:val="single" w:sz="8" w:space="0" w:color="auto"/>
              <w:left w:val="single" w:sz="8" w:space="0" w:color="000000"/>
              <w:bottom w:val="single" w:sz="8" w:space="0" w:color="auto"/>
              <w:right w:val="single" w:sz="8" w:space="0" w:color="auto"/>
            </w:tcBorders>
            <w:shd w:val="clear" w:color="auto" w:fill="000080"/>
          </w:tcPr>
          <w:p w:rsidR="000315C0" w:rsidRPr="004E0790" w:rsidRDefault="000315C0" w:rsidP="00DA0AC2">
            <w:pPr>
              <w:autoSpaceDE w:val="0"/>
              <w:autoSpaceDN w:val="0"/>
              <w:adjustRightInd w:val="0"/>
              <w:spacing w:line="240" w:lineRule="auto"/>
              <w:jc w:val="center"/>
              <w:rPr>
                <w:rFonts w:cs="Arial"/>
                <w:color w:val="FFFFFF"/>
                <w:sz w:val="24"/>
                <w:szCs w:val="24"/>
              </w:rPr>
            </w:pPr>
            <w:r w:rsidRPr="004E0790">
              <w:rPr>
                <w:rFonts w:cs="Arial"/>
                <w:b/>
                <w:bCs/>
                <w:color w:val="FFFFFF"/>
                <w:sz w:val="24"/>
                <w:szCs w:val="24"/>
              </w:rPr>
              <w:t xml:space="preserve">Year </w:t>
            </w:r>
          </w:p>
        </w:tc>
        <w:tc>
          <w:tcPr>
            <w:tcW w:w="0" w:type="auto"/>
            <w:tcBorders>
              <w:top w:val="single" w:sz="8" w:space="0" w:color="FFFFFF"/>
              <w:left w:val="single" w:sz="8" w:space="0" w:color="FFFFFF"/>
              <w:bottom w:val="single" w:sz="8" w:space="0" w:color="FFFFFF"/>
              <w:right w:val="single" w:sz="8" w:space="0" w:color="FFFFFF"/>
            </w:tcBorders>
            <w:shd w:val="clear" w:color="auto" w:fill="000080"/>
          </w:tcPr>
          <w:p w:rsidR="000315C0" w:rsidRPr="004E0790" w:rsidRDefault="000315C0" w:rsidP="00DA0AC2">
            <w:pPr>
              <w:autoSpaceDE w:val="0"/>
              <w:autoSpaceDN w:val="0"/>
              <w:adjustRightInd w:val="0"/>
              <w:spacing w:line="240" w:lineRule="auto"/>
              <w:jc w:val="center"/>
              <w:rPr>
                <w:rFonts w:cs="Arial"/>
                <w:color w:val="FFFFFF"/>
                <w:sz w:val="24"/>
                <w:szCs w:val="24"/>
              </w:rPr>
            </w:pPr>
            <w:r w:rsidRPr="004E0790">
              <w:rPr>
                <w:rFonts w:cs="Arial"/>
                <w:b/>
                <w:bCs/>
                <w:color w:val="FFFFFF"/>
                <w:sz w:val="24"/>
                <w:szCs w:val="24"/>
              </w:rPr>
              <w:t>Total CO</w:t>
            </w:r>
            <w:r w:rsidRPr="004E0790">
              <w:rPr>
                <w:rFonts w:cs="Arial"/>
                <w:b/>
                <w:bCs/>
                <w:color w:val="FFFFFF"/>
                <w:position w:val="-8"/>
                <w:sz w:val="24"/>
                <w:szCs w:val="24"/>
                <w:vertAlign w:val="subscript"/>
              </w:rPr>
              <w:t xml:space="preserve">2 </w:t>
            </w:r>
            <w:r w:rsidRPr="004E0790">
              <w:rPr>
                <w:rFonts w:cs="Arial"/>
                <w:b/>
                <w:bCs/>
                <w:color w:val="FFFFFF"/>
                <w:sz w:val="24"/>
                <w:szCs w:val="24"/>
              </w:rPr>
              <w:t xml:space="preserve">Emissions from Owned &amp; Purchased Generation (metric tons) </w:t>
            </w:r>
          </w:p>
        </w:tc>
        <w:tc>
          <w:tcPr>
            <w:tcW w:w="0" w:type="auto"/>
            <w:tcBorders>
              <w:top w:val="single" w:sz="8" w:space="0" w:color="FFFFFF"/>
              <w:left w:val="single" w:sz="8" w:space="0" w:color="FFFFFF"/>
              <w:bottom w:val="single" w:sz="8" w:space="0" w:color="FFFFFF"/>
              <w:right w:val="single" w:sz="8" w:space="0" w:color="FFFFFF"/>
            </w:tcBorders>
            <w:shd w:val="clear" w:color="auto" w:fill="000080"/>
          </w:tcPr>
          <w:p w:rsidR="000315C0" w:rsidRPr="004E0790" w:rsidRDefault="000315C0" w:rsidP="00DA0AC2">
            <w:pPr>
              <w:autoSpaceDE w:val="0"/>
              <w:autoSpaceDN w:val="0"/>
              <w:adjustRightInd w:val="0"/>
              <w:spacing w:line="240" w:lineRule="auto"/>
              <w:jc w:val="center"/>
              <w:rPr>
                <w:rFonts w:cs="Arial"/>
                <w:color w:val="FFFFFF"/>
                <w:sz w:val="24"/>
                <w:szCs w:val="24"/>
              </w:rPr>
            </w:pPr>
            <w:r w:rsidRPr="004E0790">
              <w:rPr>
                <w:rFonts w:cs="Arial"/>
                <w:b/>
                <w:bCs/>
                <w:color w:val="FFFFFF"/>
                <w:sz w:val="24"/>
                <w:szCs w:val="24"/>
              </w:rPr>
              <w:t>Total CO</w:t>
            </w:r>
            <w:r w:rsidRPr="004E0790">
              <w:rPr>
                <w:rFonts w:cs="Arial"/>
                <w:b/>
                <w:bCs/>
                <w:color w:val="FFFFFF"/>
                <w:position w:val="-8"/>
                <w:sz w:val="24"/>
                <w:szCs w:val="24"/>
                <w:vertAlign w:val="subscript"/>
              </w:rPr>
              <w:t xml:space="preserve">2 </w:t>
            </w:r>
            <w:r w:rsidRPr="004E0790">
              <w:rPr>
                <w:rFonts w:cs="Arial"/>
                <w:b/>
                <w:bCs/>
                <w:color w:val="FFFFFF"/>
                <w:sz w:val="24"/>
                <w:szCs w:val="24"/>
              </w:rPr>
              <w:t xml:space="preserve">Emissions from Owned &amp; Purchased Generation minus Wholesale Power Sales (metric tons) </w:t>
            </w:r>
          </w:p>
        </w:tc>
        <w:tc>
          <w:tcPr>
            <w:tcW w:w="0" w:type="auto"/>
            <w:tcBorders>
              <w:top w:val="single" w:sz="8" w:space="0" w:color="FFFFFF"/>
              <w:left w:val="single" w:sz="8" w:space="0" w:color="FFFFFF"/>
              <w:bottom w:val="single" w:sz="8" w:space="0" w:color="FFFFFF"/>
              <w:right w:val="single" w:sz="8" w:space="0" w:color="FFFFFF"/>
            </w:tcBorders>
            <w:shd w:val="clear" w:color="auto" w:fill="000080"/>
          </w:tcPr>
          <w:p w:rsidR="000315C0" w:rsidRPr="004E0790" w:rsidRDefault="000315C0" w:rsidP="00DA0AC2">
            <w:pPr>
              <w:autoSpaceDE w:val="0"/>
              <w:autoSpaceDN w:val="0"/>
              <w:adjustRightInd w:val="0"/>
              <w:spacing w:line="240" w:lineRule="auto"/>
              <w:jc w:val="center"/>
              <w:rPr>
                <w:rFonts w:cs="Arial"/>
                <w:color w:val="FFFFFF"/>
                <w:sz w:val="24"/>
                <w:szCs w:val="24"/>
              </w:rPr>
            </w:pPr>
            <w:r w:rsidRPr="004E0790">
              <w:rPr>
                <w:rFonts w:cs="Arial"/>
                <w:b/>
                <w:bCs/>
                <w:color w:val="FFFFFF"/>
                <w:sz w:val="24"/>
                <w:szCs w:val="24"/>
              </w:rPr>
              <w:t xml:space="preserve">Total Owned &amp; Purchased Generation (MWh) </w:t>
            </w:r>
          </w:p>
        </w:tc>
        <w:tc>
          <w:tcPr>
            <w:tcW w:w="0" w:type="auto"/>
            <w:tcBorders>
              <w:top w:val="single" w:sz="8" w:space="0" w:color="FFFFFF"/>
              <w:left w:val="single" w:sz="8" w:space="0" w:color="FFFFFF"/>
              <w:bottom w:val="single" w:sz="8" w:space="0" w:color="FFFFFF"/>
              <w:right w:val="single" w:sz="8" w:space="0" w:color="000000"/>
            </w:tcBorders>
            <w:shd w:val="clear" w:color="auto" w:fill="000080"/>
          </w:tcPr>
          <w:p w:rsidR="000315C0" w:rsidRPr="004E0790" w:rsidRDefault="000315C0" w:rsidP="00DA0AC2">
            <w:pPr>
              <w:autoSpaceDE w:val="0"/>
              <w:autoSpaceDN w:val="0"/>
              <w:adjustRightInd w:val="0"/>
              <w:spacing w:line="240" w:lineRule="auto"/>
              <w:jc w:val="center"/>
              <w:rPr>
                <w:rFonts w:cs="Arial"/>
                <w:color w:val="FFFFFF"/>
                <w:sz w:val="24"/>
                <w:szCs w:val="24"/>
              </w:rPr>
            </w:pPr>
            <w:r w:rsidRPr="004E0790">
              <w:rPr>
                <w:rFonts w:cs="Arial"/>
                <w:b/>
                <w:bCs/>
                <w:color w:val="FFFFFF"/>
                <w:sz w:val="24"/>
                <w:szCs w:val="24"/>
              </w:rPr>
              <w:t>LADWP System CO</w:t>
            </w:r>
            <w:r w:rsidRPr="004E0790">
              <w:rPr>
                <w:rFonts w:cs="Arial"/>
                <w:b/>
                <w:bCs/>
                <w:color w:val="FFFFFF"/>
                <w:position w:val="-8"/>
                <w:sz w:val="24"/>
                <w:szCs w:val="24"/>
                <w:vertAlign w:val="subscript"/>
              </w:rPr>
              <w:t xml:space="preserve">2 </w:t>
            </w:r>
            <w:r w:rsidRPr="004E0790">
              <w:rPr>
                <w:rFonts w:cs="Arial"/>
                <w:b/>
                <w:bCs/>
                <w:color w:val="FFFFFF"/>
                <w:sz w:val="24"/>
                <w:szCs w:val="24"/>
              </w:rPr>
              <w:t>Intensity Metric (</w:t>
            </w:r>
            <w:proofErr w:type="spellStart"/>
            <w:r w:rsidRPr="004E0790">
              <w:rPr>
                <w:rFonts w:cs="Arial"/>
                <w:b/>
                <w:bCs/>
                <w:color w:val="FFFFFF"/>
                <w:sz w:val="24"/>
                <w:szCs w:val="24"/>
              </w:rPr>
              <w:t>lbs</w:t>
            </w:r>
            <w:proofErr w:type="spellEnd"/>
            <w:r w:rsidRPr="004E0790">
              <w:rPr>
                <w:rFonts w:cs="Arial"/>
                <w:b/>
                <w:bCs/>
                <w:color w:val="FFFFFF"/>
                <w:sz w:val="24"/>
                <w:szCs w:val="24"/>
              </w:rPr>
              <w:t xml:space="preserve"> CO</w:t>
            </w:r>
            <w:r w:rsidRPr="004E0790">
              <w:rPr>
                <w:rFonts w:cs="Arial"/>
                <w:b/>
                <w:bCs/>
                <w:color w:val="FFFFFF"/>
                <w:position w:val="-8"/>
                <w:sz w:val="24"/>
                <w:szCs w:val="24"/>
                <w:vertAlign w:val="subscript"/>
              </w:rPr>
              <w:t>2</w:t>
            </w:r>
            <w:r w:rsidRPr="004E0790">
              <w:rPr>
                <w:rFonts w:cs="Arial"/>
                <w:b/>
                <w:bCs/>
                <w:color w:val="FFFFFF"/>
                <w:sz w:val="24"/>
                <w:szCs w:val="24"/>
              </w:rPr>
              <w:t xml:space="preserve">/MWh) </w:t>
            </w:r>
          </w:p>
        </w:tc>
      </w:tr>
      <w:tr w:rsidR="000315C0" w:rsidRPr="004E0790" w:rsidTr="00317C64">
        <w:trPr>
          <w:trHeight w:val="133"/>
        </w:trPr>
        <w:tc>
          <w:tcPr>
            <w:tcW w:w="0" w:type="auto"/>
            <w:tcBorders>
              <w:top w:val="single" w:sz="8" w:space="0" w:color="FFFFFF"/>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1990 </w:t>
            </w:r>
          </w:p>
        </w:tc>
        <w:tc>
          <w:tcPr>
            <w:tcW w:w="0" w:type="auto"/>
            <w:tcBorders>
              <w:top w:val="single" w:sz="8" w:space="0" w:color="FFFFFF"/>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17,925,410 </w:t>
            </w:r>
          </w:p>
        </w:tc>
        <w:tc>
          <w:tcPr>
            <w:tcW w:w="0" w:type="auto"/>
            <w:tcBorders>
              <w:top w:val="single" w:sz="8" w:space="0" w:color="FFFFFF"/>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17,764,874 </w:t>
            </w:r>
          </w:p>
        </w:tc>
        <w:tc>
          <w:tcPr>
            <w:tcW w:w="0" w:type="auto"/>
            <w:tcBorders>
              <w:top w:val="single" w:sz="8" w:space="0" w:color="FFFFFF"/>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25,481,532 </w:t>
            </w:r>
          </w:p>
        </w:tc>
        <w:tc>
          <w:tcPr>
            <w:tcW w:w="0" w:type="auto"/>
            <w:tcBorders>
              <w:top w:val="single" w:sz="8" w:space="0" w:color="FFFFFF"/>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1,551 </w:t>
            </w:r>
          </w:p>
        </w:tc>
      </w:tr>
      <w:tr w:rsidR="000315C0" w:rsidRPr="004E0790" w:rsidTr="00317C64">
        <w:trPr>
          <w:trHeight w:val="133"/>
        </w:trPr>
        <w:tc>
          <w:tcPr>
            <w:tcW w:w="0" w:type="auto"/>
            <w:tcBorders>
              <w:top w:val="single" w:sz="8"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2000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18,464,480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16,992,238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28,806,750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1,413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lastRenderedPageBreak/>
              <w:t xml:space="preserve">2001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18,086,034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16,663,305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28,032,375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1,422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2002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16,873,841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16,237,832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26,808,569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1,388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2003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17,274,623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16,710,232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27,337,694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1,393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2004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17,609,759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16,604,943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28,138,391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1,380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2005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16,928,681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15,854,278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28,301,700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1,319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2006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16,838,147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15,885,136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29,029,883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1,279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2007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16,461,774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15,523,035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29,141,703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1,245 </w:t>
            </w:r>
          </w:p>
        </w:tc>
      </w:tr>
      <w:tr w:rsidR="000315C0" w:rsidRPr="004E0790" w:rsidTr="00317C64">
        <w:trPr>
          <w:trHeight w:val="133"/>
        </w:trPr>
        <w:tc>
          <w:tcPr>
            <w:tcW w:w="0" w:type="auto"/>
            <w:tcBorders>
              <w:top w:val="single" w:sz="6"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2008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16,232,608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15,650,115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29,394,809 </w:t>
            </w:r>
          </w:p>
        </w:tc>
        <w:tc>
          <w:tcPr>
            <w:tcW w:w="0" w:type="auto"/>
            <w:tcBorders>
              <w:top w:val="single" w:sz="6"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1,217 </w:t>
            </w:r>
          </w:p>
        </w:tc>
      </w:tr>
      <w:tr w:rsidR="000315C0" w:rsidRPr="004E0790" w:rsidTr="00317C64">
        <w:trPr>
          <w:trHeight w:val="133"/>
        </w:trPr>
        <w:tc>
          <w:tcPr>
            <w:tcW w:w="0" w:type="auto"/>
            <w:tcBorders>
              <w:top w:val="single" w:sz="8"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2009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14,651,016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13,829,395</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28,041,998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Pr>
                <w:rFonts w:cs="Arial"/>
                <w:color w:val="000000"/>
                <w:sz w:val="24"/>
                <w:szCs w:val="24"/>
              </w:rPr>
              <w:t>1,151</w:t>
            </w:r>
            <w:r w:rsidR="000315C0" w:rsidRPr="004E0790">
              <w:rPr>
                <w:rFonts w:cs="Arial"/>
                <w:color w:val="000000"/>
                <w:sz w:val="24"/>
                <w:szCs w:val="24"/>
              </w:rPr>
              <w:t xml:space="preserve"> </w:t>
            </w:r>
          </w:p>
        </w:tc>
      </w:tr>
      <w:tr w:rsidR="000315C0" w:rsidRPr="004E0790" w:rsidTr="00317C64">
        <w:trPr>
          <w:trHeight w:val="133"/>
        </w:trPr>
        <w:tc>
          <w:tcPr>
            <w:tcW w:w="0" w:type="auto"/>
            <w:tcBorders>
              <w:top w:val="single" w:sz="8"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2010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13,771,166 </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12,844,288</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27,490,878</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 xml:space="preserve">1,104 </w:t>
            </w:r>
          </w:p>
        </w:tc>
      </w:tr>
      <w:tr w:rsidR="000315C0" w:rsidRPr="004E0790" w:rsidTr="00317C64">
        <w:trPr>
          <w:trHeight w:val="133"/>
        </w:trPr>
        <w:tc>
          <w:tcPr>
            <w:tcW w:w="0" w:type="auto"/>
            <w:tcBorders>
              <w:top w:val="single" w:sz="8"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2011</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14,169,324</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13,631,178</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27,025,925</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Pr>
                <w:rFonts w:cs="Arial"/>
                <w:color w:val="000000"/>
                <w:sz w:val="24"/>
                <w:szCs w:val="24"/>
              </w:rPr>
              <w:t>1,156</w:t>
            </w:r>
          </w:p>
        </w:tc>
      </w:tr>
      <w:tr w:rsidR="000315C0" w:rsidRPr="004E0790" w:rsidTr="00317C64">
        <w:trPr>
          <w:trHeight w:val="133"/>
        </w:trPr>
        <w:tc>
          <w:tcPr>
            <w:tcW w:w="0" w:type="auto"/>
            <w:tcBorders>
              <w:top w:val="single" w:sz="8"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2012</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13,968,172</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13,329,797</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28,145,679</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Pr>
                <w:rFonts w:cs="Arial"/>
                <w:color w:val="000000"/>
                <w:sz w:val="24"/>
                <w:szCs w:val="24"/>
              </w:rPr>
              <w:t>1,094</w:t>
            </w:r>
          </w:p>
        </w:tc>
      </w:tr>
      <w:tr w:rsidR="000315C0" w:rsidRPr="004E0790" w:rsidTr="00317C64">
        <w:trPr>
          <w:trHeight w:val="133"/>
        </w:trPr>
        <w:tc>
          <w:tcPr>
            <w:tcW w:w="0" w:type="auto"/>
            <w:tcBorders>
              <w:top w:val="single" w:sz="8" w:space="0" w:color="000000"/>
              <w:left w:val="single" w:sz="8"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sidRPr="004E0790">
              <w:rPr>
                <w:rFonts w:cs="Arial"/>
                <w:color w:val="000000"/>
                <w:sz w:val="24"/>
                <w:szCs w:val="24"/>
              </w:rPr>
              <w:t>2013</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14,314,083</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13,813,895</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437977" w:rsidP="00DA0AC2">
            <w:pPr>
              <w:autoSpaceDE w:val="0"/>
              <w:autoSpaceDN w:val="0"/>
              <w:adjustRightInd w:val="0"/>
              <w:spacing w:line="240" w:lineRule="auto"/>
              <w:jc w:val="center"/>
              <w:rPr>
                <w:rFonts w:cs="Arial"/>
                <w:color w:val="000000"/>
                <w:sz w:val="24"/>
                <w:szCs w:val="24"/>
              </w:rPr>
            </w:pPr>
            <w:r w:rsidRPr="00437977">
              <w:rPr>
                <w:rFonts w:cs="Arial"/>
                <w:color w:val="000000"/>
                <w:sz w:val="24"/>
                <w:szCs w:val="24"/>
              </w:rPr>
              <w:t>27,792,649</w:t>
            </w:r>
          </w:p>
        </w:tc>
        <w:tc>
          <w:tcPr>
            <w:tcW w:w="0" w:type="auto"/>
            <w:tcBorders>
              <w:top w:val="single" w:sz="8" w:space="0" w:color="000000"/>
              <w:left w:val="single" w:sz="6" w:space="0" w:color="000000"/>
              <w:bottom w:val="single" w:sz="8" w:space="0" w:color="000000"/>
              <w:right w:val="single" w:sz="8" w:space="0" w:color="000000"/>
            </w:tcBorders>
          </w:tcPr>
          <w:p w:rsidR="000315C0" w:rsidRPr="004E0790" w:rsidRDefault="000315C0" w:rsidP="00DA0AC2">
            <w:pPr>
              <w:autoSpaceDE w:val="0"/>
              <w:autoSpaceDN w:val="0"/>
              <w:adjustRightInd w:val="0"/>
              <w:spacing w:line="240" w:lineRule="auto"/>
              <w:jc w:val="center"/>
              <w:rPr>
                <w:rFonts w:cs="Arial"/>
                <w:color w:val="000000"/>
                <w:sz w:val="24"/>
                <w:szCs w:val="24"/>
              </w:rPr>
            </w:pPr>
            <w:r>
              <w:rPr>
                <w:rFonts w:cs="Arial"/>
                <w:color w:val="000000"/>
                <w:sz w:val="24"/>
                <w:szCs w:val="24"/>
              </w:rPr>
              <w:t>1,</w:t>
            </w:r>
            <w:r w:rsidR="00437977">
              <w:rPr>
                <w:rFonts w:cs="Arial"/>
                <w:color w:val="000000"/>
                <w:sz w:val="24"/>
                <w:szCs w:val="24"/>
              </w:rPr>
              <w:t>135</w:t>
            </w:r>
          </w:p>
        </w:tc>
      </w:tr>
      <w:tr w:rsidR="000315C0" w:rsidRPr="004E0790" w:rsidTr="00317C64">
        <w:trPr>
          <w:trHeight w:val="133"/>
        </w:trPr>
        <w:tc>
          <w:tcPr>
            <w:tcW w:w="0" w:type="auto"/>
            <w:gridSpan w:val="5"/>
            <w:tcBorders>
              <w:top w:val="single" w:sz="8" w:space="0" w:color="000000"/>
              <w:left w:val="single" w:sz="8" w:space="0" w:color="000000"/>
              <w:bottom w:val="single" w:sz="8" w:space="0" w:color="000000"/>
              <w:right w:val="single" w:sz="8" w:space="0" w:color="000000"/>
            </w:tcBorders>
          </w:tcPr>
          <w:p w:rsidR="000315C0" w:rsidRPr="006349AD" w:rsidRDefault="000315C0" w:rsidP="00DA0AC2">
            <w:pPr>
              <w:spacing w:line="240" w:lineRule="auto"/>
              <w:rPr>
                <w:rFonts w:ascii="Calibri" w:hAnsi="Calibri"/>
                <w:b/>
                <w:color w:val="1F497D"/>
              </w:rPr>
            </w:pPr>
            <w:r w:rsidRPr="00716295">
              <w:rPr>
                <w:b/>
                <w:szCs w:val="24"/>
              </w:rPr>
              <w:t>Table from: Los Angeles Department of Water and Power 201</w:t>
            </w:r>
            <w:r w:rsidR="00437977" w:rsidRPr="00716295">
              <w:rPr>
                <w:b/>
                <w:szCs w:val="24"/>
              </w:rPr>
              <w:t>4</w:t>
            </w:r>
            <w:r w:rsidRPr="00716295">
              <w:rPr>
                <w:b/>
                <w:szCs w:val="24"/>
              </w:rPr>
              <w:t xml:space="preserve"> Integrated Resource Plan, Appendix C: Environmental Issues</w:t>
            </w:r>
            <w:r w:rsidR="00437977" w:rsidRPr="00716295">
              <w:rPr>
                <w:b/>
                <w:szCs w:val="24"/>
              </w:rPr>
              <w:t>, Table C-1</w:t>
            </w:r>
            <w:r w:rsidRPr="00716295">
              <w:rPr>
                <w:b/>
                <w:szCs w:val="24"/>
              </w:rPr>
              <w:t>.</w:t>
            </w:r>
          </w:p>
        </w:tc>
      </w:tr>
    </w:tbl>
    <w:p w:rsidR="000315C0" w:rsidRDefault="000315C0" w:rsidP="00DA0AC2">
      <w:pPr>
        <w:spacing w:line="240" w:lineRule="auto"/>
        <w:rPr>
          <w:rFonts w:ascii="Calibri" w:eastAsia="Calibri" w:hAnsi="Calibri" w:cs="Calibri"/>
          <w:color w:val="000000"/>
        </w:rPr>
      </w:pPr>
    </w:p>
    <w:p w:rsidR="00A70414" w:rsidRDefault="00A70414" w:rsidP="00FD0E60">
      <w:pPr>
        <w:rPr>
          <w:rFonts w:ascii="Calibri" w:hAnsi="Calibri"/>
          <w:color w:val="000000"/>
          <w:shd w:val="clear" w:color="auto" w:fill="FFFFFF"/>
        </w:rPr>
      </w:pPr>
      <w:r w:rsidRPr="00F765EE">
        <w:rPr>
          <w:rFonts w:eastAsia="Calibri" w:cs="Calibri"/>
          <w:color w:val="000000"/>
        </w:rPr>
        <w:t xml:space="preserve">Under </w:t>
      </w:r>
      <w:r w:rsidRPr="00F765EE">
        <w:rPr>
          <w:rFonts w:cs="Arial"/>
          <w:color w:val="000000"/>
        </w:rPr>
        <w:t xml:space="preserve">California's Renewables Portfolio Standard (RPS) </w:t>
      </w:r>
      <w:r w:rsidR="00F765EE" w:rsidRPr="00F765EE">
        <w:rPr>
          <w:rFonts w:cs="Arial"/>
          <w:color w:val="000000"/>
        </w:rPr>
        <w:t>utility</w:t>
      </w:r>
      <w:r w:rsidRPr="00F765EE">
        <w:rPr>
          <w:rFonts w:cs="Arial"/>
          <w:color w:val="000000"/>
        </w:rPr>
        <w:t xml:space="preserve"> companies must increase procurement from eligible renewable energy resources to 33% of total procurement by 2020</w:t>
      </w:r>
      <w:r w:rsidR="00F765EE" w:rsidRPr="00F765EE">
        <w:rPr>
          <w:rStyle w:val="FootnoteReference"/>
          <w:rFonts w:cs="Arial"/>
          <w:color w:val="000000"/>
        </w:rPr>
        <w:footnoteReference w:id="16"/>
      </w:r>
      <w:r w:rsidRPr="00F765EE">
        <w:rPr>
          <w:rFonts w:cs="Arial"/>
          <w:color w:val="000000"/>
        </w:rPr>
        <w:t xml:space="preserve">. </w:t>
      </w:r>
      <w:r w:rsidR="00F765EE">
        <w:rPr>
          <w:rFonts w:cs="Arial"/>
          <w:color w:val="000000"/>
        </w:rPr>
        <w:t xml:space="preserve">In October 2015, Governor Brown extended </w:t>
      </w:r>
      <w:r w:rsidR="009E6A7A">
        <w:rPr>
          <w:rFonts w:cs="Arial"/>
          <w:color w:val="000000"/>
        </w:rPr>
        <w:t>clean</w:t>
      </w:r>
      <w:r w:rsidR="00F765EE">
        <w:rPr>
          <w:rFonts w:cs="Arial"/>
          <w:color w:val="000000"/>
        </w:rPr>
        <w:t xml:space="preserve"> energy generation requirements by signing </w:t>
      </w:r>
      <w:r w:rsidR="00F765EE">
        <w:rPr>
          <w:rFonts w:ascii="Calibri" w:hAnsi="Calibri"/>
          <w:color w:val="000000"/>
          <w:shd w:val="clear" w:color="auto" w:fill="FFFFFF"/>
        </w:rPr>
        <w:t>SB 350</w:t>
      </w:r>
      <w:r w:rsidR="009E6A7A">
        <w:rPr>
          <w:rFonts w:ascii="Calibri" w:hAnsi="Calibri"/>
          <w:color w:val="000000"/>
          <w:shd w:val="clear" w:color="auto" w:fill="FFFFFF"/>
        </w:rPr>
        <w:t>, which</w:t>
      </w:r>
      <w:r w:rsidR="00F765EE">
        <w:rPr>
          <w:rStyle w:val="apple-converted-space"/>
          <w:rFonts w:ascii="Calibri" w:hAnsi="Calibri"/>
          <w:color w:val="000000"/>
          <w:shd w:val="clear" w:color="auto" w:fill="FFFFFF"/>
        </w:rPr>
        <w:t> </w:t>
      </w:r>
      <w:r w:rsidR="00A22A46">
        <w:rPr>
          <w:rStyle w:val="apple-converted-space"/>
          <w:rFonts w:ascii="Calibri" w:hAnsi="Calibri"/>
          <w:color w:val="000000"/>
          <w:shd w:val="clear" w:color="auto" w:fill="FFFFFF"/>
        </w:rPr>
        <w:t xml:space="preserve">now </w:t>
      </w:r>
      <w:r w:rsidR="00F765EE">
        <w:rPr>
          <w:rStyle w:val="apple-converted-space"/>
          <w:rFonts w:ascii="Calibri" w:hAnsi="Calibri"/>
          <w:color w:val="000000"/>
          <w:shd w:val="clear" w:color="auto" w:fill="FFFFFF"/>
        </w:rPr>
        <w:t>set</w:t>
      </w:r>
      <w:r w:rsidR="009E6A7A">
        <w:rPr>
          <w:rStyle w:val="apple-converted-space"/>
          <w:rFonts w:ascii="Calibri" w:hAnsi="Calibri"/>
          <w:color w:val="000000"/>
          <w:shd w:val="clear" w:color="auto" w:fill="FFFFFF"/>
        </w:rPr>
        <w:t>s</w:t>
      </w:r>
      <w:r w:rsidR="00F765EE">
        <w:rPr>
          <w:rStyle w:val="apple-converted-space"/>
          <w:rFonts w:ascii="Calibri" w:hAnsi="Calibri"/>
          <w:color w:val="000000"/>
          <w:shd w:val="clear" w:color="auto" w:fill="FFFFFF"/>
        </w:rPr>
        <w:t xml:space="preserve"> </w:t>
      </w:r>
      <w:r w:rsidR="00F765EE">
        <w:rPr>
          <w:rFonts w:ascii="Calibri" w:hAnsi="Calibri"/>
          <w:color w:val="000000"/>
          <w:shd w:val="clear" w:color="auto" w:fill="FFFFFF"/>
        </w:rPr>
        <w:t>a goal of 50% of CA utilities’ power coming from renewable energy by 2030.</w:t>
      </w:r>
      <w:r w:rsidR="00F765EE">
        <w:rPr>
          <w:rStyle w:val="apple-converted-space"/>
          <w:rFonts w:ascii="Calibri" w:hAnsi="Calibri"/>
          <w:color w:val="000000"/>
          <w:shd w:val="clear" w:color="auto" w:fill="FFFFFF"/>
        </w:rPr>
        <w:t xml:space="preserve">  In addition this law establishes</w:t>
      </w:r>
      <w:r w:rsidR="00F765EE">
        <w:rPr>
          <w:rFonts w:ascii="Calibri" w:hAnsi="Calibri"/>
          <w:color w:val="000000"/>
          <w:shd w:val="clear" w:color="auto" w:fill="FFFFFF"/>
        </w:rPr>
        <w:t xml:space="preserve"> a </w:t>
      </w:r>
      <w:r w:rsidR="00A22A46">
        <w:rPr>
          <w:rFonts w:ascii="Calibri" w:hAnsi="Calibri"/>
          <w:color w:val="000000"/>
          <w:shd w:val="clear" w:color="auto" w:fill="FFFFFF"/>
        </w:rPr>
        <w:t xml:space="preserve">requirement for a </w:t>
      </w:r>
      <w:r w:rsidR="00F765EE">
        <w:rPr>
          <w:rFonts w:ascii="Calibri" w:hAnsi="Calibri"/>
          <w:color w:val="000000"/>
          <w:shd w:val="clear" w:color="auto" w:fill="FFFFFF"/>
        </w:rPr>
        <w:t>50% increase in the energy efficiency in buildings.</w:t>
      </w:r>
      <w:r w:rsidR="005C1A2D">
        <w:rPr>
          <w:rFonts w:ascii="Calibri" w:hAnsi="Calibri"/>
          <w:color w:val="000000"/>
          <w:shd w:val="clear" w:color="auto" w:fill="FFFFFF"/>
        </w:rPr>
        <w:t xml:space="preserve">  </w:t>
      </w:r>
      <w:r w:rsidR="000B5E9B">
        <w:rPr>
          <w:rFonts w:ascii="Calibri" w:hAnsi="Calibri"/>
          <w:color w:val="000000"/>
          <w:shd w:val="clear" w:color="auto" w:fill="FFFFFF"/>
        </w:rPr>
        <w:t xml:space="preserve">In </w:t>
      </w:r>
      <w:r w:rsidR="000B5E9B" w:rsidRPr="000B5E9B">
        <w:rPr>
          <w:rFonts w:ascii="Calibri" w:hAnsi="Calibri"/>
          <w:color w:val="000000"/>
          <w:shd w:val="clear" w:color="auto" w:fill="FFFFFF"/>
        </w:rPr>
        <w:t xml:space="preserve">complying with current GHG state regulations </w:t>
      </w:r>
      <w:r w:rsidR="000B5E9B">
        <w:rPr>
          <w:rFonts w:ascii="Calibri" w:hAnsi="Calibri"/>
          <w:color w:val="000000"/>
          <w:shd w:val="clear" w:color="auto" w:fill="FFFFFF"/>
        </w:rPr>
        <w:t xml:space="preserve">and in </w:t>
      </w:r>
      <w:r w:rsidR="000B5E9B" w:rsidRPr="000B5E9B">
        <w:rPr>
          <w:rFonts w:ascii="Calibri" w:hAnsi="Calibri"/>
          <w:color w:val="000000"/>
          <w:shd w:val="clear" w:color="auto" w:fill="FFFFFF"/>
        </w:rPr>
        <w:t xml:space="preserve">anticipation of </w:t>
      </w:r>
      <w:r w:rsidR="000B5E9B">
        <w:rPr>
          <w:rFonts w:ascii="Calibri" w:hAnsi="Calibri"/>
          <w:color w:val="000000"/>
          <w:shd w:val="clear" w:color="auto" w:fill="FFFFFF"/>
        </w:rPr>
        <w:t>President Obama’s</w:t>
      </w:r>
      <w:r w:rsidR="000B5E9B" w:rsidRPr="000B5E9B">
        <w:rPr>
          <w:rFonts w:ascii="Calibri" w:hAnsi="Calibri"/>
          <w:color w:val="000000"/>
          <w:shd w:val="clear" w:color="auto" w:fill="FFFFFF"/>
        </w:rPr>
        <w:t xml:space="preserve"> Clean Power Plan</w:t>
      </w:r>
      <w:r w:rsidR="000B5E9B">
        <w:rPr>
          <w:rFonts w:ascii="Calibri" w:hAnsi="Calibri"/>
          <w:color w:val="000000"/>
          <w:shd w:val="clear" w:color="auto" w:fill="FFFFFF"/>
        </w:rPr>
        <w:t xml:space="preserve">, LADWP is working to reduce its GHG emissions through a number of strategies, the primary of which is </w:t>
      </w:r>
      <w:r w:rsidR="000B5E9B" w:rsidRPr="000B5E9B">
        <w:rPr>
          <w:rFonts w:ascii="Calibri" w:hAnsi="Calibri"/>
          <w:color w:val="000000"/>
          <w:shd w:val="clear" w:color="auto" w:fill="FFFFFF"/>
        </w:rPr>
        <w:t>early replacement of coal-fired generation</w:t>
      </w:r>
      <w:r w:rsidR="000B5E9B">
        <w:rPr>
          <w:rFonts w:ascii="Calibri" w:hAnsi="Calibri"/>
          <w:color w:val="000000"/>
          <w:shd w:val="clear" w:color="auto" w:fill="FFFFFF"/>
        </w:rPr>
        <w:t>.</w:t>
      </w:r>
      <w:r w:rsidR="000B5E9B" w:rsidRPr="000B5E9B">
        <w:t xml:space="preserve"> </w:t>
      </w:r>
      <w:r w:rsidR="000B5E9B">
        <w:rPr>
          <w:rFonts w:ascii="Calibri" w:hAnsi="Calibri"/>
          <w:color w:val="000000"/>
          <w:shd w:val="clear" w:color="auto" w:fill="FFFFFF"/>
        </w:rPr>
        <w:t>Coal</w:t>
      </w:r>
      <w:r w:rsidR="000B5E9B" w:rsidRPr="000B5E9B">
        <w:rPr>
          <w:rFonts w:ascii="Calibri" w:hAnsi="Calibri"/>
          <w:color w:val="000000"/>
          <w:shd w:val="clear" w:color="auto" w:fill="FFFFFF"/>
        </w:rPr>
        <w:t xml:space="preserve"> energy delivered to LADWP </w:t>
      </w:r>
      <w:r w:rsidR="000B5E9B">
        <w:rPr>
          <w:rFonts w:ascii="Calibri" w:hAnsi="Calibri"/>
          <w:color w:val="000000"/>
          <w:shd w:val="clear" w:color="auto" w:fill="FFFFFF"/>
        </w:rPr>
        <w:t xml:space="preserve">comes </w:t>
      </w:r>
      <w:r w:rsidR="000B5E9B" w:rsidRPr="000B5E9B">
        <w:rPr>
          <w:rFonts w:ascii="Calibri" w:hAnsi="Calibri"/>
          <w:color w:val="000000"/>
          <w:shd w:val="clear" w:color="auto" w:fill="FFFFFF"/>
        </w:rPr>
        <w:t>from two coal-fired generating stations: the Intermountain Power Project (IPP) in Utah, and the Navajo Generating Station (NGS) in Arizona. The NGS’s</w:t>
      </w:r>
      <w:r w:rsidR="000B5E9B">
        <w:rPr>
          <w:rFonts w:ascii="Calibri" w:hAnsi="Calibri"/>
          <w:color w:val="000000"/>
          <w:shd w:val="clear" w:color="auto" w:fill="FFFFFF"/>
        </w:rPr>
        <w:t xml:space="preserve"> </w:t>
      </w:r>
      <w:r w:rsidR="000B5E9B" w:rsidRPr="000B5E9B">
        <w:rPr>
          <w:rFonts w:ascii="Calibri" w:hAnsi="Calibri"/>
          <w:color w:val="000000"/>
          <w:shd w:val="clear" w:color="auto" w:fill="FFFFFF"/>
        </w:rPr>
        <w:t>operating agreement and land lease expires in December 2019 and IPP’s Power Purchase</w:t>
      </w:r>
      <w:r w:rsidR="000B5E9B">
        <w:rPr>
          <w:rFonts w:ascii="Calibri" w:hAnsi="Calibri"/>
          <w:color w:val="000000"/>
          <w:shd w:val="clear" w:color="auto" w:fill="FFFFFF"/>
        </w:rPr>
        <w:t xml:space="preserve"> </w:t>
      </w:r>
      <w:r w:rsidR="000B5E9B" w:rsidRPr="000B5E9B">
        <w:rPr>
          <w:rFonts w:ascii="Calibri" w:hAnsi="Calibri"/>
          <w:color w:val="000000"/>
          <w:shd w:val="clear" w:color="auto" w:fill="FFFFFF"/>
        </w:rPr>
        <w:t xml:space="preserve">Agreement (PPA) contract is in effect until June 2027. </w:t>
      </w:r>
      <w:r w:rsidR="00B273AA">
        <w:rPr>
          <w:rFonts w:ascii="Calibri" w:hAnsi="Calibri"/>
          <w:color w:val="000000"/>
          <w:shd w:val="clear" w:color="auto" w:fill="FFFFFF"/>
        </w:rPr>
        <w:t xml:space="preserve">Under LADWP’s </w:t>
      </w:r>
      <w:r w:rsidR="00A22A46">
        <w:rPr>
          <w:rFonts w:ascii="Calibri" w:hAnsi="Calibri"/>
          <w:color w:val="000000"/>
          <w:shd w:val="clear" w:color="auto" w:fill="FFFFFF"/>
        </w:rPr>
        <w:t xml:space="preserve">2014 </w:t>
      </w:r>
      <w:r w:rsidR="00B273AA">
        <w:rPr>
          <w:rFonts w:ascii="Calibri" w:hAnsi="Calibri"/>
          <w:color w:val="000000"/>
          <w:shd w:val="clear" w:color="auto" w:fill="FFFFFF"/>
        </w:rPr>
        <w:t>I</w:t>
      </w:r>
      <w:r w:rsidR="00A22A46">
        <w:rPr>
          <w:rFonts w:ascii="Calibri" w:hAnsi="Calibri"/>
          <w:color w:val="000000"/>
          <w:shd w:val="clear" w:color="auto" w:fill="FFFFFF"/>
        </w:rPr>
        <w:t xml:space="preserve">ntegrated </w:t>
      </w:r>
      <w:r w:rsidR="00B273AA">
        <w:rPr>
          <w:rFonts w:ascii="Calibri" w:hAnsi="Calibri"/>
          <w:color w:val="000000"/>
          <w:shd w:val="clear" w:color="auto" w:fill="FFFFFF"/>
        </w:rPr>
        <w:t>R</w:t>
      </w:r>
      <w:r w:rsidR="00A22A46">
        <w:rPr>
          <w:rFonts w:ascii="Calibri" w:hAnsi="Calibri"/>
          <w:color w:val="000000"/>
          <w:shd w:val="clear" w:color="auto" w:fill="FFFFFF"/>
        </w:rPr>
        <w:t>esource Plan</w:t>
      </w:r>
      <w:r w:rsidR="00E255DF">
        <w:rPr>
          <w:rFonts w:ascii="Calibri" w:hAnsi="Calibri"/>
          <w:color w:val="000000"/>
          <w:shd w:val="clear" w:color="auto" w:fill="FFFFFF"/>
        </w:rPr>
        <w:t xml:space="preserve"> (IRP)</w:t>
      </w:r>
      <w:r w:rsidR="00A22A46">
        <w:rPr>
          <w:rStyle w:val="FootnoteReference"/>
          <w:rFonts w:ascii="Calibri" w:hAnsi="Calibri"/>
          <w:color w:val="000000"/>
          <w:shd w:val="clear" w:color="auto" w:fill="FFFFFF"/>
        </w:rPr>
        <w:footnoteReference w:id="17"/>
      </w:r>
      <w:r w:rsidR="00B273AA">
        <w:rPr>
          <w:rFonts w:ascii="Calibri" w:hAnsi="Calibri"/>
          <w:color w:val="000000"/>
          <w:shd w:val="clear" w:color="auto" w:fill="FFFFFF"/>
        </w:rPr>
        <w:t>, t</w:t>
      </w:r>
      <w:r w:rsidR="00B273AA" w:rsidRPr="00B273AA">
        <w:rPr>
          <w:rFonts w:ascii="Calibri" w:hAnsi="Calibri"/>
          <w:color w:val="000000"/>
          <w:shd w:val="clear" w:color="auto" w:fill="FFFFFF"/>
        </w:rPr>
        <w:t>he</w:t>
      </w:r>
      <w:r w:rsidR="00B273AA">
        <w:rPr>
          <w:rFonts w:ascii="Calibri" w:hAnsi="Calibri"/>
          <w:color w:val="000000"/>
          <w:shd w:val="clear" w:color="auto" w:fill="FFFFFF"/>
        </w:rPr>
        <w:t xml:space="preserve"> r</w:t>
      </w:r>
      <w:r w:rsidR="00B273AA" w:rsidRPr="00B273AA">
        <w:rPr>
          <w:rFonts w:ascii="Calibri" w:hAnsi="Calibri"/>
          <w:color w:val="000000"/>
          <w:shd w:val="clear" w:color="auto" w:fill="FFFFFF"/>
        </w:rPr>
        <w:t xml:space="preserve">ecommended </w:t>
      </w:r>
      <w:r w:rsidR="00B273AA">
        <w:rPr>
          <w:rFonts w:ascii="Calibri" w:hAnsi="Calibri"/>
          <w:color w:val="000000"/>
          <w:shd w:val="clear" w:color="auto" w:fill="FFFFFF"/>
        </w:rPr>
        <w:t>s</w:t>
      </w:r>
      <w:r w:rsidR="00B273AA" w:rsidRPr="00B273AA">
        <w:rPr>
          <w:rFonts w:ascii="Calibri" w:hAnsi="Calibri"/>
          <w:color w:val="000000"/>
          <w:shd w:val="clear" w:color="auto" w:fill="FFFFFF"/>
        </w:rPr>
        <w:t xml:space="preserve">trategic </w:t>
      </w:r>
      <w:r w:rsidR="00B273AA">
        <w:rPr>
          <w:rFonts w:ascii="Calibri" w:hAnsi="Calibri"/>
          <w:color w:val="000000"/>
          <w:shd w:val="clear" w:color="auto" w:fill="FFFFFF"/>
        </w:rPr>
        <w:t>c</w:t>
      </w:r>
      <w:r w:rsidR="00B273AA" w:rsidRPr="00B273AA">
        <w:rPr>
          <w:rFonts w:ascii="Calibri" w:hAnsi="Calibri"/>
          <w:color w:val="000000"/>
          <w:shd w:val="clear" w:color="auto" w:fill="FFFFFF"/>
        </w:rPr>
        <w:t>ase incorporates</w:t>
      </w:r>
      <w:r w:rsidR="00B273AA">
        <w:rPr>
          <w:rFonts w:ascii="Calibri" w:hAnsi="Calibri"/>
          <w:color w:val="000000"/>
          <w:shd w:val="clear" w:color="auto" w:fill="FFFFFF"/>
        </w:rPr>
        <w:t xml:space="preserve"> </w:t>
      </w:r>
      <w:r w:rsidR="00B273AA" w:rsidRPr="00B273AA">
        <w:rPr>
          <w:rFonts w:ascii="Calibri" w:hAnsi="Calibri"/>
          <w:color w:val="000000"/>
          <w:shd w:val="clear" w:color="auto" w:fill="FFFFFF"/>
        </w:rPr>
        <w:t xml:space="preserve">early Navajo coal divestiture in 2015, </w:t>
      </w:r>
      <w:r w:rsidR="00B273AA">
        <w:rPr>
          <w:rFonts w:ascii="Calibri" w:hAnsi="Calibri"/>
          <w:color w:val="000000"/>
          <w:shd w:val="clear" w:color="auto" w:fill="FFFFFF"/>
        </w:rPr>
        <w:t xml:space="preserve">and </w:t>
      </w:r>
      <w:r w:rsidR="00B273AA" w:rsidRPr="00B273AA">
        <w:rPr>
          <w:rFonts w:ascii="Calibri" w:hAnsi="Calibri"/>
          <w:color w:val="000000"/>
          <w:shd w:val="clear" w:color="auto" w:fill="FFFFFF"/>
        </w:rPr>
        <w:t>early IPP coal replacement in 2025</w:t>
      </w:r>
      <w:r w:rsidR="00B273AA">
        <w:rPr>
          <w:rFonts w:ascii="Calibri" w:hAnsi="Calibri"/>
          <w:color w:val="000000"/>
          <w:shd w:val="clear" w:color="auto" w:fill="FFFFFF"/>
        </w:rPr>
        <w:t>.</w:t>
      </w:r>
      <w:r w:rsidR="00762611">
        <w:rPr>
          <w:rFonts w:ascii="Calibri" w:hAnsi="Calibri"/>
          <w:color w:val="000000"/>
          <w:shd w:val="clear" w:color="auto" w:fill="FFFFFF"/>
        </w:rPr>
        <w:t xml:space="preserve"> In addition LADWP plans a large investment in renewable technologies wi</w:t>
      </w:r>
      <w:r w:rsidR="00A22A46">
        <w:rPr>
          <w:rFonts w:ascii="Calibri" w:hAnsi="Calibri"/>
          <w:color w:val="000000"/>
          <w:shd w:val="clear" w:color="auto" w:fill="FFFFFF"/>
        </w:rPr>
        <w:t xml:space="preserve">th solar leading the way. Their </w:t>
      </w:r>
      <w:r w:rsidR="00762611">
        <w:rPr>
          <w:rFonts w:ascii="Calibri" w:hAnsi="Calibri"/>
          <w:color w:val="000000"/>
          <w:shd w:val="clear" w:color="auto" w:fill="FFFFFF"/>
        </w:rPr>
        <w:t xml:space="preserve">recommended generation mix </w:t>
      </w:r>
      <w:r w:rsidR="00A22A46">
        <w:rPr>
          <w:rFonts w:ascii="Calibri" w:hAnsi="Calibri"/>
          <w:color w:val="000000"/>
          <w:shd w:val="clear" w:color="auto" w:fill="FFFFFF"/>
        </w:rPr>
        <w:t xml:space="preserve">for 2014-2034 </w:t>
      </w:r>
      <w:r w:rsidR="00762611">
        <w:rPr>
          <w:rFonts w:ascii="Calibri" w:hAnsi="Calibri"/>
          <w:color w:val="000000"/>
          <w:shd w:val="clear" w:color="auto" w:fill="FFFFFF"/>
        </w:rPr>
        <w:t>is shown below.</w:t>
      </w:r>
    </w:p>
    <w:p w:rsidR="00854237" w:rsidRDefault="00854237" w:rsidP="00DA0AC2">
      <w:pPr>
        <w:spacing w:line="240" w:lineRule="auto"/>
        <w:rPr>
          <w:rFonts w:ascii="Calibri" w:hAnsi="Calibri"/>
          <w:color w:val="000000"/>
          <w:shd w:val="clear" w:color="auto" w:fill="FFFFF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table from LADWP's integrated resource plan. The table identifies recommended sources for electricity by 2020 and 2034."/>
      </w:tblPr>
      <w:tblGrid>
        <w:gridCol w:w="9000"/>
      </w:tblGrid>
      <w:tr w:rsidR="00E255DF" w:rsidTr="00211F33">
        <w:trPr>
          <w:tblHeader/>
        </w:trPr>
        <w:tc>
          <w:tcPr>
            <w:tcW w:w="9216" w:type="dxa"/>
          </w:tcPr>
          <w:p w:rsidR="00E255DF" w:rsidRDefault="00E255DF" w:rsidP="00DA0AC2">
            <w:pPr>
              <w:rPr>
                <w:rFonts w:ascii="Calibri" w:hAnsi="Calibri"/>
                <w:color w:val="000000"/>
                <w:shd w:val="clear" w:color="auto" w:fill="FFFFFF"/>
              </w:rPr>
            </w:pPr>
            <w:r>
              <w:rPr>
                <w:noProof/>
              </w:rPr>
              <w:lastRenderedPageBreak/>
              <w:drawing>
                <wp:inline distT="0" distB="0" distL="0" distR="0">
                  <wp:extent cx="5715000" cy="1944077"/>
                  <wp:effectExtent l="0" t="0" r="0" b="0"/>
                  <wp:docPr id="32" name="Picture 32" descr="A table from LADWP's integrated resource plan. The table identifies recommended sources for electricity by 2020 and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15000" cy="1944077"/>
                          </a:xfrm>
                          <a:prstGeom prst="rect">
                            <a:avLst/>
                          </a:prstGeom>
                        </pic:spPr>
                      </pic:pic>
                    </a:graphicData>
                  </a:graphic>
                </wp:inline>
              </w:drawing>
            </w:r>
          </w:p>
        </w:tc>
      </w:tr>
    </w:tbl>
    <w:p w:rsidR="00540301" w:rsidRDefault="00540301" w:rsidP="00DA0AC2">
      <w:pPr>
        <w:spacing w:line="240" w:lineRule="auto"/>
        <w:rPr>
          <w:rFonts w:ascii="Calibri" w:hAnsi="Calibri"/>
          <w:color w:val="000000"/>
          <w:shd w:val="clear" w:color="auto" w:fill="FFFFFF"/>
        </w:rPr>
      </w:pPr>
    </w:p>
    <w:p w:rsidR="00393BC3" w:rsidRDefault="00393BC3" w:rsidP="00FD0E60">
      <w:pPr>
        <w:rPr>
          <w:rFonts w:cs="Arial"/>
          <w:color w:val="000000"/>
        </w:rPr>
      </w:pPr>
      <w:r>
        <w:rPr>
          <w:rFonts w:cs="Arial"/>
          <w:color w:val="000000"/>
        </w:rPr>
        <w:t>Th</w:t>
      </w:r>
      <w:r w:rsidR="00E255DF">
        <w:rPr>
          <w:rFonts w:cs="Arial"/>
          <w:color w:val="000000"/>
        </w:rPr>
        <w:t>e IRP</w:t>
      </w:r>
      <w:r>
        <w:rPr>
          <w:rFonts w:cs="Arial"/>
          <w:color w:val="000000"/>
        </w:rPr>
        <w:t xml:space="preserve"> exhibits a significant transition to renewables, and solar in particular, over the next few years</w:t>
      </w:r>
      <w:r w:rsidR="00F20DCB">
        <w:rPr>
          <w:rFonts w:cs="Arial"/>
          <w:color w:val="000000"/>
        </w:rPr>
        <w:t xml:space="preserve"> (Figure 9)</w:t>
      </w:r>
      <w:r>
        <w:rPr>
          <w:rFonts w:cs="Arial"/>
          <w:color w:val="000000"/>
        </w:rPr>
        <w:t xml:space="preserve">. This transition will likely be expanded further as the recommended strategic case was based on a 40% RPS by 2030 and the new standard </w:t>
      </w:r>
      <w:r w:rsidR="00E255DF">
        <w:rPr>
          <w:rFonts w:cs="Arial"/>
          <w:color w:val="000000"/>
        </w:rPr>
        <w:t>calls for a</w:t>
      </w:r>
      <w:r>
        <w:rPr>
          <w:rFonts w:cs="Arial"/>
          <w:color w:val="000000"/>
        </w:rPr>
        <w:t xml:space="preserve"> 50%</w:t>
      </w:r>
      <w:r w:rsidR="00E255DF">
        <w:rPr>
          <w:rFonts w:cs="Arial"/>
          <w:color w:val="000000"/>
        </w:rPr>
        <w:t xml:space="preserve"> RPS</w:t>
      </w:r>
      <w:r>
        <w:rPr>
          <w:rFonts w:cs="Arial"/>
          <w:color w:val="000000"/>
        </w:rPr>
        <w:t>.</w:t>
      </w:r>
    </w:p>
    <w:p w:rsidR="00F20DCB" w:rsidRDefault="00F20DCB" w:rsidP="00FD0E60">
      <w:pPr>
        <w:rPr>
          <w:rFonts w:cs="Arial"/>
          <w:color w:val="000000"/>
        </w:rPr>
      </w:pPr>
    </w:p>
    <w:p w:rsidR="00F20DCB" w:rsidRDefault="00F20DCB" w:rsidP="00FD0E60">
      <w:pPr>
        <w:rPr>
          <w:rFonts w:ascii="Calibri" w:hAnsi="Calibri"/>
          <w:color w:val="000000"/>
          <w:shd w:val="clear" w:color="auto" w:fill="FFFFFF"/>
        </w:rPr>
      </w:pPr>
      <w:r>
        <w:rPr>
          <w:rFonts w:ascii="Calibri" w:hAnsi="Calibri"/>
          <w:color w:val="000000"/>
        </w:rPr>
        <w:t>The accompanying GHG emission reductions are presented in Figure 10. (Case #4 is the recommended case utilized in our projections.)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stacked wedge graph showing the Los Angeles Department of Water and Power's electricity generation mix from 2014 to 2034.&#10;Below that is a line graph depicting several greenhouse gas emission quantities from 2014 to 2034 under different scenarios."/>
      </w:tblPr>
      <w:tblGrid>
        <w:gridCol w:w="9000"/>
      </w:tblGrid>
      <w:tr w:rsidR="00BB5B6E" w:rsidTr="00211F33">
        <w:trPr>
          <w:tblHeader/>
        </w:trPr>
        <w:tc>
          <w:tcPr>
            <w:tcW w:w="9216" w:type="dxa"/>
          </w:tcPr>
          <w:p w:rsidR="00BB5B6E" w:rsidRDefault="00BB5B6E" w:rsidP="00DA0AC2">
            <w:pPr>
              <w:rPr>
                <w:rFonts w:cs="Arial"/>
                <w:color w:val="000000"/>
              </w:rPr>
            </w:pPr>
            <w:r>
              <w:rPr>
                <w:noProof/>
              </w:rPr>
              <w:lastRenderedPageBreak/>
              <w:drawing>
                <wp:inline distT="0" distB="0" distL="0" distR="0">
                  <wp:extent cx="5467350" cy="3371698"/>
                  <wp:effectExtent l="0" t="0" r="0" b="635"/>
                  <wp:docPr id="33" name="Picture 33" descr="A stacked wedge graph showing the Los Angeles Department of Water and Power's electricity generation mix from 2014 to 2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t="11941"/>
                          <a:stretch/>
                        </pic:blipFill>
                        <pic:spPr bwMode="auto">
                          <a:xfrm>
                            <a:off x="0" y="0"/>
                            <a:ext cx="5467237" cy="3371628"/>
                          </a:xfrm>
                          <a:prstGeom prst="rect">
                            <a:avLst/>
                          </a:prstGeom>
                          <a:ln>
                            <a:noFill/>
                          </a:ln>
                          <a:extLst>
                            <a:ext uri="{53640926-AAD7-44D8-BBD7-CCE9431645EC}">
                              <a14:shadowObscured xmlns:a14="http://schemas.microsoft.com/office/drawing/2010/main"/>
                            </a:ext>
                          </a:extLst>
                        </pic:spPr>
                      </pic:pic>
                    </a:graphicData>
                  </a:graphic>
                </wp:inline>
              </w:drawing>
            </w:r>
          </w:p>
          <w:p w:rsidR="00BB5B6E" w:rsidRDefault="006349AD" w:rsidP="0090200B">
            <w:pPr>
              <w:rPr>
                <w:rFonts w:cs="Arial"/>
                <w:b/>
                <w:color w:val="000000"/>
              </w:rPr>
            </w:pPr>
            <w:r w:rsidRPr="006349AD">
              <w:rPr>
                <w:rFonts w:cs="Arial"/>
                <w:b/>
                <w:color w:val="000000"/>
              </w:rPr>
              <w:t>Figure 9</w:t>
            </w:r>
            <w:r w:rsidR="00BB5B6E" w:rsidRPr="006349AD">
              <w:rPr>
                <w:rFonts w:cs="Arial"/>
                <w:b/>
                <w:color w:val="000000"/>
              </w:rPr>
              <w:t>. LADWP’s power generation mix, 2014 – 2034.</w:t>
            </w:r>
            <w:r w:rsidR="00DA104F" w:rsidRPr="006349AD">
              <w:rPr>
                <w:rFonts w:cs="Arial"/>
                <w:b/>
                <w:color w:val="000000"/>
              </w:rPr>
              <w:t>Taken from the IRP</w:t>
            </w:r>
            <w:r w:rsidR="00BB5B6E" w:rsidRPr="006349AD">
              <w:rPr>
                <w:rStyle w:val="FootnoteReference"/>
                <w:rFonts w:cs="Arial"/>
                <w:b/>
                <w:color w:val="000000"/>
              </w:rPr>
              <w:footnoteReference w:id="18"/>
            </w:r>
            <w:r w:rsidR="00DA104F" w:rsidRPr="006349AD">
              <w:rPr>
                <w:rFonts w:cs="Arial"/>
                <w:b/>
                <w:color w:val="000000"/>
              </w:rPr>
              <w:t xml:space="preserve"> Figure 5-2.</w:t>
            </w:r>
          </w:p>
          <w:p w:rsidR="00644494" w:rsidRDefault="00644494" w:rsidP="00DA0AC2">
            <w:pPr>
              <w:rPr>
                <w:rFonts w:cs="Arial"/>
                <w:b/>
                <w:color w:val="000000"/>
              </w:rPr>
            </w:pPr>
          </w:p>
          <w:p w:rsidR="008B2E8C" w:rsidRPr="006349AD" w:rsidRDefault="008B2E8C" w:rsidP="00DA0AC2">
            <w:pPr>
              <w:rPr>
                <w:rFonts w:cs="Arial"/>
                <w:b/>
                <w:color w:val="000000"/>
              </w:rPr>
            </w:pPr>
          </w:p>
        </w:tc>
      </w:tr>
      <w:tr w:rsidR="00037AC6" w:rsidTr="00644494">
        <w:trPr>
          <w:trHeight w:val="6002"/>
        </w:trPr>
        <w:tc>
          <w:tcPr>
            <w:tcW w:w="9216" w:type="dxa"/>
          </w:tcPr>
          <w:p w:rsidR="00037AC6" w:rsidRPr="00F20DCB" w:rsidRDefault="00E933F5" w:rsidP="0090200B">
            <w:pPr>
              <w:pStyle w:val="NormalWeb"/>
              <w:spacing w:before="0" w:beforeAutospacing="0" w:after="120" w:afterAutospacing="0"/>
              <w:textAlignment w:val="baseline"/>
              <w:rPr>
                <w:rFonts w:ascii="Calibri" w:hAnsi="Calibri"/>
                <w:b/>
                <w:color w:val="000000"/>
                <w:sz w:val="22"/>
                <w:szCs w:val="22"/>
              </w:rPr>
            </w:pPr>
            <w:r>
              <w:rPr>
                <w:noProof/>
              </w:rPr>
              <w:drawing>
                <wp:inline distT="0" distB="0" distL="0" distR="0">
                  <wp:extent cx="5638799" cy="3581400"/>
                  <wp:effectExtent l="0" t="0" r="635" b="0"/>
                  <wp:docPr id="31" name="Picture 31" descr="A line graph depicting several greenhouse gas emission quantities from 2014 to 2034 under different scenar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654992" cy="3591684"/>
                          </a:xfrm>
                          <a:prstGeom prst="rect">
                            <a:avLst/>
                          </a:prstGeom>
                        </pic:spPr>
                      </pic:pic>
                    </a:graphicData>
                  </a:graphic>
                </wp:inline>
              </w:drawing>
            </w:r>
            <w:r w:rsidR="006349AD" w:rsidRPr="006349AD">
              <w:rPr>
                <w:rFonts w:ascii="Calibri" w:hAnsi="Calibri"/>
                <w:b/>
                <w:color w:val="000000"/>
                <w:sz w:val="22"/>
                <w:szCs w:val="22"/>
              </w:rPr>
              <w:t>Figure 10</w:t>
            </w:r>
            <w:r w:rsidR="00DA104F" w:rsidRPr="006349AD">
              <w:rPr>
                <w:rFonts w:ascii="Calibri" w:hAnsi="Calibri"/>
                <w:b/>
                <w:color w:val="000000"/>
                <w:sz w:val="22"/>
                <w:szCs w:val="22"/>
              </w:rPr>
              <w:t xml:space="preserve">. From LADWP’s IRP Figure </w:t>
            </w:r>
            <w:r w:rsidRPr="006349AD">
              <w:rPr>
                <w:rFonts w:ascii="Calibri" w:hAnsi="Calibri"/>
                <w:b/>
                <w:color w:val="000000"/>
                <w:sz w:val="22"/>
                <w:szCs w:val="22"/>
              </w:rPr>
              <w:t>ES-5</w:t>
            </w:r>
            <w:r w:rsidR="00DA104F" w:rsidRPr="006349AD">
              <w:rPr>
                <w:rFonts w:ascii="Calibri" w:hAnsi="Calibri"/>
                <w:b/>
                <w:color w:val="000000"/>
                <w:sz w:val="22"/>
                <w:szCs w:val="22"/>
              </w:rPr>
              <w:t>.</w:t>
            </w:r>
            <w:r w:rsidR="0014493E" w:rsidRPr="006349AD">
              <w:rPr>
                <w:rFonts w:ascii="Calibri" w:hAnsi="Calibri"/>
                <w:b/>
                <w:color w:val="000000"/>
                <w:sz w:val="22"/>
                <w:szCs w:val="22"/>
              </w:rPr>
              <w:t xml:space="preserve"> The recommended case (above) is case #4.</w:t>
            </w:r>
          </w:p>
        </w:tc>
      </w:tr>
    </w:tbl>
    <w:p w:rsidR="00BB596B" w:rsidRDefault="0087189C" w:rsidP="00634092">
      <w:pPr>
        <w:pStyle w:val="NormalWeb"/>
        <w:shd w:val="clear" w:color="auto" w:fill="FFFFFF"/>
        <w:spacing w:line="276" w:lineRule="auto"/>
        <w:textAlignment w:val="baseline"/>
      </w:pPr>
      <w:r w:rsidRPr="00F756C7">
        <w:rPr>
          <w:rFonts w:ascii="Calibri" w:hAnsi="Calibri"/>
          <w:color w:val="000000"/>
          <w:sz w:val="22"/>
          <w:szCs w:val="22"/>
        </w:rPr>
        <w:lastRenderedPageBreak/>
        <w:t xml:space="preserve">Emissions under various scenarios would be reduced from </w:t>
      </w:r>
      <w:r w:rsidR="00E933F5" w:rsidRPr="00F756C7">
        <w:rPr>
          <w:rFonts w:ascii="Calibri" w:hAnsi="Calibri"/>
          <w:color w:val="000000"/>
          <w:sz w:val="22"/>
          <w:szCs w:val="22"/>
        </w:rPr>
        <w:t xml:space="preserve">14.3 million </w:t>
      </w:r>
      <w:proofErr w:type="spellStart"/>
      <w:r w:rsidR="00E933F5" w:rsidRPr="00F756C7">
        <w:rPr>
          <w:rFonts w:ascii="Calibri" w:hAnsi="Calibri"/>
          <w:color w:val="000000"/>
          <w:sz w:val="22"/>
          <w:szCs w:val="22"/>
        </w:rPr>
        <w:t>tonnes</w:t>
      </w:r>
      <w:proofErr w:type="spellEnd"/>
      <w:r w:rsidR="00E933F5" w:rsidRPr="00F756C7">
        <w:rPr>
          <w:rFonts w:ascii="Calibri" w:hAnsi="Calibri"/>
          <w:color w:val="000000"/>
          <w:sz w:val="22"/>
          <w:szCs w:val="22"/>
        </w:rPr>
        <w:t xml:space="preserve"> in 2013 </w:t>
      </w:r>
      <w:r w:rsidRPr="00F756C7">
        <w:rPr>
          <w:rFonts w:ascii="Calibri" w:hAnsi="Calibri"/>
          <w:color w:val="000000"/>
          <w:sz w:val="22"/>
          <w:szCs w:val="22"/>
        </w:rPr>
        <w:t xml:space="preserve">to 6.5 – 8.5 million </w:t>
      </w:r>
      <w:proofErr w:type="spellStart"/>
      <w:r w:rsidRPr="00F756C7">
        <w:rPr>
          <w:rFonts w:ascii="Calibri" w:hAnsi="Calibri"/>
          <w:color w:val="000000"/>
          <w:sz w:val="22"/>
          <w:szCs w:val="22"/>
        </w:rPr>
        <w:t>tonnes</w:t>
      </w:r>
      <w:proofErr w:type="spellEnd"/>
      <w:r w:rsidRPr="00F756C7">
        <w:rPr>
          <w:rFonts w:ascii="Calibri" w:hAnsi="Calibri"/>
          <w:color w:val="000000"/>
          <w:sz w:val="22"/>
          <w:szCs w:val="22"/>
        </w:rPr>
        <w:t xml:space="preserve"> in 2034. The recommended case</w:t>
      </w:r>
      <w:r w:rsidR="00E933F5" w:rsidRPr="00F756C7">
        <w:rPr>
          <w:rFonts w:ascii="Calibri" w:hAnsi="Calibri"/>
          <w:color w:val="000000"/>
          <w:sz w:val="22"/>
          <w:szCs w:val="22"/>
        </w:rPr>
        <w:t xml:space="preserve"> (#4)</w:t>
      </w:r>
      <w:r w:rsidRPr="00F756C7">
        <w:rPr>
          <w:rFonts w:ascii="Calibri" w:hAnsi="Calibri"/>
          <w:color w:val="000000"/>
          <w:sz w:val="22"/>
          <w:szCs w:val="22"/>
        </w:rPr>
        <w:t xml:space="preserve"> results in </w:t>
      </w:r>
      <w:r w:rsidR="00DA104F" w:rsidRPr="00F756C7">
        <w:rPr>
          <w:rFonts w:ascii="Calibri" w:hAnsi="Calibri"/>
          <w:color w:val="000000"/>
          <w:sz w:val="22"/>
          <w:szCs w:val="22"/>
        </w:rPr>
        <w:t xml:space="preserve">a reduction in </w:t>
      </w:r>
      <w:r w:rsidRPr="00F756C7">
        <w:rPr>
          <w:rFonts w:ascii="Calibri" w:hAnsi="Calibri"/>
          <w:color w:val="000000"/>
          <w:sz w:val="22"/>
          <w:szCs w:val="22"/>
        </w:rPr>
        <w:t xml:space="preserve">total emissions </w:t>
      </w:r>
      <w:r w:rsidR="00DA104F" w:rsidRPr="00F756C7">
        <w:rPr>
          <w:rFonts w:ascii="Calibri" w:hAnsi="Calibri"/>
          <w:color w:val="000000"/>
          <w:sz w:val="22"/>
          <w:szCs w:val="22"/>
        </w:rPr>
        <w:t>to</w:t>
      </w:r>
      <w:r w:rsidRPr="00F756C7">
        <w:rPr>
          <w:rFonts w:ascii="Calibri" w:hAnsi="Calibri"/>
          <w:color w:val="000000"/>
          <w:sz w:val="22"/>
          <w:szCs w:val="22"/>
        </w:rPr>
        <w:t xml:space="preserve"> approx</w:t>
      </w:r>
      <w:r w:rsidR="00DA104F" w:rsidRPr="00F756C7">
        <w:rPr>
          <w:rFonts w:ascii="Calibri" w:hAnsi="Calibri"/>
          <w:color w:val="000000"/>
          <w:sz w:val="22"/>
          <w:szCs w:val="22"/>
        </w:rPr>
        <w:t>imately</w:t>
      </w:r>
      <w:r w:rsidRPr="00F756C7">
        <w:rPr>
          <w:rFonts w:ascii="Calibri" w:hAnsi="Calibri"/>
          <w:color w:val="000000"/>
          <w:sz w:val="22"/>
          <w:szCs w:val="22"/>
        </w:rPr>
        <w:t xml:space="preserve"> 7.7 million </w:t>
      </w:r>
      <w:proofErr w:type="spellStart"/>
      <w:r w:rsidRPr="00F756C7">
        <w:rPr>
          <w:rFonts w:ascii="Calibri" w:hAnsi="Calibri"/>
          <w:color w:val="000000"/>
          <w:sz w:val="22"/>
          <w:szCs w:val="22"/>
        </w:rPr>
        <w:t>tonnes</w:t>
      </w:r>
      <w:proofErr w:type="spellEnd"/>
      <w:r w:rsidRPr="00F756C7">
        <w:rPr>
          <w:rFonts w:ascii="Calibri" w:hAnsi="Calibri"/>
          <w:color w:val="000000"/>
          <w:sz w:val="22"/>
          <w:szCs w:val="22"/>
        </w:rPr>
        <w:t xml:space="preserve"> per year </w:t>
      </w:r>
      <w:r w:rsidR="00DA104F" w:rsidRPr="00F756C7">
        <w:rPr>
          <w:rFonts w:ascii="Calibri" w:hAnsi="Calibri"/>
          <w:color w:val="000000"/>
          <w:sz w:val="22"/>
          <w:szCs w:val="22"/>
        </w:rPr>
        <w:t>by 2034</w:t>
      </w:r>
      <w:r w:rsidRPr="00F756C7">
        <w:rPr>
          <w:rFonts w:ascii="Calibri" w:hAnsi="Calibri"/>
          <w:color w:val="000000"/>
          <w:sz w:val="22"/>
          <w:szCs w:val="22"/>
        </w:rPr>
        <w:t xml:space="preserve">. </w:t>
      </w:r>
      <w:r w:rsidR="00E933F5" w:rsidRPr="00F756C7">
        <w:rPr>
          <w:rFonts w:ascii="Calibri" w:hAnsi="Calibri"/>
          <w:color w:val="000000"/>
          <w:sz w:val="22"/>
          <w:szCs w:val="22"/>
        </w:rPr>
        <w:t xml:space="preserve">Case #5 which meets the 50% RPS lowers carbon emissions to about 6.5 million </w:t>
      </w:r>
      <w:proofErr w:type="spellStart"/>
      <w:r w:rsidR="00E933F5" w:rsidRPr="00F756C7">
        <w:rPr>
          <w:rFonts w:ascii="Calibri" w:hAnsi="Calibri"/>
          <w:color w:val="000000"/>
          <w:sz w:val="22"/>
          <w:szCs w:val="22"/>
        </w:rPr>
        <w:t>tonnes</w:t>
      </w:r>
      <w:proofErr w:type="spellEnd"/>
      <w:r w:rsidR="00E933F5" w:rsidRPr="00F756C7">
        <w:rPr>
          <w:rFonts w:ascii="Calibri" w:hAnsi="Calibri"/>
          <w:color w:val="000000"/>
          <w:sz w:val="22"/>
          <w:szCs w:val="22"/>
        </w:rPr>
        <w:t xml:space="preserve"> annually.</w:t>
      </w:r>
      <w:r w:rsidR="0014493E" w:rsidRPr="00F756C7">
        <w:rPr>
          <w:rFonts w:ascii="Calibri" w:hAnsi="Calibri"/>
          <w:color w:val="000000"/>
          <w:sz w:val="22"/>
          <w:szCs w:val="22"/>
        </w:rPr>
        <w:t xml:space="preserve">  </w:t>
      </w:r>
      <w:r w:rsidR="00726B72" w:rsidRPr="00F756C7">
        <w:rPr>
          <w:rFonts w:ascii="Calibri" w:hAnsi="Calibri"/>
          <w:color w:val="000000"/>
          <w:sz w:val="22"/>
          <w:szCs w:val="22"/>
        </w:rPr>
        <w:t xml:space="preserve">Given </w:t>
      </w:r>
      <w:r w:rsidR="00F756C7">
        <w:rPr>
          <w:rFonts w:ascii="Calibri" w:hAnsi="Calibri"/>
          <w:color w:val="000000"/>
          <w:sz w:val="22"/>
          <w:szCs w:val="22"/>
        </w:rPr>
        <w:t xml:space="preserve">the </w:t>
      </w:r>
      <w:r w:rsidR="00726B72" w:rsidRPr="00F756C7">
        <w:rPr>
          <w:rFonts w:ascii="Calibri" w:hAnsi="Calibri"/>
          <w:color w:val="000000"/>
          <w:sz w:val="22"/>
          <w:szCs w:val="22"/>
        </w:rPr>
        <w:t xml:space="preserve">2013 GHG emissions </w:t>
      </w:r>
      <w:r w:rsidR="00F756C7">
        <w:rPr>
          <w:rFonts w:ascii="Calibri" w:hAnsi="Calibri"/>
          <w:color w:val="000000"/>
          <w:sz w:val="22"/>
          <w:szCs w:val="22"/>
        </w:rPr>
        <w:t xml:space="preserve">intensity </w:t>
      </w:r>
      <w:r w:rsidR="00726B72" w:rsidRPr="00F756C7">
        <w:rPr>
          <w:rFonts w:ascii="Calibri" w:hAnsi="Calibri"/>
          <w:color w:val="000000"/>
          <w:sz w:val="22"/>
          <w:szCs w:val="22"/>
        </w:rPr>
        <w:t>of</w:t>
      </w:r>
      <w:r w:rsidR="00445655" w:rsidRPr="00F756C7">
        <w:rPr>
          <w:rFonts w:ascii="Calibri" w:hAnsi="Calibri"/>
          <w:color w:val="000000"/>
          <w:sz w:val="22"/>
          <w:szCs w:val="22"/>
        </w:rPr>
        <w:t xml:space="preserve"> 1,135 </w:t>
      </w:r>
      <w:proofErr w:type="spellStart"/>
      <w:r w:rsidR="00445655" w:rsidRPr="00F756C7">
        <w:rPr>
          <w:rFonts w:ascii="Calibri" w:hAnsi="Calibri"/>
          <w:color w:val="000000"/>
          <w:sz w:val="22"/>
          <w:szCs w:val="22"/>
        </w:rPr>
        <w:t>lbs</w:t>
      </w:r>
      <w:proofErr w:type="spellEnd"/>
      <w:r w:rsidR="00445655" w:rsidRPr="00F756C7">
        <w:rPr>
          <w:rFonts w:ascii="Calibri" w:hAnsi="Calibri"/>
          <w:color w:val="000000"/>
          <w:sz w:val="22"/>
          <w:szCs w:val="22"/>
        </w:rPr>
        <w:t xml:space="preserve"> CO</w:t>
      </w:r>
      <w:r w:rsidR="00445655" w:rsidRPr="00F756C7">
        <w:rPr>
          <w:rFonts w:ascii="Calibri" w:hAnsi="Calibri"/>
          <w:color w:val="000000"/>
          <w:sz w:val="22"/>
          <w:szCs w:val="22"/>
          <w:vertAlign w:val="subscript"/>
        </w:rPr>
        <w:t>2</w:t>
      </w:r>
      <w:r w:rsidR="00445655" w:rsidRPr="00F756C7">
        <w:rPr>
          <w:rFonts w:ascii="Calibri" w:hAnsi="Calibri"/>
          <w:color w:val="000000"/>
          <w:sz w:val="22"/>
          <w:szCs w:val="22"/>
        </w:rPr>
        <w:t xml:space="preserve">/MWh corresponding to </w:t>
      </w:r>
      <w:r w:rsidR="00F756C7">
        <w:rPr>
          <w:rFonts w:ascii="Calibri" w:hAnsi="Calibri"/>
          <w:color w:val="000000"/>
          <w:sz w:val="22"/>
          <w:szCs w:val="22"/>
        </w:rPr>
        <w:t xml:space="preserve">a </w:t>
      </w:r>
      <w:r w:rsidR="00445655" w:rsidRPr="00F756C7">
        <w:rPr>
          <w:rFonts w:ascii="Calibri" w:hAnsi="Calibri"/>
          <w:color w:val="000000"/>
          <w:sz w:val="22"/>
          <w:szCs w:val="22"/>
        </w:rPr>
        <w:t xml:space="preserve">total </w:t>
      </w:r>
      <w:r w:rsidR="00F756C7">
        <w:rPr>
          <w:rFonts w:ascii="Calibri" w:hAnsi="Calibri"/>
          <w:color w:val="000000"/>
          <w:sz w:val="22"/>
          <w:szCs w:val="22"/>
        </w:rPr>
        <w:t xml:space="preserve">generation </w:t>
      </w:r>
      <w:r w:rsidR="00445655" w:rsidRPr="00F756C7">
        <w:rPr>
          <w:rFonts w:ascii="Calibri" w:hAnsi="Calibri"/>
          <w:color w:val="000000"/>
          <w:sz w:val="22"/>
          <w:szCs w:val="22"/>
        </w:rPr>
        <w:t xml:space="preserve">emissions of 14.3 million </w:t>
      </w:r>
      <w:proofErr w:type="spellStart"/>
      <w:r w:rsidR="00445655" w:rsidRPr="00F756C7">
        <w:rPr>
          <w:rFonts w:ascii="Calibri" w:hAnsi="Calibri"/>
          <w:color w:val="000000"/>
          <w:sz w:val="22"/>
          <w:szCs w:val="22"/>
        </w:rPr>
        <w:t>tonnes</w:t>
      </w:r>
      <w:proofErr w:type="spellEnd"/>
      <w:r w:rsidR="00445655" w:rsidRPr="00F756C7">
        <w:rPr>
          <w:rFonts w:ascii="Calibri" w:hAnsi="Calibri"/>
          <w:color w:val="000000"/>
          <w:sz w:val="22"/>
          <w:szCs w:val="22"/>
        </w:rPr>
        <w:t xml:space="preserve">, the recommended strategic case would reduce the emissions factor down to approx. 611 </w:t>
      </w:r>
      <w:proofErr w:type="spellStart"/>
      <w:r w:rsidR="00445655" w:rsidRPr="00F756C7">
        <w:rPr>
          <w:rFonts w:ascii="Calibri" w:hAnsi="Calibri"/>
          <w:color w:val="000000"/>
          <w:sz w:val="22"/>
          <w:szCs w:val="22"/>
        </w:rPr>
        <w:t>lbs</w:t>
      </w:r>
      <w:proofErr w:type="spellEnd"/>
      <w:r w:rsidR="00445655" w:rsidRPr="00F756C7">
        <w:rPr>
          <w:rFonts w:ascii="Calibri" w:hAnsi="Calibri"/>
          <w:color w:val="000000"/>
          <w:sz w:val="22"/>
          <w:szCs w:val="22"/>
        </w:rPr>
        <w:t xml:space="preserve"> CO</w:t>
      </w:r>
      <w:r w:rsidR="00445655" w:rsidRPr="00F756C7">
        <w:rPr>
          <w:rFonts w:ascii="Calibri" w:hAnsi="Calibri"/>
          <w:color w:val="000000"/>
          <w:sz w:val="22"/>
          <w:szCs w:val="22"/>
          <w:vertAlign w:val="subscript"/>
        </w:rPr>
        <w:t>2</w:t>
      </w:r>
      <w:r w:rsidR="00445655" w:rsidRPr="00F756C7">
        <w:rPr>
          <w:rFonts w:ascii="Calibri" w:hAnsi="Calibri"/>
          <w:color w:val="000000"/>
          <w:sz w:val="22"/>
          <w:szCs w:val="22"/>
        </w:rPr>
        <w:t xml:space="preserve">/MWh or 516 </w:t>
      </w:r>
      <w:proofErr w:type="spellStart"/>
      <w:r w:rsidR="00445655" w:rsidRPr="00F756C7">
        <w:rPr>
          <w:rFonts w:ascii="Calibri" w:hAnsi="Calibri"/>
          <w:color w:val="000000"/>
          <w:sz w:val="22"/>
          <w:szCs w:val="22"/>
        </w:rPr>
        <w:t>lbs</w:t>
      </w:r>
      <w:proofErr w:type="spellEnd"/>
      <w:r w:rsidR="00445655" w:rsidRPr="00F756C7">
        <w:rPr>
          <w:rFonts w:ascii="Calibri" w:hAnsi="Calibri"/>
          <w:color w:val="000000"/>
          <w:sz w:val="22"/>
          <w:szCs w:val="22"/>
        </w:rPr>
        <w:t xml:space="preserve"> CO</w:t>
      </w:r>
      <w:r w:rsidR="00445655" w:rsidRPr="00F756C7">
        <w:rPr>
          <w:rFonts w:ascii="Calibri" w:hAnsi="Calibri"/>
          <w:color w:val="000000"/>
          <w:sz w:val="22"/>
          <w:szCs w:val="22"/>
          <w:vertAlign w:val="subscript"/>
        </w:rPr>
        <w:t>2</w:t>
      </w:r>
      <w:r w:rsidR="00445655" w:rsidRPr="00F756C7">
        <w:rPr>
          <w:rFonts w:ascii="Calibri" w:hAnsi="Calibri"/>
          <w:color w:val="000000"/>
          <w:sz w:val="22"/>
          <w:szCs w:val="22"/>
        </w:rPr>
        <w:t>/MWh for the 50% RPS case</w:t>
      </w:r>
      <w:r w:rsidR="00726B72" w:rsidRPr="00F756C7">
        <w:rPr>
          <w:rFonts w:ascii="Calibri" w:hAnsi="Calibri"/>
          <w:color w:val="000000"/>
          <w:sz w:val="22"/>
          <w:szCs w:val="22"/>
        </w:rPr>
        <w:t xml:space="preserve"> by 2034. (These calculations assume no increase in power production</w:t>
      </w:r>
      <w:r w:rsidR="00445655" w:rsidRPr="00F756C7">
        <w:rPr>
          <w:rFonts w:ascii="Calibri" w:hAnsi="Calibri"/>
          <w:color w:val="000000"/>
          <w:sz w:val="22"/>
          <w:szCs w:val="22"/>
        </w:rPr>
        <w:t>.</w:t>
      </w:r>
      <w:r w:rsidR="00726B72" w:rsidRPr="00F756C7">
        <w:rPr>
          <w:rFonts w:ascii="Calibri" w:hAnsi="Calibri"/>
          <w:color w:val="000000"/>
          <w:sz w:val="22"/>
          <w:szCs w:val="22"/>
        </w:rPr>
        <w:t>)</w:t>
      </w:r>
      <w:r w:rsidR="009311AB" w:rsidRPr="00F756C7">
        <w:rPr>
          <w:rFonts w:ascii="Calibri" w:hAnsi="Calibri"/>
          <w:color w:val="000000"/>
          <w:sz w:val="22"/>
          <w:szCs w:val="22"/>
        </w:rPr>
        <w:t xml:space="preserve">  LADWP’s projected emission factors based on their </w:t>
      </w:r>
      <w:r w:rsidR="00836BC5">
        <w:rPr>
          <w:rFonts w:ascii="Calibri" w:hAnsi="Calibri"/>
          <w:color w:val="000000"/>
          <w:sz w:val="22"/>
          <w:szCs w:val="22"/>
        </w:rPr>
        <w:t xml:space="preserve">own </w:t>
      </w:r>
      <w:r w:rsidR="009311AB" w:rsidRPr="00F756C7">
        <w:rPr>
          <w:rFonts w:ascii="Calibri" w:hAnsi="Calibri"/>
          <w:color w:val="000000"/>
          <w:sz w:val="22"/>
          <w:szCs w:val="22"/>
        </w:rPr>
        <w:t xml:space="preserve">calculations which include expected demand </w:t>
      </w:r>
      <w:r w:rsidR="009311AB" w:rsidRPr="00F20DCB">
        <w:rPr>
          <w:rFonts w:ascii="Calibri" w:hAnsi="Calibri"/>
          <w:color w:val="000000"/>
          <w:sz w:val="22"/>
          <w:szCs w:val="22"/>
        </w:rPr>
        <w:t xml:space="preserve">increase, increased energy efficiency of buildings, and significant electrification of the transportation sector are shown in </w:t>
      </w:r>
      <w:r w:rsidR="00005789" w:rsidRPr="00F20DCB">
        <w:rPr>
          <w:rFonts w:ascii="Calibri" w:hAnsi="Calibri"/>
          <w:color w:val="000000"/>
          <w:sz w:val="22"/>
          <w:szCs w:val="22"/>
        </w:rPr>
        <w:t>Figure 10</w:t>
      </w:r>
      <w:r w:rsidR="009311AB" w:rsidRPr="00F20DCB">
        <w:rPr>
          <w:rFonts w:ascii="Calibri" w:hAnsi="Calibri"/>
          <w:color w:val="000000"/>
          <w:sz w:val="22"/>
          <w:szCs w:val="22"/>
        </w:rPr>
        <w:t xml:space="preserve">.  </w:t>
      </w:r>
      <w:r w:rsidR="00F756C7" w:rsidRPr="00F20DCB">
        <w:rPr>
          <w:rFonts w:ascii="Calibri" w:hAnsi="Calibri"/>
          <w:color w:val="000000"/>
          <w:sz w:val="22"/>
          <w:szCs w:val="22"/>
        </w:rPr>
        <w:t>These are important</w:t>
      </w:r>
      <w:r w:rsidR="00F756C7">
        <w:rPr>
          <w:rFonts w:ascii="Calibri" w:hAnsi="Calibri"/>
          <w:color w:val="000000"/>
          <w:sz w:val="22"/>
          <w:szCs w:val="22"/>
        </w:rPr>
        <w:t xml:space="preserve"> in generating </w:t>
      </w:r>
      <w:r w:rsidR="00836BC5">
        <w:rPr>
          <w:rFonts w:ascii="Calibri" w:hAnsi="Calibri"/>
          <w:color w:val="000000"/>
          <w:sz w:val="22"/>
          <w:szCs w:val="22"/>
        </w:rPr>
        <w:t>CSUN’s</w:t>
      </w:r>
      <w:r w:rsidR="00F756C7">
        <w:rPr>
          <w:rFonts w:ascii="Calibri" w:hAnsi="Calibri"/>
          <w:color w:val="000000"/>
          <w:sz w:val="22"/>
          <w:szCs w:val="22"/>
        </w:rPr>
        <w:t xml:space="preserve"> CAP </w:t>
      </w:r>
      <w:r w:rsidR="00F756C7" w:rsidRPr="00F20DCB">
        <w:rPr>
          <w:rFonts w:ascii="Calibri" w:hAnsi="Calibri"/>
          <w:color w:val="000000"/>
          <w:sz w:val="22"/>
          <w:szCs w:val="22"/>
        </w:rPr>
        <w:t>because they strongly affect CSUN’s projected emissions from electricity use</w:t>
      </w:r>
      <w:r w:rsidR="00836BC5" w:rsidRPr="00F20DCB">
        <w:rPr>
          <w:rFonts w:ascii="Calibri" w:hAnsi="Calibri"/>
          <w:color w:val="000000"/>
          <w:sz w:val="22"/>
          <w:szCs w:val="22"/>
        </w:rPr>
        <w:t xml:space="preserve"> (see BAU projections in Section </w:t>
      </w:r>
      <w:r w:rsidR="00F20DCB" w:rsidRPr="00F20DCB">
        <w:rPr>
          <w:rFonts w:ascii="Calibri" w:hAnsi="Calibri"/>
          <w:color w:val="000000"/>
          <w:sz w:val="22"/>
          <w:szCs w:val="22"/>
        </w:rPr>
        <w:t>2.2</w:t>
      </w:r>
      <w:r w:rsidR="00836BC5" w:rsidRPr="00F20DCB">
        <w:rPr>
          <w:rFonts w:ascii="Calibri" w:hAnsi="Calibri"/>
          <w:color w:val="000000"/>
          <w:sz w:val="22"/>
          <w:szCs w:val="22"/>
        </w:rPr>
        <w:t>).</w:t>
      </w:r>
    </w:p>
    <w:p w:rsidR="005D536C" w:rsidRPr="00ED5A06" w:rsidRDefault="00F20DCB" w:rsidP="00634092">
      <w:pPr>
        <w:pStyle w:val="Heading2"/>
      </w:pPr>
      <w:bookmarkStart w:id="15" w:name="_Toc440630060"/>
      <w:r>
        <w:t>3</w:t>
      </w:r>
      <w:r w:rsidR="005D536C" w:rsidRPr="00ED5A06">
        <w:t>.</w:t>
      </w:r>
      <w:r w:rsidR="001C0B7D">
        <w:t>3</w:t>
      </w:r>
      <w:r w:rsidR="005D536C" w:rsidRPr="00ED5A06">
        <w:t xml:space="preserve"> </w:t>
      </w:r>
      <w:r w:rsidR="005D536C">
        <w:t>Renewables</w:t>
      </w:r>
      <w:bookmarkEnd w:id="15"/>
    </w:p>
    <w:p w:rsidR="0058451A" w:rsidRDefault="002E5E65" w:rsidP="00634092">
      <w:r w:rsidRPr="002E5E65">
        <w:t xml:space="preserve">Although a number of different options are now available for renewable energy production on a utility scale, the most viable options for the CSUN campus are </w:t>
      </w:r>
      <w:r>
        <w:t>limited to solar PV and wind.  For</w:t>
      </w:r>
      <w:r w:rsidR="002B234D">
        <w:t xml:space="preserve"> a number of reasons, including primarily </w:t>
      </w:r>
      <w:r>
        <w:t xml:space="preserve">the </w:t>
      </w:r>
      <w:r w:rsidR="002B234D">
        <w:t xml:space="preserve">low </w:t>
      </w:r>
      <w:r>
        <w:t xml:space="preserve">average wind speed on campus (2.8 mph </w:t>
      </w:r>
      <w:r w:rsidR="002B234D">
        <w:t xml:space="preserve">or 1.25 m/s </w:t>
      </w:r>
      <w:r>
        <w:t>for 2010-2013</w:t>
      </w:r>
      <w:r w:rsidR="00990D90">
        <w:rPr>
          <w:rStyle w:val="FootnoteReference"/>
        </w:rPr>
        <w:footnoteReference w:id="19"/>
      </w:r>
      <w:r>
        <w:t>)</w:t>
      </w:r>
      <w:r w:rsidR="002B234D">
        <w:t>, wind is not considered here.</w:t>
      </w:r>
    </w:p>
    <w:p w:rsidR="002B234D" w:rsidRDefault="002B234D" w:rsidP="00634092"/>
    <w:p w:rsidR="00B65637" w:rsidRDefault="002B234D" w:rsidP="00634092">
      <w:r>
        <w:t xml:space="preserve">The campus has high potential for expanding its solar PV capacity, both on rooftops and using ground-mounted structures over surface parking lots.  </w:t>
      </w:r>
      <w:r w:rsidR="00AD062F">
        <w:t>Using data recorded by the CSUN weat</w:t>
      </w:r>
      <w:r w:rsidR="00990D90">
        <w:t>her station, the campus receives</w:t>
      </w:r>
      <w:r w:rsidR="00AD062F">
        <w:t xml:space="preserve"> an </w:t>
      </w:r>
      <w:r w:rsidR="00122643">
        <w:t xml:space="preserve">annual </w:t>
      </w:r>
      <w:r w:rsidR="00AD062F">
        <w:t>average of 5.06 kWh of sunlight per m</w:t>
      </w:r>
      <w:r w:rsidR="00AD062F">
        <w:rPr>
          <w:vertAlign w:val="superscript"/>
        </w:rPr>
        <w:t>2</w:t>
      </w:r>
      <w:r w:rsidR="00AD062F">
        <w:t xml:space="preserve"> per </w:t>
      </w:r>
      <w:r w:rsidR="00122643">
        <w:t>day</w:t>
      </w:r>
      <w:r w:rsidR="00AD062F">
        <w:t xml:space="preserve"> (data for 2009 – 2013).  Th</w:t>
      </w:r>
      <w:r w:rsidR="00122643">
        <w:t>e campus is located in one of</w:t>
      </w:r>
      <w:r w:rsidR="00AD062F">
        <w:t xml:space="preserve"> the highest </w:t>
      </w:r>
      <w:r w:rsidR="00122643">
        <w:t>solar potential regions in the country, surpassed only by the southeastern-most part of the state and the southern part of Arizona</w:t>
      </w:r>
      <w:r w:rsidR="00122643">
        <w:rPr>
          <w:rStyle w:val="FootnoteReference"/>
        </w:rPr>
        <w:footnoteReference w:id="20"/>
      </w:r>
      <w:r w:rsidR="00122643">
        <w:t>.</w:t>
      </w:r>
      <w:r w:rsidR="00AC6862">
        <w:t xml:space="preserve">  </w:t>
      </w:r>
      <w:r w:rsidR="00AC6862" w:rsidRPr="00AC6862">
        <w:t>The efficiency of solar cells in converting sunlight into electricity is limited by the electrical properties of semiconductor materials</w:t>
      </w:r>
      <w:r w:rsidR="00990D90">
        <w:t>, so only a fraction of this can be converted to electricity</w:t>
      </w:r>
      <w:r w:rsidR="00AC6862">
        <w:t xml:space="preserve">. </w:t>
      </w:r>
      <w:r w:rsidR="00AC6862" w:rsidRPr="00AC6862">
        <w:t xml:space="preserve"> </w:t>
      </w:r>
      <w:r w:rsidR="00AC6862">
        <w:t xml:space="preserve">Most commercially-available solar panels </w:t>
      </w:r>
      <w:r w:rsidR="00990D90">
        <w:t xml:space="preserve">have </w:t>
      </w:r>
      <w:r w:rsidR="00AC6862">
        <w:t xml:space="preserve">average </w:t>
      </w:r>
      <w:r w:rsidR="00990D90">
        <w:t>efficiencies between 14 and 20%</w:t>
      </w:r>
      <w:r w:rsidR="00AC6862">
        <w:t xml:space="preserve">.  </w:t>
      </w:r>
      <w:r w:rsidR="00077022">
        <w:t xml:space="preserve">The calculations </w:t>
      </w:r>
      <w:r w:rsidR="00990D90">
        <w:t>used in this CAP</w:t>
      </w:r>
      <w:r w:rsidR="00077022">
        <w:t xml:space="preserve"> assume an efficiency (sunlight to DC) of 15% and an inverter efficiency of 95% for an overall sunlight to AC efficiency of</w:t>
      </w:r>
      <w:r w:rsidR="00AC6862">
        <w:t xml:space="preserve"> </w:t>
      </w:r>
      <w:r w:rsidR="00077022">
        <w:t xml:space="preserve">14.25%. </w:t>
      </w:r>
      <w:r w:rsidR="00990D90">
        <w:t>Given the available sunlight, t</w:t>
      </w:r>
      <w:r w:rsidR="00B65637">
        <w:t xml:space="preserve">his yields </w:t>
      </w:r>
      <w:r w:rsidR="00990D90">
        <w:t xml:space="preserve">an AC electrical output of </w:t>
      </w:r>
      <w:r w:rsidR="00B65637">
        <w:t>24 kWh of electricity per year for every square foot of panel area</w:t>
      </w:r>
      <w:r w:rsidR="008B2DE3">
        <w:t xml:space="preserve"> installed</w:t>
      </w:r>
      <w:r w:rsidR="00B65637">
        <w:t>.</w:t>
      </w:r>
      <w:r w:rsidR="008B2DE3">
        <w:t xml:space="preserve"> (Note that the actual output will depend on the panel type and mounting angle</w:t>
      </w:r>
      <w:r w:rsidR="00B65637">
        <w:t xml:space="preserve"> </w:t>
      </w:r>
      <w:r w:rsidR="008B2DE3">
        <w:t>and will be decreased by any shading.)</w:t>
      </w:r>
    </w:p>
    <w:p w:rsidR="009A6B90" w:rsidRDefault="009A6B90" w:rsidP="00634092"/>
    <w:p w:rsidR="008B2DE3" w:rsidRDefault="003911FA" w:rsidP="00634092">
      <w:pPr>
        <w:rPr>
          <w:rFonts w:ascii="Calibri" w:eastAsia="Times New Roman" w:hAnsi="Calibri" w:cs="Times New Roman"/>
          <w:color w:val="000000"/>
        </w:rPr>
      </w:pPr>
      <w:r>
        <w:t xml:space="preserve">Using a GIS, the surface parking lot areas were analyzed and total areas computed. The thirty-three lots included in this analysis have a combined surface area of </w:t>
      </w:r>
      <w:r w:rsidRPr="003911FA">
        <w:rPr>
          <w:rFonts w:ascii="Calibri" w:eastAsia="Times New Roman" w:hAnsi="Calibri" w:cs="Times New Roman"/>
          <w:color w:val="000000"/>
        </w:rPr>
        <w:t>2,168,505</w:t>
      </w:r>
      <w:r>
        <w:rPr>
          <w:rFonts w:ascii="Calibri" w:eastAsia="Times New Roman" w:hAnsi="Calibri" w:cs="Times New Roman"/>
          <w:color w:val="000000"/>
        </w:rPr>
        <w:t xml:space="preserve"> </w:t>
      </w:r>
      <w:proofErr w:type="spellStart"/>
      <w:r>
        <w:rPr>
          <w:rFonts w:ascii="Calibri" w:eastAsia="Times New Roman" w:hAnsi="Calibri" w:cs="Times New Roman"/>
          <w:color w:val="000000"/>
        </w:rPr>
        <w:t>sq</w:t>
      </w:r>
      <w:proofErr w:type="spellEnd"/>
      <w:r>
        <w:rPr>
          <w:rFonts w:ascii="Calibri" w:eastAsia="Times New Roman" w:hAnsi="Calibri" w:cs="Times New Roman"/>
          <w:color w:val="000000"/>
        </w:rPr>
        <w:t xml:space="preserve"> </w:t>
      </w:r>
      <w:proofErr w:type="spellStart"/>
      <w:r>
        <w:rPr>
          <w:rFonts w:ascii="Calibri" w:eastAsia="Times New Roman" w:hAnsi="Calibri" w:cs="Times New Roman"/>
          <w:color w:val="000000"/>
        </w:rPr>
        <w:t>ft</w:t>
      </w:r>
      <w:proofErr w:type="spellEnd"/>
      <w:r>
        <w:rPr>
          <w:rFonts w:ascii="Calibri" w:eastAsia="Times New Roman" w:hAnsi="Calibri" w:cs="Times New Roman"/>
          <w:color w:val="000000"/>
        </w:rPr>
        <w:t xml:space="preserve"> (201,461 m</w:t>
      </w:r>
      <w:r>
        <w:rPr>
          <w:rFonts w:ascii="Calibri" w:eastAsia="Times New Roman" w:hAnsi="Calibri" w:cs="Times New Roman"/>
          <w:color w:val="000000"/>
          <w:vertAlign w:val="superscript"/>
        </w:rPr>
        <w:t>2</w:t>
      </w:r>
      <w:r>
        <w:rPr>
          <w:rFonts w:ascii="Calibri" w:eastAsia="Times New Roman" w:hAnsi="Calibri" w:cs="Times New Roman"/>
          <w:color w:val="000000"/>
        </w:rPr>
        <w:t xml:space="preserve">), or 49.8 acres, and are shown </w:t>
      </w:r>
      <w:r w:rsidRPr="00266C48">
        <w:rPr>
          <w:rFonts w:ascii="Calibri" w:eastAsia="Times New Roman" w:hAnsi="Calibri" w:cs="Times New Roman"/>
          <w:color w:val="000000"/>
        </w:rPr>
        <w:t xml:space="preserve">in </w:t>
      </w:r>
      <w:r w:rsidR="00F83E2F" w:rsidRPr="00266C48">
        <w:rPr>
          <w:rFonts w:ascii="Calibri" w:eastAsia="Times New Roman" w:hAnsi="Calibri" w:cs="Times New Roman"/>
          <w:color w:val="000000"/>
        </w:rPr>
        <w:t>Figure 11</w:t>
      </w:r>
      <w:r>
        <w:rPr>
          <w:rFonts w:ascii="Calibri" w:eastAsia="Times New Roman" w:hAnsi="Calibri" w:cs="Times New Roman"/>
          <w:color w:val="000000"/>
        </w:rPr>
        <w:t xml:space="preserve"> below</w:t>
      </w:r>
      <w:r w:rsidR="008B2DE3">
        <w:rPr>
          <w:rFonts w:ascii="Calibri" w:eastAsia="Times New Roman" w:hAnsi="Calibri" w:cs="Times New Roman"/>
          <w:color w:val="000000"/>
        </w:rPr>
        <w:t xml:space="preserve"> (areas in </w:t>
      </w:r>
      <w:proofErr w:type="spellStart"/>
      <w:r w:rsidR="008B2DE3">
        <w:rPr>
          <w:rFonts w:ascii="Calibri" w:eastAsia="Times New Roman" w:hAnsi="Calibri" w:cs="Times New Roman"/>
          <w:color w:val="000000"/>
        </w:rPr>
        <w:t>sq</w:t>
      </w:r>
      <w:proofErr w:type="spellEnd"/>
      <w:r w:rsidR="008B2DE3">
        <w:rPr>
          <w:rFonts w:ascii="Calibri" w:eastAsia="Times New Roman" w:hAnsi="Calibri" w:cs="Times New Roman"/>
          <w:color w:val="000000"/>
        </w:rPr>
        <w:t xml:space="preserve"> </w:t>
      </w:r>
      <w:proofErr w:type="spellStart"/>
      <w:r w:rsidR="008B2DE3">
        <w:rPr>
          <w:rFonts w:ascii="Calibri" w:eastAsia="Times New Roman" w:hAnsi="Calibri" w:cs="Times New Roman"/>
          <w:color w:val="000000"/>
        </w:rPr>
        <w:t>ft</w:t>
      </w:r>
      <w:proofErr w:type="spellEnd"/>
      <w:r w:rsidR="008B2DE3">
        <w:rPr>
          <w:rFonts w:ascii="Calibri" w:eastAsia="Times New Roman" w:hAnsi="Calibri" w:cs="Times New Roman"/>
          <w:color w:val="000000"/>
        </w:rPr>
        <w:t>)</w:t>
      </w:r>
      <w:r>
        <w:rPr>
          <w:rFonts w:ascii="Calibri" w:eastAsia="Times New Roman" w:hAnsi="Calibri" w:cs="Times New Roman"/>
          <w:color w:val="000000"/>
        </w:rPr>
        <w:t>.</w:t>
      </w:r>
    </w:p>
    <w:p w:rsidR="003911FA" w:rsidRPr="003911FA" w:rsidRDefault="004A3ED4" w:rsidP="00DA0AC2">
      <w:pPr>
        <w:spacing w:line="240" w:lineRule="auto"/>
        <w:rPr>
          <w:rFonts w:ascii="Calibri" w:eastAsia="Times New Roman" w:hAnsi="Calibri" w:cs="Times New Roman"/>
          <w:color w:val="000000"/>
        </w:rPr>
      </w:pPr>
      <w:r>
        <w:rPr>
          <w:rFonts w:ascii="Calibri" w:eastAsia="Times New Roman" w:hAnsi="Calibri" w:cs="Times New Roman"/>
          <w:noProof/>
          <w:color w:val="000000"/>
        </w:rPr>
        <w:lastRenderedPageBreak/>
        <mc:AlternateContent>
          <mc:Choice Requires="wps">
            <w:drawing>
              <wp:anchor distT="0" distB="0" distL="114300" distR="114300" simplePos="0" relativeHeight="251672576" behindDoc="0" locked="0" layoutInCell="1" allowOverlap="1">
                <wp:simplePos x="0" y="0"/>
                <wp:positionH relativeFrom="margin">
                  <wp:posOffset>0</wp:posOffset>
                </wp:positionH>
                <wp:positionV relativeFrom="paragraph">
                  <wp:posOffset>6640830</wp:posOffset>
                </wp:positionV>
                <wp:extent cx="4152265" cy="523875"/>
                <wp:effectExtent l="0" t="0" r="0" b="9525"/>
                <wp:wrapNone/>
                <wp:docPr id="8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152265" cy="523875"/>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EE142C" w:rsidRDefault="00EE142C" w:rsidP="00644494">
                            <w:pPr>
                              <w:jc w:val="both"/>
                              <w:rPr>
                                <w:b/>
                              </w:rPr>
                            </w:pPr>
                          </w:p>
                          <w:p w:rsidR="00EE142C" w:rsidRPr="00F83E2F" w:rsidRDefault="00EE142C" w:rsidP="00644494">
                            <w:pPr>
                              <w:jc w:val="both"/>
                              <w:rPr>
                                <w:b/>
                              </w:rPr>
                            </w:pPr>
                            <w:r w:rsidRPr="00F83E2F">
                              <w:rPr>
                                <w:b/>
                              </w:rPr>
                              <w:t>Figure 11. Areas</w:t>
                            </w:r>
                            <w:r>
                              <w:rPr>
                                <w:b/>
                              </w:rPr>
                              <w:t xml:space="preserve"> (ft</w:t>
                            </w:r>
                            <w:r w:rsidRPr="007E0A9E">
                              <w:rPr>
                                <w:b/>
                                <w:vertAlign w:val="superscript"/>
                              </w:rPr>
                              <w:t>2</w:t>
                            </w:r>
                            <w:r>
                              <w:rPr>
                                <w:b/>
                              </w:rPr>
                              <w:t>)</w:t>
                            </w:r>
                            <w:r w:rsidRPr="00F83E2F">
                              <w:rPr>
                                <w:b/>
                              </w:rPr>
                              <w:t xml:space="preserve"> of the 33 surface parking lots on the CSUN campus.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2" o:spid="_x0000_s1026" type="#_x0000_t202" style="position:absolute;margin-left:0;margin-top:522.9pt;width:326.95pt;height:41.2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" filled="f" stroked="f">
                <v:path arrowok="t"/>
                <v:textbox>
                  <w:txbxContent>
                    <w:p w:rsidR="00EE142C" w:rsidRDefault="00EE142C" w:rsidP="00644494">
                      <w:pPr>
                        <w:jc w:val="both"/>
                        <w:rPr>
                          <w:b/>
                        </w:rPr>
                      </w:pPr>
                    </w:p>
                    <w:p w:rsidR="00EE142C" w:rsidRPr="00F83E2F" w:rsidRDefault="00EE142C" w:rsidP="00644494">
                      <w:pPr>
                        <w:jc w:val="both"/>
                        <w:rPr>
                          <w:b/>
                        </w:rPr>
                      </w:pPr>
                      <w:r w:rsidRPr="00F83E2F">
                        <w:rPr>
                          <w:b/>
                        </w:rPr>
                        <w:t>Figure 11. Areas</w:t>
                      </w:r>
                      <w:r>
                        <w:rPr>
                          <w:b/>
                        </w:rPr>
                        <w:t xml:space="preserve"> (ft</w:t>
                      </w:r>
                      <w:r w:rsidRPr="007E0A9E">
                        <w:rPr>
                          <w:b/>
                          <w:vertAlign w:val="superscript"/>
                        </w:rPr>
                        <w:t>2</w:t>
                      </w:r>
                      <w:r>
                        <w:rPr>
                          <w:b/>
                        </w:rPr>
                        <w:t>)</w:t>
                      </w:r>
                      <w:r w:rsidRPr="00F83E2F">
                        <w:rPr>
                          <w:b/>
                        </w:rPr>
                        <w:t xml:space="preserve"> of the 33 surface parking lots on the CSUN campus.</w:t>
                      </w:r>
                    </w:p>
                  </w:txbxContent>
                </v:textbox>
                <w10:wrap anchorx="margin"/>
              </v:shape>
            </w:pict>
          </mc:Fallback>
        </mc:AlternateContent>
      </w:r>
      <w:r w:rsidR="003911FA">
        <w:rPr>
          <w:rFonts w:ascii="Calibri" w:eastAsia="Times New Roman" w:hAnsi="Calibri" w:cs="Times New Roman"/>
          <w:noProof/>
          <w:color w:val="000000"/>
        </w:rPr>
        <w:drawing>
          <wp:anchor distT="0" distB="0" distL="114300" distR="114300" simplePos="0" relativeHeight="251659263" behindDoc="0" locked="0" layoutInCell="1" allowOverlap="1">
            <wp:simplePos x="0" y="0"/>
            <wp:positionH relativeFrom="margin">
              <wp:align>center</wp:align>
            </wp:positionH>
            <wp:positionV relativeFrom="paragraph">
              <wp:posOffset>1270</wp:posOffset>
            </wp:positionV>
            <wp:extent cx="5294630" cy="6851650"/>
            <wp:effectExtent l="0" t="0" r="1270" b="6350"/>
            <wp:wrapTopAndBottom/>
            <wp:docPr id="38" name="Picture 38" descr="A map of the CSUN campus identifying parking lots and their square foo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arAreaMap_AllLots.tiff"/>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94630" cy="6851650"/>
                    </a:xfrm>
                    <a:prstGeom prst="rect">
                      <a:avLst/>
                    </a:prstGeom>
                  </pic:spPr>
                </pic:pic>
              </a:graphicData>
            </a:graphic>
          </wp:anchor>
        </w:drawing>
      </w:r>
    </w:p>
    <w:p w:rsidR="00644494" w:rsidRDefault="00644494" w:rsidP="00DA0AC2">
      <w:pPr>
        <w:spacing w:line="240" w:lineRule="auto"/>
      </w:pPr>
    </w:p>
    <w:p w:rsidR="009B1505" w:rsidRDefault="00D172A9" w:rsidP="00634092">
      <w:r>
        <w:t xml:space="preserve">Assuming </w:t>
      </w:r>
      <w:r w:rsidR="003911FA">
        <w:t>70% coverage of these parking areas with solar panels,</w:t>
      </w:r>
      <w:r w:rsidR="00B65637">
        <w:t xml:space="preserve"> </w:t>
      </w:r>
      <w:r w:rsidR="008B2DE3">
        <w:t>there is</w:t>
      </w:r>
      <w:r>
        <w:t xml:space="preserve"> potential to generate approximately 37.1 million kWh of electricity for the campus annually </w:t>
      </w:r>
      <w:r w:rsidR="001D5EFC">
        <w:t>using carport structures over</w:t>
      </w:r>
      <w:r>
        <w:t xml:space="preserve"> surface lots. With an average annual electricity purchase </w:t>
      </w:r>
      <w:r w:rsidR="008B2DE3">
        <w:t xml:space="preserve">(2011 – 2013 data) </w:t>
      </w:r>
      <w:r>
        <w:t xml:space="preserve">of 51.7 million kWh, </w:t>
      </w:r>
      <w:r w:rsidR="001D5EFC">
        <w:lastRenderedPageBreak/>
        <w:t>these structures</w:t>
      </w:r>
      <w:r>
        <w:t xml:space="preserve"> could replace approx. 72% of the power purchased from LADWP.  </w:t>
      </w:r>
      <w:r w:rsidR="008B2DE3">
        <w:t>The total</w:t>
      </w:r>
      <w:r>
        <w:t xml:space="preserve"> electricity use on campus, including that currently generat</w:t>
      </w:r>
      <w:r w:rsidR="008B2DE3">
        <w:t>ed</w:t>
      </w:r>
      <w:r>
        <w:t xml:space="preserve"> from the fuel cell</w:t>
      </w:r>
      <w:r w:rsidR="008B2DE3">
        <w:t xml:space="preserve"> and existing solar panels</w:t>
      </w:r>
      <w:r>
        <w:t xml:space="preserve">, </w:t>
      </w:r>
      <w:r w:rsidR="008B2DE3">
        <w:t xml:space="preserve">amounted to </w:t>
      </w:r>
      <w:r w:rsidR="001F7D27" w:rsidRPr="001F7D27">
        <w:t>57,277,245</w:t>
      </w:r>
      <w:r w:rsidR="001F7D27">
        <w:t xml:space="preserve"> kWh so </w:t>
      </w:r>
      <w:r>
        <w:t xml:space="preserve">this </w:t>
      </w:r>
      <w:r w:rsidR="001F7D27">
        <w:t xml:space="preserve">amount of </w:t>
      </w:r>
      <w:r>
        <w:t xml:space="preserve">solar </w:t>
      </w:r>
      <w:r w:rsidR="001F7D27">
        <w:t>would provide</w:t>
      </w:r>
      <w:r>
        <w:t xml:space="preserve"> 6</w:t>
      </w:r>
      <w:r w:rsidR="001F7D27">
        <w:t>5</w:t>
      </w:r>
      <w:r>
        <w:t xml:space="preserve">% of </w:t>
      </w:r>
      <w:r w:rsidR="001F7D27">
        <w:t xml:space="preserve">current </w:t>
      </w:r>
      <w:r>
        <w:t xml:space="preserve">use. </w:t>
      </w:r>
      <w:r w:rsidR="005C157C">
        <w:t xml:space="preserve"> </w:t>
      </w:r>
      <w:r w:rsidR="009B1505">
        <w:t xml:space="preserve">With an average panel size of 18 </w:t>
      </w:r>
      <w:proofErr w:type="spellStart"/>
      <w:r w:rsidR="009B1505">
        <w:t>sq</w:t>
      </w:r>
      <w:proofErr w:type="spellEnd"/>
      <w:r w:rsidR="009B1505">
        <w:t xml:space="preserve"> </w:t>
      </w:r>
      <w:proofErr w:type="spellStart"/>
      <w:r w:rsidR="009B1505">
        <w:t>ft</w:t>
      </w:r>
      <w:proofErr w:type="spellEnd"/>
      <w:r w:rsidR="009B1505">
        <w:t xml:space="preserve"> and panel nameplate capacity of 250W/panel, this area of panels </w:t>
      </w:r>
      <w:r w:rsidR="001F7D27">
        <w:t xml:space="preserve">would </w:t>
      </w:r>
      <w:r w:rsidR="00BF5185">
        <w:t>accommodate approximately</w:t>
      </w:r>
      <w:r w:rsidR="009B1505">
        <w:t xml:space="preserve"> 21 </w:t>
      </w:r>
      <w:r w:rsidR="001F7D27">
        <w:t xml:space="preserve">MW of </w:t>
      </w:r>
      <w:r w:rsidR="0070447F">
        <w:t xml:space="preserve">installed </w:t>
      </w:r>
      <w:r w:rsidR="001F7D27">
        <w:t>solar.</w:t>
      </w:r>
    </w:p>
    <w:p w:rsidR="009B1505" w:rsidRDefault="009B1505" w:rsidP="00634092"/>
    <w:p w:rsidR="009B1505" w:rsidRDefault="009B1505" w:rsidP="00634092">
      <w:r>
        <w:t>At CSUN’s current average utility rate of $0.13/kWh (which takes advantage of lower off peak rates), this potential generated power would result in savings of $4.8 million per year.  As utility rates increase (a rate increase of 6-7% per year is projected for the next five years), the potential savings become even more attractive.</w:t>
      </w:r>
    </w:p>
    <w:p w:rsidR="005C157C" w:rsidRDefault="005C157C" w:rsidP="00634092"/>
    <w:p w:rsidR="005C157C" w:rsidRDefault="005C157C" w:rsidP="00634092">
      <w:r>
        <w:t>In addition to surface parking lots, the campus h</w:t>
      </w:r>
      <w:r w:rsidR="009B1505">
        <w:t xml:space="preserve">ouses some </w:t>
      </w:r>
      <w:r w:rsidR="001F7D27">
        <w:t>large</w:t>
      </w:r>
      <w:r>
        <w:t xml:space="preserve"> building rooftop area</w:t>
      </w:r>
      <w:r w:rsidR="001908EA">
        <w:t>s</w:t>
      </w:r>
      <w:r>
        <w:t xml:space="preserve"> which could serve as potential sites for solar PV.</w:t>
      </w:r>
      <w:r w:rsidR="001908EA">
        <w:t xml:space="preserve">  Potential sites include the rooftops of the </w:t>
      </w:r>
      <w:proofErr w:type="spellStart"/>
      <w:r w:rsidR="001908EA">
        <w:t>Oviatt</w:t>
      </w:r>
      <w:proofErr w:type="spellEnd"/>
      <w:r w:rsidR="001908EA">
        <w:t xml:space="preserve"> Library, Redwood Hall, the Bookstore complex, Jacaranda Hall, Sierra Hall and Tower, and University Hall.  Although installation costs for rooftop systems are approximately 15% cheaper than carport canopy structures, there are other factors that make rooftop systems less attractive.  For the most part, building roo</w:t>
      </w:r>
      <w:r w:rsidR="00DD4A29">
        <w:t>f</w:t>
      </w:r>
      <w:r w:rsidR="001908EA">
        <w:t xml:space="preserve">s </w:t>
      </w:r>
      <w:r w:rsidR="001F7D27">
        <w:t xml:space="preserve">on campus </w:t>
      </w:r>
      <w:r w:rsidR="001908EA">
        <w:t>house HVAC and other infrastructure that reduce</w:t>
      </w:r>
      <w:r w:rsidR="00DD4A29">
        <w:t>s</w:t>
      </w:r>
      <w:r w:rsidR="001908EA">
        <w:t xml:space="preserve"> and interferes with rooftop availability</w:t>
      </w:r>
      <w:r w:rsidR="00DD4A29">
        <w:t>; in addition rooftop penetrations are undesirable due to potential leakage issues (although solar PV ballasted systems are now available that avoid this). Carport structures have the added benefit of providing desirable vehicle shade from the hot sun. Although carport structures are prioritized in this plan for these reasons, it should be noted that the combination of building roof and surface lot areas have the potential to provide for, and exceed the current electricity needs of the campus.</w:t>
      </w:r>
    </w:p>
    <w:p w:rsidR="00DD4A29" w:rsidRDefault="00DD4A29" w:rsidP="00634092"/>
    <w:p w:rsidR="00B855CA" w:rsidRDefault="00080F01" w:rsidP="00634092">
      <w:r>
        <w:t>There are t</w:t>
      </w:r>
      <w:r w:rsidR="001F7D27">
        <w:t>hree</w:t>
      </w:r>
      <w:r>
        <w:t xml:space="preserve"> primary mechanisms by which solar power can be secured for CSUN. One is a purchase, which requires the campus to fund the project upfront through a capital investment or by borrowing funds via bond issuance. The other is </w:t>
      </w:r>
      <w:r w:rsidR="001F7D27">
        <w:t>through</w:t>
      </w:r>
      <w:r>
        <w:t xml:space="preserve"> a power purchase agreement (PPA) or lease. Under this arrangement a third party owns the associated infrastructure and agrees to sell power to the campus </w:t>
      </w:r>
      <w:r w:rsidR="00B855CA">
        <w:t>for a period of time (normally 20 years) at a discounted rate (relative to utility rates).  Because of LADWP’s charter, which declares that</w:t>
      </w:r>
      <w:r w:rsidR="0070447F">
        <w:t xml:space="preserve"> entity as the only one permitted</w:t>
      </w:r>
      <w:r w:rsidR="00B855CA">
        <w:t xml:space="preserve"> to sell power within the municipality, PPAs are not </w:t>
      </w:r>
      <w:r w:rsidR="0070447F">
        <w:t>allowed</w:t>
      </w:r>
      <w:r w:rsidR="00B855CA">
        <w:t xml:space="preserve"> in DWP territory.  There are alternative leasing options however, which could be arranged so that CSUN is </w:t>
      </w:r>
      <w:r w:rsidR="001F7D27">
        <w:t>leasing equipment rather than buying power from a third party which could avoid the need to</w:t>
      </w:r>
      <w:r w:rsidR="00B855CA">
        <w:t xml:space="preserve"> finance the total cost upfront.  </w:t>
      </w:r>
      <w:r w:rsidR="00EA5DFF">
        <w:t xml:space="preserve">Two </w:t>
      </w:r>
      <w:r w:rsidR="00B855CA">
        <w:t>potential financing options include a third party equipment lease and the use of CREBS bonds</w:t>
      </w:r>
      <w:r w:rsidR="00B855CA">
        <w:rPr>
          <w:rStyle w:val="FootnoteReference"/>
        </w:rPr>
        <w:footnoteReference w:id="21"/>
      </w:r>
      <w:r w:rsidR="00B855CA">
        <w:t>. There is also a Feed-In-Tariff program</w:t>
      </w:r>
      <w:r w:rsidR="00EA5DFF">
        <w:rPr>
          <w:rStyle w:val="FootnoteReference"/>
        </w:rPr>
        <w:footnoteReference w:id="22"/>
      </w:r>
      <w:r w:rsidR="00B855CA">
        <w:t xml:space="preserve"> operated by LADWP in which the campus could participate </w:t>
      </w:r>
      <w:r w:rsidR="00B855CA">
        <w:lastRenderedPageBreak/>
        <w:t>for a portion</w:t>
      </w:r>
      <w:r w:rsidR="003A7138">
        <w:t xml:space="preserve"> of the installation (up to 1 MW/year an</w:t>
      </w:r>
      <w:r w:rsidR="00EA5DFF">
        <w:t>d</w:t>
      </w:r>
      <w:r w:rsidR="003A7138">
        <w:t xml:space="preserve"> a site maximum of 5 MW). Under this arrangement CSUN would</w:t>
      </w:r>
      <w:r w:rsidR="00EA5DFF">
        <w:t xml:space="preserve"> </w:t>
      </w:r>
      <w:r w:rsidR="00F6582B">
        <w:t>develop</w:t>
      </w:r>
      <w:r w:rsidR="003A7138">
        <w:t xml:space="preserve"> the </w:t>
      </w:r>
      <w:r w:rsidR="00EA5DFF">
        <w:t>project</w:t>
      </w:r>
      <w:r w:rsidR="003A7138">
        <w:t xml:space="preserve"> and </w:t>
      </w:r>
      <w:r w:rsidR="00F6582B">
        <w:t xml:space="preserve">sell the generated power to LADWP at a contracted rate.  The campus would </w:t>
      </w:r>
      <w:r w:rsidR="003A7138">
        <w:t xml:space="preserve">continue to buy </w:t>
      </w:r>
      <w:r w:rsidR="00F6582B">
        <w:t>its power from LADWP</w:t>
      </w:r>
      <w:r w:rsidR="003A7138">
        <w:t>.</w:t>
      </w:r>
    </w:p>
    <w:p w:rsidR="00B855CA" w:rsidRDefault="00B855CA" w:rsidP="00634092"/>
    <w:p w:rsidR="00AB1BE2" w:rsidRDefault="00B855CA" w:rsidP="00634092">
      <w:r>
        <w:t xml:space="preserve">Although the </w:t>
      </w:r>
      <w:r w:rsidR="00EA5DFF">
        <w:t xml:space="preserve">exact </w:t>
      </w:r>
      <w:r>
        <w:t>financing mecha</w:t>
      </w:r>
      <w:r w:rsidR="00AB1BE2">
        <w:t xml:space="preserve">nism </w:t>
      </w:r>
      <w:r w:rsidR="00EA5DFF">
        <w:t xml:space="preserve">to be utilized </w:t>
      </w:r>
      <w:r w:rsidR="00AB1BE2">
        <w:t>remains undetermined</w:t>
      </w:r>
      <w:r w:rsidR="00F6582B">
        <w:t xml:space="preserve"> at this time</w:t>
      </w:r>
      <w:r w:rsidR="00AB1BE2">
        <w:t xml:space="preserve">, some viable options exist which </w:t>
      </w:r>
      <w:r w:rsidR="00EA5DFF">
        <w:t xml:space="preserve">allow </w:t>
      </w:r>
      <w:r w:rsidR="00AB1BE2">
        <w:t xml:space="preserve">costs </w:t>
      </w:r>
      <w:r w:rsidR="00EA5DFF">
        <w:t>to</w:t>
      </w:r>
      <w:r w:rsidR="00AB1BE2">
        <w:t xml:space="preserve"> be estimated.  The CSU system, through the Chancellor’s Office will release a system</w:t>
      </w:r>
      <w:r w:rsidR="00EA5DFF">
        <w:t>-</w:t>
      </w:r>
      <w:r w:rsidR="00AB1BE2">
        <w:t xml:space="preserve">wide </w:t>
      </w:r>
      <w:r w:rsidR="009B1505">
        <w:t>RFP</w:t>
      </w:r>
      <w:r w:rsidR="00EA5DFF">
        <w:t>/RFQ</w:t>
      </w:r>
      <w:r w:rsidR="009B1505">
        <w:t xml:space="preserve"> in 2016 that will facilitate solar </w:t>
      </w:r>
      <w:r w:rsidR="00EA5DFF">
        <w:t>procurement at</w:t>
      </w:r>
      <w:r w:rsidR="009B1505">
        <w:t xml:space="preserve"> CSUN </w:t>
      </w:r>
      <w:r w:rsidR="00EA5DFF">
        <w:t xml:space="preserve">and other CSU </w:t>
      </w:r>
      <w:r w:rsidR="009B1505">
        <w:t>campus</w:t>
      </w:r>
      <w:r w:rsidR="00EA5DFF">
        <w:t>es</w:t>
      </w:r>
      <w:r w:rsidR="009B1505">
        <w:t>.</w:t>
      </w:r>
      <w:r w:rsidR="00F6582B">
        <w:t xml:space="preserve">  This will greatly aid in moving the campus forward on a solar path beginning in 2016-17.</w:t>
      </w:r>
    </w:p>
    <w:p w:rsidR="00EA5DFF" w:rsidRDefault="00EA5DFF" w:rsidP="00634092"/>
    <w:p w:rsidR="00080F01" w:rsidRPr="006A526C" w:rsidRDefault="001D5EFC" w:rsidP="00634092">
      <w:r>
        <w:t>Although</w:t>
      </w:r>
      <w:r w:rsidR="00EA5DFF">
        <w:t xml:space="preserve"> recent (2015) commercial-scale procurement data</w:t>
      </w:r>
      <w:r>
        <w:t xml:space="preserve"> suggest that costs as low as </w:t>
      </w:r>
      <w:r w:rsidR="00EA5DFF">
        <w:t xml:space="preserve">$0.085/kWh for rooftop installations and $0.10/kWh for carport structures </w:t>
      </w:r>
      <w:r w:rsidR="007B587E">
        <w:t xml:space="preserve">through </w:t>
      </w:r>
      <w:r w:rsidR="00EA5DFF">
        <w:t>20 year fixed rate leasing contracts</w:t>
      </w:r>
      <w:r>
        <w:t xml:space="preserve"> may be available, and</w:t>
      </w:r>
      <w:r w:rsidR="00EA5DFF">
        <w:t xml:space="preserve"> $</w:t>
      </w:r>
      <w:r w:rsidR="007B587E">
        <w:t>3.00/W purchase pricing</w:t>
      </w:r>
      <w:r w:rsidR="007B587E">
        <w:rPr>
          <w:rStyle w:val="FootnoteReference"/>
        </w:rPr>
        <w:footnoteReference w:id="23"/>
      </w:r>
      <w:r>
        <w:t>, cost estimates here utilize more conservative pricing</w:t>
      </w:r>
      <w:r w:rsidR="007B587E">
        <w:t>.</w:t>
      </w:r>
      <w:r w:rsidR="004D7BD7">
        <w:t xml:space="preserve"> </w:t>
      </w:r>
      <w:r>
        <w:t xml:space="preserve"> In the projections </w:t>
      </w:r>
      <w:r w:rsidR="0090200B">
        <w:t>presented</w:t>
      </w:r>
      <w:r>
        <w:t xml:space="preserve"> here, it is assumed that solar (carport structures) can be </w:t>
      </w:r>
      <w:r w:rsidR="0090200B">
        <w:t>installed</w:t>
      </w:r>
      <w:r>
        <w:t xml:space="preserve"> at $4.00/W or leased at $0.12/kWh.  Most leases are o</w:t>
      </w:r>
      <w:r w:rsidR="004D7BD7">
        <w:t xml:space="preserve">ver a 20-yr </w:t>
      </w:r>
      <w:r>
        <w:t>period</w:t>
      </w:r>
      <w:r w:rsidR="004D7BD7">
        <w:t xml:space="preserve">, but with an outright purchase, the panels can continue to be utilized for </w:t>
      </w:r>
      <w:r w:rsidR="00A859E4">
        <w:t>longer,</w:t>
      </w:r>
      <w:r w:rsidR="004D7BD7">
        <w:t xml:space="preserve"> potentially generating power for up to 40 years</w:t>
      </w:r>
      <w:r w:rsidR="00F6582B">
        <w:t>, although</w:t>
      </w:r>
      <w:r w:rsidR="004D7BD7">
        <w:t xml:space="preserve"> efficiency</w:t>
      </w:r>
      <w:r w:rsidR="00F6582B">
        <w:t xml:space="preserve"> will diminish by a few percent as the panels become older</w:t>
      </w:r>
      <w:r w:rsidR="004D7BD7">
        <w:t>.  Most existing panels are sold with performance guarantees of 25 years.</w:t>
      </w:r>
      <w:r w:rsidR="009B7348">
        <w:t xml:space="preserve"> </w:t>
      </w:r>
      <w:r w:rsidR="009B7348" w:rsidRPr="006A526C">
        <w:t xml:space="preserve">At these (carport) costs, the panels have a payback period of </w:t>
      </w:r>
      <w:r w:rsidR="00A859E4">
        <w:t>17.5</w:t>
      </w:r>
      <w:r w:rsidR="009B7348" w:rsidRPr="006A526C">
        <w:t xml:space="preserve"> years a</w:t>
      </w:r>
      <w:r w:rsidR="000D057E" w:rsidRPr="006A526C">
        <w:t>nd</w:t>
      </w:r>
      <w:r w:rsidR="009B7348" w:rsidRPr="006A526C">
        <w:t xml:space="preserve"> a simple rate of return (at current utility rates) of </w:t>
      </w:r>
      <w:r w:rsidR="00A859E4">
        <w:t>5</w:t>
      </w:r>
      <w:r w:rsidR="009B7348" w:rsidRPr="006A526C">
        <w:t>.7%.</w:t>
      </w:r>
      <w:r w:rsidR="000D057E" w:rsidRPr="006A526C">
        <w:t xml:space="preserve">  However, </w:t>
      </w:r>
      <w:r w:rsidR="00363EA6">
        <w:t>with projected</w:t>
      </w:r>
      <w:r w:rsidR="000D057E" w:rsidRPr="006A526C">
        <w:t xml:space="preserve"> utility rate increases the payback period is much lower.</w:t>
      </w:r>
    </w:p>
    <w:p w:rsidR="00ED5A06" w:rsidRPr="006A526C" w:rsidRDefault="00ED5A06" w:rsidP="00DA0AC2">
      <w:pPr>
        <w:spacing w:line="240" w:lineRule="auto"/>
        <w:rPr>
          <w:rFonts w:ascii="Calibri" w:eastAsia="Calibri" w:hAnsi="Calibri" w:cs="Calibri"/>
          <w:color w:val="000000"/>
        </w:rPr>
      </w:pPr>
    </w:p>
    <w:tbl>
      <w:tblPr>
        <w:tblW w:w="9000" w:type="dxa"/>
        <w:tblInd w:w="1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070"/>
        <w:gridCol w:w="1620"/>
        <w:gridCol w:w="1710"/>
        <w:gridCol w:w="1350"/>
        <w:gridCol w:w="2250"/>
      </w:tblGrid>
      <w:tr w:rsidR="006950C3" w:rsidRPr="006A526C" w:rsidTr="00644494">
        <w:trPr>
          <w:trHeight w:val="1412"/>
        </w:trPr>
        <w:tc>
          <w:tcPr>
            <w:tcW w:w="2070" w:type="dxa"/>
          </w:tcPr>
          <w:p w:rsidR="006950C3" w:rsidRPr="006A526C" w:rsidRDefault="006950C3" w:rsidP="00DA0AC2">
            <w:pPr>
              <w:spacing w:line="240" w:lineRule="auto"/>
              <w:rPr>
                <w:rFonts w:ascii="Calibri" w:eastAsia="Calibri" w:hAnsi="Calibri" w:cs="Calibri"/>
                <w:color w:val="000000"/>
              </w:rPr>
            </w:pPr>
            <w:r w:rsidRPr="006A526C">
              <w:rPr>
                <w:rFonts w:ascii="Calibri" w:eastAsia="Calibri" w:hAnsi="Calibri" w:cs="Calibri"/>
                <w:b/>
                <w:color w:val="000000"/>
              </w:rPr>
              <w:t>Strategy</w:t>
            </w:r>
          </w:p>
        </w:tc>
        <w:tc>
          <w:tcPr>
            <w:tcW w:w="1620" w:type="dxa"/>
          </w:tcPr>
          <w:p w:rsidR="006950C3" w:rsidRPr="006A526C" w:rsidRDefault="006950C3" w:rsidP="00DA0AC2">
            <w:pPr>
              <w:spacing w:line="240" w:lineRule="auto"/>
              <w:rPr>
                <w:rFonts w:ascii="Calibri" w:eastAsia="Calibri" w:hAnsi="Calibri" w:cs="Calibri"/>
                <w:color w:val="000000"/>
              </w:rPr>
            </w:pPr>
            <w:r w:rsidRPr="006A526C">
              <w:rPr>
                <w:rFonts w:ascii="Calibri" w:eastAsia="Calibri" w:hAnsi="Calibri" w:cs="Calibri"/>
                <w:b/>
                <w:color w:val="000000"/>
              </w:rPr>
              <w:t>Annual energy savings (kWh) per MW installed solar</w:t>
            </w:r>
          </w:p>
        </w:tc>
        <w:tc>
          <w:tcPr>
            <w:tcW w:w="1710" w:type="dxa"/>
          </w:tcPr>
          <w:p w:rsidR="006950C3" w:rsidRPr="006A526C" w:rsidRDefault="006950C3" w:rsidP="00DA0AC2">
            <w:pPr>
              <w:spacing w:line="240" w:lineRule="auto"/>
              <w:rPr>
                <w:rFonts w:ascii="Calibri" w:eastAsia="Calibri" w:hAnsi="Calibri" w:cs="Calibri"/>
                <w:color w:val="000000"/>
              </w:rPr>
            </w:pPr>
            <w:r w:rsidRPr="006A526C">
              <w:rPr>
                <w:rFonts w:ascii="Calibri" w:eastAsia="Calibri" w:hAnsi="Calibri" w:cs="Calibri"/>
                <w:b/>
                <w:color w:val="000000"/>
              </w:rPr>
              <w:t>Estimated Project cost (per MW carport structure)</w:t>
            </w:r>
          </w:p>
        </w:tc>
        <w:tc>
          <w:tcPr>
            <w:tcW w:w="1350" w:type="dxa"/>
          </w:tcPr>
          <w:p w:rsidR="006950C3" w:rsidRPr="006A526C" w:rsidRDefault="006950C3" w:rsidP="00DA0AC2">
            <w:pPr>
              <w:spacing w:line="240" w:lineRule="auto"/>
              <w:rPr>
                <w:rFonts w:ascii="Calibri" w:eastAsia="Calibri" w:hAnsi="Calibri" w:cs="Calibri"/>
                <w:color w:val="000000"/>
              </w:rPr>
            </w:pPr>
            <w:r w:rsidRPr="006A526C">
              <w:rPr>
                <w:rFonts w:ascii="Calibri" w:eastAsia="Calibri" w:hAnsi="Calibri" w:cs="Calibri"/>
                <w:b/>
                <w:color w:val="000000"/>
              </w:rPr>
              <w:t>Project lifetime</w:t>
            </w:r>
          </w:p>
        </w:tc>
        <w:tc>
          <w:tcPr>
            <w:tcW w:w="2250" w:type="dxa"/>
          </w:tcPr>
          <w:p w:rsidR="006950C3" w:rsidRPr="006A526C" w:rsidRDefault="006950C3" w:rsidP="00DA0AC2">
            <w:pPr>
              <w:spacing w:line="240" w:lineRule="auto"/>
              <w:rPr>
                <w:rFonts w:ascii="Calibri" w:eastAsia="Calibri" w:hAnsi="Calibri" w:cs="Calibri"/>
                <w:color w:val="000000"/>
              </w:rPr>
            </w:pPr>
            <w:r w:rsidRPr="006A526C">
              <w:rPr>
                <w:rFonts w:ascii="Calibri" w:eastAsia="Calibri" w:hAnsi="Calibri" w:cs="Calibri"/>
                <w:b/>
                <w:color w:val="000000"/>
              </w:rPr>
              <w:t>Payback time (years – simple payback)</w:t>
            </w:r>
          </w:p>
        </w:tc>
      </w:tr>
      <w:tr w:rsidR="006950C3" w:rsidRPr="006A526C" w:rsidTr="00644494">
        <w:tc>
          <w:tcPr>
            <w:tcW w:w="2070" w:type="dxa"/>
          </w:tcPr>
          <w:p w:rsidR="006950C3" w:rsidRPr="006A526C" w:rsidRDefault="006950C3" w:rsidP="00DA0AC2">
            <w:pPr>
              <w:spacing w:line="240" w:lineRule="auto"/>
              <w:rPr>
                <w:rFonts w:ascii="Calibri" w:eastAsia="Calibri" w:hAnsi="Calibri" w:cs="Calibri"/>
                <w:color w:val="000000"/>
              </w:rPr>
            </w:pPr>
            <w:r w:rsidRPr="006A526C">
              <w:rPr>
                <w:rFonts w:ascii="Calibri" w:eastAsia="Calibri" w:hAnsi="Calibri" w:cs="Calibri"/>
                <w:color w:val="000000"/>
              </w:rPr>
              <w:t>Solar PV (assuming 25 year lifetime)</w:t>
            </w:r>
          </w:p>
        </w:tc>
        <w:tc>
          <w:tcPr>
            <w:tcW w:w="1620" w:type="dxa"/>
          </w:tcPr>
          <w:p w:rsidR="006950C3" w:rsidRPr="006A526C" w:rsidRDefault="006950C3" w:rsidP="00DA0AC2">
            <w:pPr>
              <w:spacing w:line="240" w:lineRule="auto"/>
              <w:rPr>
                <w:rFonts w:ascii="Calibri" w:hAnsi="Calibri"/>
                <w:color w:val="000000"/>
              </w:rPr>
            </w:pPr>
            <w:r w:rsidRPr="006A526C">
              <w:rPr>
                <w:rFonts w:ascii="Calibri" w:hAnsi="Calibri"/>
                <w:color w:val="000000"/>
              </w:rPr>
              <w:t>1,760,437</w:t>
            </w:r>
          </w:p>
        </w:tc>
        <w:tc>
          <w:tcPr>
            <w:tcW w:w="1710" w:type="dxa"/>
          </w:tcPr>
          <w:p w:rsidR="006950C3" w:rsidRPr="006A526C" w:rsidRDefault="00A859E4" w:rsidP="00DA0AC2">
            <w:pPr>
              <w:spacing w:line="240" w:lineRule="auto"/>
              <w:rPr>
                <w:rFonts w:ascii="Calibri" w:hAnsi="Calibri"/>
                <w:color w:val="000000"/>
              </w:rPr>
            </w:pPr>
            <w:r>
              <w:rPr>
                <w:rFonts w:ascii="Calibri" w:hAnsi="Calibri"/>
                <w:color w:val="000000"/>
              </w:rPr>
              <w:t>4,000</w:t>
            </w:r>
            <w:r w:rsidR="006950C3" w:rsidRPr="006A526C">
              <w:rPr>
                <w:rFonts w:ascii="Calibri" w:hAnsi="Calibri"/>
                <w:color w:val="000000"/>
              </w:rPr>
              <w:t xml:space="preserve">,000 </w:t>
            </w:r>
          </w:p>
        </w:tc>
        <w:tc>
          <w:tcPr>
            <w:tcW w:w="1350" w:type="dxa"/>
          </w:tcPr>
          <w:p w:rsidR="006950C3" w:rsidRPr="006A526C" w:rsidRDefault="006950C3" w:rsidP="00DA0AC2">
            <w:pPr>
              <w:spacing w:line="240" w:lineRule="auto"/>
              <w:rPr>
                <w:rFonts w:ascii="Calibri" w:eastAsia="Calibri" w:hAnsi="Calibri" w:cs="Calibri"/>
                <w:color w:val="000000"/>
              </w:rPr>
            </w:pPr>
            <w:r w:rsidRPr="006A526C">
              <w:rPr>
                <w:rFonts w:ascii="Calibri" w:eastAsia="Calibri" w:hAnsi="Calibri" w:cs="Calibri"/>
                <w:color w:val="000000"/>
              </w:rPr>
              <w:t>25</w:t>
            </w:r>
            <w:r>
              <w:rPr>
                <w:rFonts w:ascii="Calibri" w:eastAsia="Calibri" w:hAnsi="Calibri" w:cs="Calibri"/>
                <w:color w:val="000000"/>
              </w:rPr>
              <w:t xml:space="preserve"> years</w:t>
            </w:r>
          </w:p>
        </w:tc>
        <w:tc>
          <w:tcPr>
            <w:tcW w:w="2250" w:type="dxa"/>
          </w:tcPr>
          <w:p w:rsidR="006950C3" w:rsidRPr="006A526C" w:rsidRDefault="00A859E4" w:rsidP="00DA0AC2">
            <w:pPr>
              <w:spacing w:line="240" w:lineRule="auto"/>
              <w:rPr>
                <w:rFonts w:ascii="Calibri" w:hAnsi="Calibri"/>
                <w:color w:val="000000"/>
              </w:rPr>
            </w:pPr>
            <w:r>
              <w:rPr>
                <w:rFonts w:ascii="Calibri" w:hAnsi="Calibri"/>
                <w:color w:val="000000"/>
              </w:rPr>
              <w:t>17.48</w:t>
            </w:r>
          </w:p>
        </w:tc>
      </w:tr>
    </w:tbl>
    <w:p w:rsidR="00ED5A06" w:rsidRPr="00ED5A06" w:rsidRDefault="00ED5A06" w:rsidP="00DA0AC2">
      <w:pPr>
        <w:spacing w:line="240" w:lineRule="auto"/>
        <w:rPr>
          <w:rFonts w:ascii="Calibri" w:eastAsia="Calibri" w:hAnsi="Calibri" w:cs="Calibri"/>
          <w:color w:val="000000"/>
        </w:rPr>
      </w:pPr>
    </w:p>
    <w:p w:rsidR="00716295" w:rsidRDefault="00363EA6" w:rsidP="00634092">
      <w:pPr>
        <w:rPr>
          <w:rFonts w:ascii="Calibri" w:hAnsi="Calibri"/>
          <w:color w:val="000000"/>
        </w:rPr>
      </w:pPr>
      <w:r>
        <w:rPr>
          <w:rFonts w:ascii="Calibri" w:eastAsia="Calibri" w:hAnsi="Calibri" w:cs="Calibri"/>
          <w:color w:val="000000"/>
        </w:rPr>
        <w:t>The financial benefits of going solar</w:t>
      </w:r>
      <w:r w:rsidR="00726B72">
        <w:rPr>
          <w:rFonts w:ascii="Calibri" w:hAnsi="Calibri"/>
          <w:color w:val="000000"/>
        </w:rPr>
        <w:t xml:space="preserve"> depend on the </w:t>
      </w:r>
      <w:r>
        <w:rPr>
          <w:rFonts w:ascii="Calibri" w:hAnsi="Calibri"/>
          <w:color w:val="000000"/>
        </w:rPr>
        <w:t>price of</w:t>
      </w:r>
      <w:r w:rsidR="00726B72">
        <w:rPr>
          <w:rFonts w:ascii="Calibri" w:hAnsi="Calibri"/>
          <w:color w:val="000000"/>
        </w:rPr>
        <w:t xml:space="preserve"> power </w:t>
      </w:r>
      <w:r>
        <w:rPr>
          <w:rFonts w:ascii="Calibri" w:hAnsi="Calibri"/>
          <w:color w:val="000000"/>
        </w:rPr>
        <w:t xml:space="preserve">purchased </w:t>
      </w:r>
      <w:r w:rsidR="00726B72">
        <w:rPr>
          <w:rFonts w:ascii="Calibri" w:hAnsi="Calibri"/>
          <w:color w:val="000000"/>
        </w:rPr>
        <w:t>from LADWP. Under the</w:t>
      </w:r>
      <w:r w:rsidR="00726B72" w:rsidRPr="00113FBA">
        <w:rPr>
          <w:rFonts w:ascii="Calibri" w:hAnsi="Calibri"/>
          <w:color w:val="000000"/>
        </w:rPr>
        <w:t xml:space="preserve"> new investments </w:t>
      </w:r>
      <w:r w:rsidR="00726B72">
        <w:rPr>
          <w:rFonts w:ascii="Calibri" w:hAnsi="Calibri"/>
          <w:color w:val="000000"/>
        </w:rPr>
        <w:t xml:space="preserve">LADWP will be making </w:t>
      </w:r>
      <w:r w:rsidR="00726B72" w:rsidRPr="00113FBA">
        <w:rPr>
          <w:rFonts w:ascii="Calibri" w:hAnsi="Calibri"/>
          <w:color w:val="000000"/>
        </w:rPr>
        <w:t xml:space="preserve">in power generation </w:t>
      </w:r>
      <w:r w:rsidR="00726B72">
        <w:rPr>
          <w:rFonts w:ascii="Calibri" w:hAnsi="Calibri"/>
          <w:color w:val="000000"/>
        </w:rPr>
        <w:t>there will be</w:t>
      </w:r>
      <w:r w:rsidR="00726B72" w:rsidRPr="00113FBA">
        <w:rPr>
          <w:rFonts w:ascii="Calibri" w:hAnsi="Calibri"/>
          <w:color w:val="000000"/>
        </w:rPr>
        <w:t xml:space="preserve"> a rate</w:t>
      </w:r>
      <w:r w:rsidR="00726B72">
        <w:rPr>
          <w:rFonts w:ascii="Calibri" w:hAnsi="Calibri"/>
          <w:color w:val="000000"/>
        </w:rPr>
        <w:t xml:space="preserve"> increase of between 6 and</w:t>
      </w:r>
      <w:r w:rsidR="00726B72" w:rsidRPr="00113FBA">
        <w:rPr>
          <w:rFonts w:ascii="Calibri" w:hAnsi="Calibri"/>
          <w:color w:val="000000"/>
        </w:rPr>
        <w:t xml:space="preserve"> 7 percent </w:t>
      </w:r>
      <w:r w:rsidR="00726B72">
        <w:rPr>
          <w:rFonts w:ascii="Calibri" w:hAnsi="Calibri"/>
          <w:color w:val="000000"/>
        </w:rPr>
        <w:t xml:space="preserve">annually </w:t>
      </w:r>
      <w:r w:rsidR="00726B72" w:rsidRPr="00113FBA">
        <w:rPr>
          <w:rFonts w:ascii="Calibri" w:hAnsi="Calibri"/>
          <w:color w:val="000000"/>
        </w:rPr>
        <w:t xml:space="preserve">from 2014 through 2019. This upward trend </w:t>
      </w:r>
      <w:r w:rsidR="00726B72">
        <w:rPr>
          <w:rFonts w:ascii="Calibri" w:hAnsi="Calibri"/>
          <w:color w:val="000000"/>
        </w:rPr>
        <w:t>is expected to g</w:t>
      </w:r>
      <w:r w:rsidR="00726B72" w:rsidRPr="00113FBA">
        <w:rPr>
          <w:rFonts w:ascii="Calibri" w:hAnsi="Calibri"/>
          <w:color w:val="000000"/>
        </w:rPr>
        <w:t xml:space="preserve">radually reduce </w:t>
      </w:r>
      <w:r w:rsidR="00726B72">
        <w:rPr>
          <w:rFonts w:ascii="Calibri" w:hAnsi="Calibri"/>
          <w:color w:val="000000"/>
        </w:rPr>
        <w:t>and stabilize</w:t>
      </w:r>
      <w:r w:rsidR="00726B72" w:rsidRPr="00113FBA">
        <w:rPr>
          <w:rFonts w:ascii="Calibri" w:hAnsi="Calibri"/>
          <w:color w:val="000000"/>
        </w:rPr>
        <w:t xml:space="preserve"> in the 2 to 3 percent range </w:t>
      </w:r>
      <w:r w:rsidR="00726B72">
        <w:rPr>
          <w:rFonts w:ascii="Calibri" w:hAnsi="Calibri"/>
          <w:color w:val="000000"/>
        </w:rPr>
        <w:t>after 2021</w:t>
      </w:r>
      <w:r w:rsidR="00726B72" w:rsidRPr="00113FBA">
        <w:rPr>
          <w:rFonts w:ascii="Calibri" w:hAnsi="Calibri"/>
          <w:color w:val="000000"/>
        </w:rPr>
        <w:t xml:space="preserve">. </w:t>
      </w:r>
      <w:r w:rsidR="00E62624">
        <w:rPr>
          <w:rFonts w:ascii="Calibri" w:hAnsi="Calibri"/>
          <w:color w:val="000000"/>
        </w:rPr>
        <w:t xml:space="preserve">Based on these statements </w:t>
      </w:r>
      <w:r w:rsidR="00172A08">
        <w:rPr>
          <w:rFonts w:ascii="Calibri" w:hAnsi="Calibri"/>
          <w:color w:val="000000"/>
        </w:rPr>
        <w:t xml:space="preserve">taken </w:t>
      </w:r>
      <w:r w:rsidR="00E62624">
        <w:rPr>
          <w:rFonts w:ascii="Calibri" w:hAnsi="Calibri"/>
          <w:color w:val="000000"/>
        </w:rPr>
        <w:t xml:space="preserve">from </w:t>
      </w:r>
      <w:r>
        <w:rPr>
          <w:rFonts w:ascii="Calibri" w:hAnsi="Calibri"/>
          <w:color w:val="000000"/>
        </w:rPr>
        <w:t xml:space="preserve">LADWP’s </w:t>
      </w:r>
      <w:r w:rsidR="00E62624">
        <w:rPr>
          <w:rFonts w:ascii="Calibri" w:hAnsi="Calibri"/>
          <w:color w:val="000000"/>
        </w:rPr>
        <w:t xml:space="preserve">IRP, and CSUN’s current average rate, </w:t>
      </w:r>
      <w:r w:rsidR="00172A08">
        <w:rPr>
          <w:rFonts w:ascii="Calibri" w:hAnsi="Calibri"/>
          <w:color w:val="000000"/>
        </w:rPr>
        <w:t>rates are projected</w:t>
      </w:r>
      <w:r>
        <w:rPr>
          <w:rFonts w:ascii="Calibri" w:hAnsi="Calibri"/>
          <w:color w:val="000000"/>
        </w:rPr>
        <w:t xml:space="preserve"> </w:t>
      </w:r>
      <w:r w:rsidR="00E62624">
        <w:rPr>
          <w:rFonts w:ascii="Calibri" w:hAnsi="Calibri"/>
          <w:color w:val="000000"/>
        </w:rPr>
        <w:t>for the next twenty five years as shown</w:t>
      </w:r>
      <w:r>
        <w:rPr>
          <w:rFonts w:ascii="Calibri" w:hAnsi="Calibri"/>
          <w:color w:val="000000"/>
        </w:rPr>
        <w:t xml:space="preserve"> in </w:t>
      </w:r>
      <w:r w:rsidR="004038A6" w:rsidRPr="005974E5">
        <w:rPr>
          <w:rFonts w:ascii="Calibri" w:hAnsi="Calibri"/>
          <w:color w:val="000000"/>
        </w:rPr>
        <w:t>Figure 12</w:t>
      </w:r>
      <w:r w:rsidRPr="005974E5">
        <w:rPr>
          <w:rFonts w:ascii="Calibri" w:hAnsi="Calibri"/>
          <w:color w:val="000000"/>
        </w:rPr>
        <w:t>.</w:t>
      </w:r>
      <w:r w:rsidR="00E62624">
        <w:rPr>
          <w:rFonts w:ascii="Calibri" w:hAnsi="Calibri"/>
          <w:color w:val="000000"/>
        </w:rPr>
        <w:t xml:space="preserve"> </w:t>
      </w:r>
    </w:p>
    <w:p w:rsidR="00716295" w:rsidRDefault="00716295">
      <w:pPr>
        <w:rPr>
          <w:rFonts w:ascii="Calibri" w:hAnsi="Calibri"/>
          <w:color w:val="000000"/>
        </w:rPr>
      </w:pPr>
      <w:r>
        <w:rPr>
          <w:rFonts w:ascii="Calibri" w:hAnsi="Calibri"/>
          <w:color w:val="000000"/>
        </w:rPr>
        <w:br w:type="page"/>
      </w:r>
    </w:p>
    <w:p w:rsidR="00726B72" w:rsidRDefault="00726B72" w:rsidP="00DA0AC2">
      <w:pPr>
        <w:spacing w:line="240" w:lineRule="auto"/>
        <w:rPr>
          <w:rFonts w:ascii="Calibri" w:hAnsi="Calibri"/>
          <w:color w:val="00000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line graph showing CSUN's projected average electricity rate steadily increasing from 13 cents per kilowatt hour to 27 cents per kilowatt hour from 2015 to 2040."/>
      </w:tblPr>
      <w:tblGrid>
        <w:gridCol w:w="9000"/>
      </w:tblGrid>
      <w:tr w:rsidR="00E62624" w:rsidTr="00211F33">
        <w:trPr>
          <w:trHeight w:val="3633"/>
          <w:tblHeader/>
        </w:trPr>
        <w:tc>
          <w:tcPr>
            <w:tcW w:w="8028" w:type="dxa"/>
          </w:tcPr>
          <w:p w:rsidR="00E62624" w:rsidRDefault="00E62624" w:rsidP="00DA0AC2">
            <w:pPr>
              <w:rPr>
                <w:rFonts w:ascii="Calibri" w:hAnsi="Calibri"/>
                <w:color w:val="000000"/>
              </w:rPr>
            </w:pPr>
            <w:r>
              <w:rPr>
                <w:noProof/>
              </w:rPr>
              <w:drawing>
                <wp:inline distT="0" distB="0" distL="0" distR="0">
                  <wp:extent cx="5715000" cy="2647950"/>
                  <wp:effectExtent l="0" t="0" r="0" b="0"/>
                  <wp:docPr id="28" name="Chart 28" descr="A line graph showing CSUN's projected average electricity rate steadily increasing from 13 cents per kilowatt hour to 27 cents per kilowatt hour from 2015 to 2040."/>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62624" w:rsidRPr="004038A6" w:rsidRDefault="004038A6" w:rsidP="00DA0AC2">
            <w:pPr>
              <w:rPr>
                <w:rFonts w:ascii="Calibri" w:hAnsi="Calibri"/>
                <w:b/>
                <w:color w:val="000000"/>
              </w:rPr>
            </w:pPr>
            <w:r w:rsidRPr="004038A6">
              <w:rPr>
                <w:rFonts w:ascii="Calibri" w:hAnsi="Calibri"/>
                <w:b/>
                <w:color w:val="000000"/>
              </w:rPr>
              <w:t>Figure 12</w:t>
            </w:r>
            <w:r w:rsidR="00E62624" w:rsidRPr="004038A6">
              <w:rPr>
                <w:rFonts w:ascii="Calibri" w:hAnsi="Calibri"/>
                <w:b/>
                <w:color w:val="000000"/>
              </w:rPr>
              <w:t xml:space="preserve">. </w:t>
            </w:r>
            <w:r w:rsidR="002B5E50" w:rsidRPr="004038A6">
              <w:rPr>
                <w:rFonts w:ascii="Calibri" w:hAnsi="Calibri"/>
                <w:b/>
                <w:color w:val="000000"/>
              </w:rPr>
              <w:t>Projected average electric rate for CSUN based on current average of $0.13/kWh, a 6% increase per year until 2020, diminishing rate increases in 2020 – 2022, and an increase of 2% per year thereafter.</w:t>
            </w:r>
          </w:p>
        </w:tc>
      </w:tr>
    </w:tbl>
    <w:p w:rsidR="00E62624" w:rsidRDefault="00E62624" w:rsidP="00DA0AC2">
      <w:pPr>
        <w:spacing w:line="240" w:lineRule="auto"/>
        <w:rPr>
          <w:rFonts w:ascii="Calibri" w:hAnsi="Calibri"/>
          <w:color w:val="000000"/>
        </w:rPr>
      </w:pPr>
    </w:p>
    <w:p w:rsidR="009B1C35" w:rsidRDefault="009B1C35" w:rsidP="00634092">
      <w:pPr>
        <w:rPr>
          <w:rFonts w:ascii="Calibri" w:eastAsia="Times New Roman" w:hAnsi="Calibri" w:cs="Times New Roman"/>
          <w:color w:val="000000"/>
        </w:rPr>
      </w:pPr>
      <w:r>
        <w:rPr>
          <w:rFonts w:ascii="Calibri" w:hAnsi="Calibri"/>
          <w:color w:val="000000"/>
        </w:rPr>
        <w:t xml:space="preserve">At CSUN’s current average rate, the cost of purchasing the </w:t>
      </w:r>
      <w:r w:rsidRPr="009B1C35">
        <w:rPr>
          <w:rFonts w:ascii="Calibri" w:eastAsia="Times New Roman" w:hAnsi="Calibri" w:cs="Times New Roman"/>
          <w:color w:val="000000"/>
        </w:rPr>
        <w:t>1,760,437</w:t>
      </w:r>
      <w:r>
        <w:rPr>
          <w:rFonts w:ascii="Calibri" w:eastAsia="Times New Roman" w:hAnsi="Calibri" w:cs="Times New Roman"/>
          <w:color w:val="000000"/>
        </w:rPr>
        <w:t xml:space="preserve"> kWh of electricity generated by a 1MW solar array is $</w:t>
      </w:r>
      <w:r w:rsidRPr="009B1C35">
        <w:rPr>
          <w:rFonts w:ascii="Calibri" w:eastAsia="Times New Roman" w:hAnsi="Calibri" w:cs="Times New Roman"/>
          <w:color w:val="000000"/>
        </w:rPr>
        <w:t>228,857</w:t>
      </w:r>
      <w:r>
        <w:rPr>
          <w:rFonts w:ascii="Calibri" w:eastAsia="Times New Roman" w:hAnsi="Calibri" w:cs="Times New Roman"/>
          <w:color w:val="000000"/>
        </w:rPr>
        <w:t>.  At the (conservative) projected rate increases shown above, the cost of purchasing this same amount of power will have increased to $</w:t>
      </w:r>
      <w:r w:rsidRPr="009B1C35">
        <w:rPr>
          <w:rFonts w:ascii="Calibri" w:eastAsia="Times New Roman" w:hAnsi="Calibri" w:cs="Times New Roman"/>
          <w:color w:val="000000"/>
        </w:rPr>
        <w:t>473,155</w:t>
      </w:r>
      <w:r>
        <w:rPr>
          <w:rFonts w:ascii="Calibri" w:eastAsia="Times New Roman" w:hAnsi="Calibri" w:cs="Times New Roman"/>
          <w:color w:val="000000"/>
        </w:rPr>
        <w:t xml:space="preserve"> by 2040.  On the other hand, if the campus enters into a fixed price lease agreement for solar power or finances solar installation through a 20-yr amortized loan, its payments remain fixed.  Both these options provide significant financial benefits to the campus as shown </w:t>
      </w:r>
      <w:r w:rsidR="006950C3">
        <w:rPr>
          <w:rFonts w:ascii="Calibri" w:eastAsia="Times New Roman" w:hAnsi="Calibri" w:cs="Times New Roman"/>
          <w:color w:val="000000"/>
        </w:rPr>
        <w:t>in Figure 13</w:t>
      </w:r>
      <w:r>
        <w:rPr>
          <w:rFonts w:ascii="Calibri" w:eastAsia="Times New Roman" w:hAnsi="Calibri" w:cs="Times New Roman"/>
          <w:color w:val="000000"/>
        </w:rPr>
        <w:t>.</w:t>
      </w:r>
    </w:p>
    <w:p w:rsidR="008F1CF5" w:rsidRPr="001A26FF" w:rsidRDefault="00150BD0" w:rsidP="00DA0AC2">
      <w:pPr>
        <w:spacing w:line="240" w:lineRule="auto"/>
        <w:rPr>
          <w:noProof/>
        </w:rPr>
      </w:pPr>
      <w:r>
        <w:rPr>
          <w:noProof/>
        </w:rPr>
        <w:drawing>
          <wp:inline distT="0" distB="0" distL="0" distR="0" wp14:anchorId="3F0729A2" wp14:editId="548AC887">
            <wp:extent cx="5715000" cy="2857500"/>
            <wp:effectExtent l="0" t="0" r="0" b="0"/>
            <wp:docPr id="83" name="Chart 83" descr="Projected annual cost of equivalent power produced by a 1MW array purchased through the utility provider and by various solar financing options."/>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r w:rsidR="008F1CF5" w:rsidRPr="004038A6">
        <w:rPr>
          <w:rFonts w:ascii="Calibri" w:eastAsia="Times New Roman" w:hAnsi="Calibri" w:cs="Times New Roman"/>
          <w:b/>
          <w:color w:val="000000"/>
        </w:rPr>
        <w:t>Figure 13. Projected annual cost of equivalent power produced by a 1MW array purchased through the utility provider</w:t>
      </w:r>
      <w:r w:rsidR="008F1CF5">
        <w:rPr>
          <w:rFonts w:ascii="Calibri" w:eastAsia="Times New Roman" w:hAnsi="Calibri" w:cs="Times New Roman"/>
          <w:b/>
          <w:color w:val="000000"/>
        </w:rPr>
        <w:t xml:space="preserve"> and</w:t>
      </w:r>
      <w:r w:rsidR="008F1CF5" w:rsidRPr="004038A6">
        <w:rPr>
          <w:rFonts w:ascii="Calibri" w:eastAsia="Times New Roman" w:hAnsi="Calibri" w:cs="Times New Roman"/>
          <w:b/>
          <w:color w:val="000000"/>
        </w:rPr>
        <w:t xml:space="preserve"> by various solar financing options.</w:t>
      </w:r>
    </w:p>
    <w:p w:rsidR="009B1C35" w:rsidRPr="009B1C35" w:rsidRDefault="009B1C35" w:rsidP="00DA0AC2">
      <w:pPr>
        <w:spacing w:line="240" w:lineRule="auto"/>
        <w:rPr>
          <w:rFonts w:ascii="Calibri" w:eastAsia="Times New Roman" w:hAnsi="Calibri" w:cs="Times New Roman"/>
          <w:color w:val="000000"/>
        </w:rPr>
      </w:pPr>
    </w:p>
    <w:p w:rsidR="009B1C35" w:rsidRDefault="00A0064D" w:rsidP="00634092">
      <w:pPr>
        <w:rPr>
          <w:rFonts w:ascii="Calibri" w:eastAsia="Times New Roman" w:hAnsi="Calibri" w:cs="Times New Roman"/>
          <w:color w:val="000000"/>
        </w:rPr>
      </w:pPr>
      <w:r>
        <w:rPr>
          <w:rFonts w:ascii="Calibri" w:eastAsia="Times New Roman" w:hAnsi="Calibri" w:cs="Times New Roman"/>
          <w:color w:val="000000"/>
        </w:rPr>
        <w:t xml:space="preserve">The net savings generated based on these projections </w:t>
      </w:r>
      <w:r w:rsidR="005168F5">
        <w:rPr>
          <w:rFonts w:ascii="Calibri" w:eastAsia="Times New Roman" w:hAnsi="Calibri" w:cs="Times New Roman"/>
          <w:color w:val="000000"/>
        </w:rPr>
        <w:t>increase over time, amounting to about $200,000 per year in 20 years and to the full cost of the equivalent retail value of the power generated (almost half a million dollars) thereafter</w:t>
      </w:r>
      <w:r w:rsidR="006950C3">
        <w:rPr>
          <w:rFonts w:ascii="Calibri" w:eastAsia="Times New Roman" w:hAnsi="Calibri" w:cs="Times New Roman"/>
          <w:color w:val="000000"/>
        </w:rPr>
        <w:t xml:space="preserve"> (Figure 14)</w:t>
      </w:r>
      <w:r w:rsidR="005168F5">
        <w:rPr>
          <w:rFonts w:ascii="Calibri" w:eastAsia="Times New Roman" w:hAnsi="Calibri" w:cs="Times New Roman"/>
          <w:color w:val="000000"/>
        </w:rPr>
        <w:t>.</w:t>
      </w:r>
      <w:r w:rsidR="00C5713C">
        <w:rPr>
          <w:rFonts w:ascii="Calibri" w:eastAsia="Times New Roman" w:hAnsi="Calibri" w:cs="Times New Roman"/>
          <w:color w:val="000000"/>
        </w:rPr>
        <w:t xml:space="preserve"> </w:t>
      </w:r>
      <w:r w:rsidR="005168F5">
        <w:rPr>
          <w:rFonts w:ascii="Calibri" w:eastAsia="Times New Roman" w:hAnsi="Calibri" w:cs="Times New Roman"/>
          <w:color w:val="000000"/>
        </w:rPr>
        <w:t xml:space="preserve">Note that calculations presented here are based on a 1MW system, whereas the potential system size for the campus </w:t>
      </w:r>
      <w:r w:rsidR="00DB2BC8">
        <w:rPr>
          <w:rFonts w:ascii="Calibri" w:eastAsia="Times New Roman" w:hAnsi="Calibri" w:cs="Times New Roman"/>
          <w:color w:val="000000"/>
        </w:rPr>
        <w:t xml:space="preserve">based on surface lot availability </w:t>
      </w:r>
      <w:r w:rsidR="006950C3">
        <w:rPr>
          <w:rFonts w:ascii="Calibri" w:eastAsia="Times New Roman" w:hAnsi="Calibri" w:cs="Times New Roman"/>
          <w:color w:val="000000"/>
        </w:rPr>
        <w:t>exceeds 20 MW with accompanying savings twenty times as great.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line graphs. The first shows projected annual cost of equivalent power produced by a 1MW array purchased through the utility provider and by various solar financing options.&#10;The second shows projected annual savings to campus on a 1 MW system based on various solar financing options and projected utility rates."/>
      </w:tblPr>
      <w:tblGrid>
        <w:gridCol w:w="9000"/>
      </w:tblGrid>
      <w:tr w:rsidR="00D35509" w:rsidTr="00211F33">
        <w:trPr>
          <w:tblHeader/>
        </w:trPr>
        <w:tc>
          <w:tcPr>
            <w:tcW w:w="9216" w:type="dxa"/>
          </w:tcPr>
          <w:p w:rsidR="00D35509" w:rsidRDefault="000A7F41" w:rsidP="00DA0AC2">
            <w:pPr>
              <w:jc w:val="center"/>
              <w:rPr>
                <w:rFonts w:ascii="Calibri" w:eastAsia="Times New Roman" w:hAnsi="Calibri" w:cs="Times New Roman"/>
                <w:color w:val="000000"/>
              </w:rPr>
            </w:pPr>
            <w:r>
              <w:rPr>
                <w:noProof/>
              </w:rPr>
              <w:drawing>
                <wp:inline distT="0" distB="0" distL="0" distR="0" wp14:anchorId="02F5AEC1" wp14:editId="20D84CAA">
                  <wp:extent cx="5943600" cy="3238500"/>
                  <wp:effectExtent l="0" t="0" r="0" b="0"/>
                  <wp:docPr id="84" name="Chart 84" descr="Projected annual savings to campus on a 1 MW system based on various solar financing options and projected utility rates."/>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168F5" w:rsidRPr="004038A6" w:rsidRDefault="004038A6" w:rsidP="00DA0AC2">
            <w:pPr>
              <w:rPr>
                <w:rFonts w:ascii="Calibri" w:eastAsia="Times New Roman" w:hAnsi="Calibri" w:cs="Times New Roman"/>
                <w:b/>
                <w:color w:val="000000"/>
              </w:rPr>
            </w:pPr>
            <w:r w:rsidRPr="004038A6">
              <w:rPr>
                <w:rFonts w:ascii="Calibri" w:eastAsia="Times New Roman" w:hAnsi="Calibri" w:cs="Times New Roman"/>
                <w:b/>
                <w:color w:val="000000"/>
              </w:rPr>
              <w:t>Figure 14</w:t>
            </w:r>
            <w:r w:rsidR="005168F5" w:rsidRPr="004038A6">
              <w:rPr>
                <w:rFonts w:ascii="Calibri" w:eastAsia="Times New Roman" w:hAnsi="Calibri" w:cs="Times New Roman"/>
                <w:b/>
                <w:color w:val="000000"/>
              </w:rPr>
              <w:t xml:space="preserve">. Projected annual savings to campus </w:t>
            </w:r>
            <w:r w:rsidR="00C5713C" w:rsidRPr="004038A6">
              <w:rPr>
                <w:rFonts w:ascii="Calibri" w:eastAsia="Times New Roman" w:hAnsi="Calibri" w:cs="Times New Roman"/>
                <w:b/>
                <w:color w:val="000000"/>
              </w:rPr>
              <w:t xml:space="preserve">on a 1 MW system </w:t>
            </w:r>
            <w:r w:rsidR="005168F5" w:rsidRPr="004038A6">
              <w:rPr>
                <w:rFonts w:ascii="Calibri" w:eastAsia="Times New Roman" w:hAnsi="Calibri" w:cs="Times New Roman"/>
                <w:b/>
                <w:color w:val="000000"/>
              </w:rPr>
              <w:t>based on various solar financing options</w:t>
            </w:r>
            <w:r w:rsidR="00C5713C" w:rsidRPr="004038A6">
              <w:rPr>
                <w:rFonts w:ascii="Calibri" w:eastAsia="Times New Roman" w:hAnsi="Calibri" w:cs="Times New Roman"/>
                <w:b/>
                <w:color w:val="000000"/>
              </w:rPr>
              <w:t xml:space="preserve"> and projected utility rates</w:t>
            </w:r>
            <w:r w:rsidR="005168F5" w:rsidRPr="004038A6">
              <w:rPr>
                <w:rFonts w:ascii="Calibri" w:eastAsia="Times New Roman" w:hAnsi="Calibri" w:cs="Times New Roman"/>
                <w:b/>
                <w:color w:val="000000"/>
              </w:rPr>
              <w:t>.</w:t>
            </w:r>
          </w:p>
        </w:tc>
      </w:tr>
    </w:tbl>
    <w:p w:rsidR="00D35509" w:rsidRDefault="00D35509" w:rsidP="00DA0AC2">
      <w:pPr>
        <w:spacing w:line="240" w:lineRule="auto"/>
        <w:rPr>
          <w:rFonts w:ascii="Calibri" w:eastAsia="Times New Roman" w:hAnsi="Calibri" w:cs="Times New Roman"/>
          <w:color w:val="000000"/>
        </w:rPr>
      </w:pPr>
    </w:p>
    <w:p w:rsidR="006950C3" w:rsidRDefault="006950C3" w:rsidP="00634092">
      <w:pPr>
        <w:rPr>
          <w:rFonts w:ascii="Calibri" w:eastAsia="Times New Roman" w:hAnsi="Calibri" w:cs="Times New Roman"/>
          <w:color w:val="000000"/>
        </w:rPr>
      </w:pPr>
      <w:r>
        <w:rPr>
          <w:rFonts w:ascii="Calibri" w:eastAsia="Times New Roman" w:hAnsi="Calibri" w:cs="Times New Roman"/>
          <w:color w:val="000000"/>
        </w:rPr>
        <w:t xml:space="preserve">There are a number of challenges which must be addressed before large scale solar integration.  The campus houses 4 sub-stations each with a 1MW maximum cap on power export.  LADWP requires a VISTA switch for system protection at each of these, at a cost of approx. $300,000 apiece.  One possibility to be investigated is a “no export” agreement with the utility company, requiring all generated power to be used internally. In this case one must be sure that at the lowest demand times (Sundays) power production does not exceed use.  An additional possibility is the development of a “smart-grid” with storage that could be potentially attractive to the utility company if it was made available for their use during high demand or emergency situations to avoid construction of new </w:t>
      </w:r>
      <w:proofErr w:type="spellStart"/>
      <w:r>
        <w:rPr>
          <w:rFonts w:ascii="Calibri" w:eastAsia="Times New Roman" w:hAnsi="Calibri" w:cs="Times New Roman"/>
          <w:color w:val="000000"/>
        </w:rPr>
        <w:t>peaker</w:t>
      </w:r>
      <w:proofErr w:type="spellEnd"/>
      <w:r>
        <w:rPr>
          <w:rFonts w:ascii="Calibri" w:eastAsia="Times New Roman" w:hAnsi="Calibri" w:cs="Times New Roman"/>
          <w:color w:val="000000"/>
        </w:rPr>
        <w:t xml:space="preserve"> plants.</w:t>
      </w:r>
    </w:p>
    <w:p w:rsidR="006950C3" w:rsidRDefault="006950C3" w:rsidP="00634092">
      <w:pPr>
        <w:rPr>
          <w:rFonts w:ascii="Calibri" w:eastAsia="Times New Roman" w:hAnsi="Calibri" w:cs="Times New Roman"/>
          <w:color w:val="000000"/>
        </w:rPr>
      </w:pPr>
    </w:p>
    <w:p w:rsidR="006950C3" w:rsidRDefault="006950C3" w:rsidP="00634092">
      <w:pPr>
        <w:rPr>
          <w:rFonts w:ascii="Calibri" w:eastAsia="Times New Roman" w:hAnsi="Calibri" w:cs="Times New Roman"/>
          <w:color w:val="000000"/>
        </w:rPr>
      </w:pPr>
      <w:r>
        <w:rPr>
          <w:rFonts w:ascii="Calibri" w:eastAsia="Times New Roman" w:hAnsi="Calibri" w:cs="Times New Roman"/>
          <w:color w:val="000000"/>
        </w:rPr>
        <w:t>Besides technical considerations, financing is challenging due to the PPA restrictions.  Clean Renewable Energy Bonds (CREBs</w:t>
      </w:r>
      <w:r>
        <w:rPr>
          <w:rStyle w:val="FootnoteReference"/>
          <w:rFonts w:ascii="Calibri" w:eastAsia="Times New Roman" w:hAnsi="Calibri" w:cs="Times New Roman"/>
          <w:color w:val="000000"/>
        </w:rPr>
        <w:footnoteReference w:id="24"/>
      </w:r>
      <w:r>
        <w:rPr>
          <w:rFonts w:ascii="Calibri" w:eastAsia="Times New Roman" w:hAnsi="Calibri" w:cs="Times New Roman"/>
          <w:color w:val="000000"/>
        </w:rPr>
        <w:t xml:space="preserve">) available through the Federal government are an attractive financing option for public sector organizations such as CSUN. These allow the bondholder to take </w:t>
      </w:r>
      <w:r>
        <w:rPr>
          <w:rFonts w:ascii="Calibri" w:eastAsia="Times New Roman" w:hAnsi="Calibri" w:cs="Times New Roman"/>
          <w:color w:val="000000"/>
        </w:rPr>
        <w:lastRenderedPageBreak/>
        <w:t xml:space="preserve">advantage of the tax credit available for renewable energy projects, which CSUN itself cannot. </w:t>
      </w:r>
      <w:r w:rsidRPr="00734927">
        <w:rPr>
          <w:rFonts w:ascii="Calibri" w:eastAsia="Times New Roman" w:hAnsi="Calibri" w:cs="Times New Roman"/>
          <w:color w:val="000000"/>
        </w:rPr>
        <w:t>The bondholder receives federal tax credits in lieu of a portion of the traditional bond interest, resulting in a lower effective interest rate for the borrower.</w:t>
      </w:r>
      <w:r w:rsidR="00634092">
        <w:rPr>
          <w:rFonts w:ascii="Calibri" w:eastAsia="Times New Roman" w:hAnsi="Calibri" w:cs="Times New Roman"/>
          <w:color w:val="000000"/>
        </w:rPr>
        <w:t xml:space="preserve">  </w:t>
      </w:r>
      <w:r w:rsidR="000F6065">
        <w:rPr>
          <w:rFonts w:ascii="Calibri" w:eastAsia="Times New Roman" w:hAnsi="Calibri" w:cs="Times New Roman"/>
          <w:color w:val="000000"/>
        </w:rPr>
        <w:t xml:space="preserve">This may mean that loans at lower than the 4%, 5% and 6% rates shown in the projections above may be available. </w:t>
      </w:r>
      <w:r w:rsidR="00634092">
        <w:rPr>
          <w:rFonts w:ascii="Calibri" w:eastAsia="Times New Roman" w:hAnsi="Calibri" w:cs="Times New Roman"/>
          <w:color w:val="000000"/>
        </w:rPr>
        <w:t>The current tax credit of 30%, which was</w:t>
      </w:r>
      <w:r>
        <w:rPr>
          <w:rFonts w:ascii="Calibri" w:eastAsia="Times New Roman" w:hAnsi="Calibri" w:cs="Times New Roman"/>
          <w:color w:val="000000"/>
        </w:rPr>
        <w:t xml:space="preserve"> due to expire at the end of 2016</w:t>
      </w:r>
      <w:r w:rsidR="00634092">
        <w:rPr>
          <w:rFonts w:ascii="Calibri" w:eastAsia="Times New Roman" w:hAnsi="Calibri" w:cs="Times New Roman"/>
          <w:color w:val="000000"/>
        </w:rPr>
        <w:t>, has just been extended</w:t>
      </w:r>
      <w:r>
        <w:rPr>
          <w:rFonts w:ascii="Calibri" w:eastAsia="Times New Roman" w:hAnsi="Calibri" w:cs="Times New Roman"/>
          <w:color w:val="000000"/>
        </w:rPr>
        <w:t xml:space="preserve">. </w:t>
      </w:r>
    </w:p>
    <w:p w:rsidR="006950C3" w:rsidRDefault="006950C3" w:rsidP="00634092">
      <w:pPr>
        <w:rPr>
          <w:rFonts w:ascii="Calibri" w:eastAsia="Times New Roman" w:hAnsi="Calibri" w:cs="Times New Roman"/>
          <w:color w:val="000000"/>
        </w:rPr>
      </w:pPr>
    </w:p>
    <w:p w:rsidR="00C04650" w:rsidRPr="009B1C35" w:rsidRDefault="00C04650" w:rsidP="00634092">
      <w:pPr>
        <w:rPr>
          <w:rFonts w:ascii="Calibri" w:eastAsia="Times New Roman" w:hAnsi="Calibri" w:cs="Times New Roman"/>
          <w:color w:val="000000"/>
        </w:rPr>
      </w:pPr>
      <w:r>
        <w:rPr>
          <w:rFonts w:ascii="Calibri" w:eastAsia="Times New Roman" w:hAnsi="Calibri" w:cs="Times New Roman"/>
          <w:color w:val="000000"/>
        </w:rPr>
        <w:t xml:space="preserve">The CAP developed here will rely heavily on extensive solar </w:t>
      </w:r>
      <w:r w:rsidR="00863944">
        <w:rPr>
          <w:rFonts w:ascii="Calibri" w:eastAsia="Times New Roman" w:hAnsi="Calibri" w:cs="Times New Roman"/>
          <w:color w:val="000000"/>
        </w:rPr>
        <w:t xml:space="preserve">deployment </w:t>
      </w:r>
      <w:r>
        <w:rPr>
          <w:rFonts w:ascii="Calibri" w:eastAsia="Times New Roman" w:hAnsi="Calibri" w:cs="Times New Roman"/>
          <w:color w:val="000000"/>
        </w:rPr>
        <w:t xml:space="preserve">on campus; the exact mechanism by which the system is </w:t>
      </w:r>
      <w:r w:rsidR="00863944">
        <w:rPr>
          <w:rFonts w:ascii="Calibri" w:eastAsia="Times New Roman" w:hAnsi="Calibri" w:cs="Times New Roman"/>
          <w:color w:val="000000"/>
        </w:rPr>
        <w:t>developed and financed will be decided over the next year after the release of the CSU-wide RFP/RFQ, discussions with LADWP, and further exploration of financing options.</w:t>
      </w:r>
    </w:p>
    <w:p w:rsidR="00A41328" w:rsidRPr="008F1CF5" w:rsidRDefault="00B4501E" w:rsidP="00634092">
      <w:pPr>
        <w:pStyle w:val="Heading2"/>
      </w:pPr>
      <w:bookmarkStart w:id="16" w:name="_Toc440630061"/>
      <w:r w:rsidRPr="008F1CF5">
        <w:t>3.4 Mobile</w:t>
      </w:r>
      <w:r w:rsidR="00A41328" w:rsidRPr="008F1CF5">
        <w:t xml:space="preserve"> emissions</w:t>
      </w:r>
      <w:bookmarkEnd w:id="16"/>
      <w:r w:rsidR="00A41328" w:rsidRPr="008F1CF5">
        <w:t xml:space="preserve"> </w:t>
      </w:r>
    </w:p>
    <w:p w:rsidR="005B48F0" w:rsidRPr="005B48F0" w:rsidRDefault="009A4F12" w:rsidP="00634092">
      <w:pPr>
        <w:rPr>
          <w:rFonts w:ascii="Times New Roman" w:eastAsia="Times New Roman" w:hAnsi="Times New Roman" w:cs="Times New Roman"/>
          <w:sz w:val="24"/>
          <w:szCs w:val="24"/>
        </w:rPr>
      </w:pPr>
      <w:r>
        <w:rPr>
          <w:rFonts w:ascii="Calibri" w:eastAsia="Times New Roman" w:hAnsi="Calibri" w:cs="Times New Roman"/>
          <w:color w:val="000000"/>
        </w:rPr>
        <w:t>CSUN</w:t>
      </w:r>
      <w:r w:rsidR="005B48F0" w:rsidRPr="005B48F0">
        <w:rPr>
          <w:rFonts w:ascii="Calibri" w:eastAsia="Times New Roman" w:hAnsi="Calibri" w:cs="Times New Roman"/>
          <w:color w:val="000000"/>
        </w:rPr>
        <w:t xml:space="preserve"> operates and maintains a fleet of vehicles. These vehicles help support the general maintenance of campus as well various academic programs. CSUN’s Greenhouse Gas Emissions Report revealed that the University’s fleet (including cars, trucks, carts, equipment, etc.) contributes 461 </w:t>
      </w:r>
      <w:proofErr w:type="spellStart"/>
      <w:r w:rsidR="0090200B">
        <w:rPr>
          <w:rFonts w:ascii="Calibri" w:eastAsia="Times New Roman" w:hAnsi="Calibri" w:cs="Times New Roman"/>
          <w:color w:val="000000"/>
        </w:rPr>
        <w:t>tonnes</w:t>
      </w:r>
      <w:proofErr w:type="spellEnd"/>
      <w:r w:rsidR="005B48F0" w:rsidRPr="005B48F0">
        <w:rPr>
          <w:rFonts w:ascii="Calibri" w:eastAsia="Times New Roman" w:hAnsi="Calibri" w:cs="Times New Roman"/>
          <w:color w:val="000000"/>
        </w:rPr>
        <w:t xml:space="preserve"> e</w:t>
      </w:r>
      <w:r w:rsidR="0057094E">
        <w:rPr>
          <w:rFonts w:ascii="Calibri" w:eastAsia="Times New Roman" w:hAnsi="Calibri" w:cs="Times New Roman"/>
          <w:color w:val="000000"/>
        </w:rPr>
        <w:t>CO</w:t>
      </w:r>
      <w:r w:rsidR="0057094E">
        <w:rPr>
          <w:rFonts w:ascii="Calibri" w:eastAsia="Times New Roman" w:hAnsi="Calibri" w:cs="Times New Roman"/>
          <w:color w:val="000000"/>
          <w:vertAlign w:val="subscript"/>
        </w:rPr>
        <w:t>2</w:t>
      </w:r>
      <w:r w:rsidR="005B48F0" w:rsidRPr="005B48F0">
        <w:rPr>
          <w:rFonts w:ascii="Calibri" w:eastAsia="Times New Roman" w:hAnsi="Calibri" w:cs="Times New Roman"/>
          <w:color w:val="000000"/>
        </w:rPr>
        <w:t xml:space="preserve"> annually, equivalent to 0.5% of the total campus emissions.</w:t>
      </w:r>
    </w:p>
    <w:p w:rsidR="005B48F0" w:rsidRPr="005B48F0" w:rsidRDefault="005B48F0" w:rsidP="00634092">
      <w:pPr>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The university owns and operates a fleet of 235 vehicles belonging to over 30 different departments. A majority of these vehicles, 58%, are electric carts and are used for the transportation of people, goods and services. These carts serve as the primary mode of transportation for most of the physical plant management campus maintenance staff, from the grounds shop to electricians. The next most used vehicles on campus are traditional gasoline internal combustion engine powered vehicles. These make up 39% of our campus fleet and consist of primarily cars and trucks mainly used for heavier duty work or transportation off campus. While there are some carts included in </w:t>
      </w:r>
      <w:r w:rsidR="004F6094">
        <w:rPr>
          <w:rFonts w:ascii="Calibri" w:eastAsia="Times New Roman" w:hAnsi="Calibri" w:cs="Times New Roman"/>
          <w:color w:val="000000"/>
        </w:rPr>
        <w:t xml:space="preserve">the </w:t>
      </w:r>
      <w:r w:rsidRPr="005B48F0">
        <w:rPr>
          <w:rFonts w:ascii="Calibri" w:eastAsia="Times New Roman" w:hAnsi="Calibri" w:cs="Times New Roman"/>
          <w:color w:val="000000"/>
        </w:rPr>
        <w:t xml:space="preserve">39% powered by traditional gasoline, these are legacy carts and will be phased out in time. The university has four hybrid vehicles that make up just under 2% of </w:t>
      </w:r>
      <w:r w:rsidR="0090200B">
        <w:rPr>
          <w:rFonts w:ascii="Calibri" w:eastAsia="Times New Roman" w:hAnsi="Calibri" w:cs="Times New Roman"/>
          <w:color w:val="000000"/>
        </w:rPr>
        <w:t>the</w:t>
      </w:r>
      <w:r w:rsidRPr="005B48F0">
        <w:rPr>
          <w:rFonts w:ascii="Calibri" w:eastAsia="Times New Roman" w:hAnsi="Calibri" w:cs="Times New Roman"/>
          <w:color w:val="000000"/>
        </w:rPr>
        <w:t xml:space="preserve"> fleet with diesel (1%) and E85 capable vehicles (0.4%) making up the remainder of the fleet.</w:t>
      </w:r>
    </w:p>
    <w:p w:rsidR="005B48F0" w:rsidRPr="005B48F0" w:rsidRDefault="005B48F0" w:rsidP="00634092">
      <w:pPr>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CSUN has an extensive collection of equipment and special purpose vehicles that are powered by either gasoline or diesel combustion engines. These include backup generators, grounds equipment, boom and scissor lifts, tractors, forklifts, etc. Many of these equipment types are not used on a daily basis and contribute very little towards our greenhouse gas footprint, while others are part of everyday operations. The equipment that is used on a daily basis </w:t>
      </w:r>
      <w:r w:rsidR="009A4F12">
        <w:rPr>
          <w:rFonts w:ascii="Calibri" w:eastAsia="Times New Roman" w:hAnsi="Calibri" w:cs="Times New Roman"/>
          <w:color w:val="000000"/>
        </w:rPr>
        <w:t>includes</w:t>
      </w:r>
      <w:r w:rsidRPr="005B48F0">
        <w:rPr>
          <w:rFonts w:ascii="Calibri" w:eastAsia="Times New Roman" w:hAnsi="Calibri" w:cs="Times New Roman"/>
          <w:color w:val="000000"/>
        </w:rPr>
        <w:t xml:space="preserve"> most of the grounds equipment </w:t>
      </w:r>
      <w:r w:rsidR="00161125">
        <w:rPr>
          <w:rFonts w:ascii="Calibri" w:eastAsia="Times New Roman" w:hAnsi="Calibri" w:cs="Times New Roman"/>
          <w:color w:val="000000"/>
        </w:rPr>
        <w:t>such as</w:t>
      </w:r>
      <w:r w:rsidRPr="005B48F0">
        <w:rPr>
          <w:rFonts w:ascii="Calibri" w:eastAsia="Times New Roman" w:hAnsi="Calibri" w:cs="Times New Roman"/>
          <w:color w:val="000000"/>
        </w:rPr>
        <w:t xml:space="preserve"> weed whackers, mowers (push and ride on), </w:t>
      </w:r>
      <w:proofErr w:type="spellStart"/>
      <w:r w:rsidRPr="005B48F0">
        <w:rPr>
          <w:rFonts w:ascii="Calibri" w:eastAsia="Times New Roman" w:hAnsi="Calibri" w:cs="Times New Roman"/>
          <w:color w:val="000000"/>
        </w:rPr>
        <w:t>edgers</w:t>
      </w:r>
      <w:proofErr w:type="spellEnd"/>
      <w:r w:rsidRPr="005B48F0">
        <w:rPr>
          <w:rFonts w:ascii="Calibri" w:eastAsia="Times New Roman" w:hAnsi="Calibri" w:cs="Times New Roman"/>
          <w:color w:val="000000"/>
        </w:rPr>
        <w:t>, etc.</w:t>
      </w:r>
    </w:p>
    <w:p w:rsidR="005B48F0" w:rsidRPr="005B48F0" w:rsidRDefault="005B48F0" w:rsidP="00634092">
      <w:pPr>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The university has seen a 25% increase in the emissions related to fleet vehicles and equipment since 2010. In order to reduce the GHG emissions related to this emission source, the University has identified the following strategies.</w:t>
      </w:r>
    </w:p>
    <w:p w:rsidR="005B48F0" w:rsidRPr="005B48F0" w:rsidRDefault="005B48F0" w:rsidP="00634092">
      <w:pPr>
        <w:rPr>
          <w:rFonts w:ascii="Times New Roman" w:eastAsia="Times New Roman" w:hAnsi="Times New Roman" w:cs="Times New Roman"/>
          <w:sz w:val="24"/>
          <w:szCs w:val="24"/>
        </w:rPr>
      </w:pPr>
    </w:p>
    <w:p w:rsidR="008F1CF5" w:rsidRDefault="008F1CF5" w:rsidP="00DA0AC2">
      <w:pPr>
        <w:spacing w:line="240" w:lineRule="auto"/>
        <w:rPr>
          <w:rFonts w:ascii="Calibri" w:eastAsia="Times New Roman" w:hAnsi="Calibri" w:cs="Times New Roman"/>
          <w:b/>
          <w:bCs/>
          <w:color w:val="000000"/>
        </w:rPr>
      </w:pPr>
      <w:r>
        <w:rPr>
          <w:rFonts w:ascii="Calibri" w:eastAsia="Times New Roman" w:hAnsi="Calibri" w:cs="Times New Roman"/>
          <w:b/>
          <w:bCs/>
          <w:color w:val="000000"/>
        </w:rPr>
        <w:br w:type="page"/>
      </w:r>
    </w:p>
    <w:p w:rsidR="005B48F0" w:rsidRPr="005B48F0" w:rsidRDefault="005B48F0"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b/>
          <w:bCs/>
          <w:color w:val="000000"/>
        </w:rPr>
        <w:lastRenderedPageBreak/>
        <w:t>Strategies</w:t>
      </w:r>
    </w:p>
    <w:tbl>
      <w:tblPr>
        <w:tblW w:w="0" w:type="auto"/>
        <w:tblCellMar>
          <w:top w:w="15" w:type="dxa"/>
          <w:left w:w="15" w:type="dxa"/>
          <w:bottom w:w="15" w:type="dxa"/>
          <w:right w:w="15" w:type="dxa"/>
        </w:tblCellMar>
        <w:tblLook w:val="04A0" w:firstRow="1" w:lastRow="0" w:firstColumn="1" w:lastColumn="0" w:noHBand="0" w:noVBand="1"/>
      </w:tblPr>
      <w:tblGrid>
        <w:gridCol w:w="4425"/>
        <w:gridCol w:w="1752"/>
        <w:gridCol w:w="2807"/>
      </w:tblGrid>
      <w:tr w:rsidR="00F636FC" w:rsidRPr="005B48F0" w:rsidTr="004E79C7">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F636FC" w:rsidRPr="00F636FC" w:rsidRDefault="00F636FC" w:rsidP="00DA0AC2">
            <w:pPr>
              <w:spacing w:line="240" w:lineRule="auto"/>
              <w:rPr>
                <w:rFonts w:ascii="Times New Roman" w:eastAsia="Times New Roman" w:hAnsi="Times New Roman" w:cs="Times New Roman"/>
              </w:rPr>
            </w:pPr>
            <w:r w:rsidRPr="00F636FC">
              <w:rPr>
                <w:rFonts w:ascii="Calibri" w:eastAsia="Times New Roman" w:hAnsi="Calibri" w:cs="Times New Roman"/>
                <w:b/>
                <w:bCs/>
                <w:color w:val="000000"/>
              </w:rPr>
              <w:t>Strategy</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F636FC" w:rsidRPr="00F636FC" w:rsidRDefault="00F636FC" w:rsidP="00DA0AC2">
            <w:pPr>
              <w:spacing w:line="240" w:lineRule="auto"/>
              <w:rPr>
                <w:rFonts w:ascii="Times New Roman" w:eastAsia="Times New Roman" w:hAnsi="Times New Roman" w:cs="Times New Roman"/>
              </w:rPr>
            </w:pPr>
            <w:r w:rsidRPr="00F636FC">
              <w:rPr>
                <w:rFonts w:ascii="Calibri" w:eastAsia="Times New Roman" w:hAnsi="Calibri" w:cs="Times New Roman"/>
                <w:b/>
                <w:bCs/>
                <w:color w:val="000000"/>
              </w:rPr>
              <w:t xml:space="preserve">Potential Energy Savings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F636FC" w:rsidRPr="00F636FC" w:rsidRDefault="00F636FC" w:rsidP="00DA0AC2">
            <w:pPr>
              <w:spacing w:line="240" w:lineRule="auto"/>
              <w:rPr>
                <w:rFonts w:ascii="Times New Roman" w:eastAsia="Times New Roman" w:hAnsi="Times New Roman" w:cs="Times New Roman"/>
              </w:rPr>
            </w:pPr>
            <w:r w:rsidRPr="00F636FC">
              <w:rPr>
                <w:rFonts w:ascii="Calibri" w:eastAsia="Times New Roman" w:hAnsi="Calibri" w:cs="Times New Roman"/>
                <w:b/>
                <w:bCs/>
                <w:color w:val="000000"/>
              </w:rPr>
              <w:t>Estimated Project cost (one-time and ongoing)</w:t>
            </w:r>
          </w:p>
        </w:tc>
      </w:tr>
      <w:tr w:rsidR="00F636FC" w:rsidRPr="005B48F0" w:rsidTr="004E79C7">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1. "Right Size" Vehicle Fleet</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Pr>
                <w:rFonts w:ascii="Calibri" w:eastAsia="Times New Roman" w:hAnsi="Calibri" w:cs="Times New Roman"/>
                <w:color w:val="000000"/>
              </w:rPr>
              <w:t>470 gallons of fuel</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 n/a</w:t>
            </w:r>
          </w:p>
        </w:tc>
      </w:tr>
      <w:tr w:rsidR="00F636FC" w:rsidRPr="005B48F0" w:rsidTr="004E79C7">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2. Department Bike Share Programs</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 </w:t>
            </w:r>
            <w:r>
              <w:rPr>
                <w:rFonts w:ascii="Calibri" w:eastAsia="Times New Roman" w:hAnsi="Calibri" w:cs="Times New Roman"/>
                <w:color w:val="000000"/>
              </w:rPr>
              <w:t>11,747 gallons of fuel</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$10,000</w:t>
            </w:r>
          </w:p>
        </w:tc>
      </w:tr>
      <w:tr w:rsidR="00F636FC" w:rsidRPr="005B48F0" w:rsidTr="004E79C7">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3. Migrate fleet to PZEV, ZEV, ATPZEV and other alternative fuel technology vehicles</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 </w:t>
            </w:r>
            <w:r>
              <w:rPr>
                <w:rFonts w:ascii="Calibri" w:eastAsia="Times New Roman" w:hAnsi="Calibri" w:cs="Times New Roman"/>
                <w:color w:val="000000"/>
              </w:rPr>
              <w:t>15,976 gallons of fuel</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$1,710,000</w:t>
            </w:r>
          </w:p>
        </w:tc>
      </w:tr>
      <w:tr w:rsidR="00F636FC" w:rsidRPr="005B48F0" w:rsidTr="004E79C7">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4. Implement a No-Idling Policy</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Pr>
                <w:rFonts w:ascii="Calibri" w:eastAsia="Times New Roman" w:hAnsi="Calibri" w:cs="Times New Roman"/>
                <w:color w:val="000000"/>
              </w:rPr>
              <w:t>235 gallons of fuel</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 $</w:t>
            </w:r>
            <w:r>
              <w:rPr>
                <w:rFonts w:ascii="Calibri" w:eastAsia="Times New Roman" w:hAnsi="Calibri" w:cs="Times New Roman"/>
                <w:color w:val="000000"/>
              </w:rPr>
              <w:t>2</w:t>
            </w:r>
            <w:r w:rsidRPr="005B48F0">
              <w:rPr>
                <w:rFonts w:ascii="Calibri" w:eastAsia="Times New Roman" w:hAnsi="Calibri" w:cs="Times New Roman"/>
                <w:color w:val="000000"/>
              </w:rPr>
              <w:t>,000</w:t>
            </w:r>
          </w:p>
        </w:tc>
      </w:tr>
      <w:tr w:rsidR="00F636FC" w:rsidRPr="005B48F0" w:rsidTr="004E79C7">
        <w:trPr>
          <w:trHeight w:val="285"/>
        </w:trPr>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5. Migrate Grounds Equipment to Battery Powered</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Pr>
                <w:rFonts w:ascii="Calibri" w:eastAsia="Times New Roman" w:hAnsi="Calibri" w:cs="Times New Roman"/>
                <w:color w:val="000000"/>
              </w:rPr>
              <w:t>1,560 gallons of fuel</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hideMark/>
          </w:tcPr>
          <w:p w:rsidR="00F636FC" w:rsidRPr="005B48F0" w:rsidRDefault="00F636FC" w:rsidP="00DA0AC2">
            <w:pPr>
              <w:spacing w:line="240" w:lineRule="auto"/>
              <w:rPr>
                <w:rFonts w:ascii="Times New Roman" w:eastAsia="Times New Roman" w:hAnsi="Times New Roman" w:cs="Times New Roman"/>
                <w:sz w:val="24"/>
                <w:szCs w:val="24"/>
              </w:rPr>
            </w:pPr>
            <w:r w:rsidRPr="005B48F0">
              <w:rPr>
                <w:rFonts w:ascii="Calibri" w:eastAsia="Times New Roman" w:hAnsi="Calibri" w:cs="Times New Roman"/>
                <w:color w:val="000000"/>
              </w:rPr>
              <w:t> $27,000</w:t>
            </w:r>
          </w:p>
        </w:tc>
      </w:tr>
    </w:tbl>
    <w:p w:rsidR="005974E5" w:rsidRPr="005B48F0" w:rsidRDefault="005974E5" w:rsidP="00DA0AC2">
      <w:pPr>
        <w:spacing w:line="240" w:lineRule="auto"/>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b/>
          <w:bCs/>
          <w:color w:val="000000"/>
        </w:rPr>
        <w:t>1. "Right Size" Vehicle Fleet</w:t>
      </w: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Right sizing our vehicle fleet would greatly help reduce unnecessary emissions. This strategy will target the types of vehicles are used for what type of work. </w:t>
      </w: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Key strategies:</w:t>
      </w:r>
    </w:p>
    <w:p w:rsidR="005B48F0" w:rsidRPr="00161125" w:rsidRDefault="005B48F0" w:rsidP="00634092">
      <w:pPr>
        <w:pStyle w:val="ListParagraph"/>
        <w:numPr>
          <w:ilvl w:val="0"/>
          <w:numId w:val="36"/>
        </w:numPr>
        <w:textAlignment w:val="baseline"/>
        <w:rPr>
          <w:rFonts w:ascii="Arial" w:eastAsia="Times New Roman" w:hAnsi="Arial" w:cs="Arial"/>
          <w:color w:val="000000"/>
        </w:rPr>
      </w:pPr>
      <w:r w:rsidRPr="00161125">
        <w:rPr>
          <w:rFonts w:ascii="Calibri" w:eastAsia="Times New Roman" w:hAnsi="Calibri" w:cs="Arial"/>
          <w:color w:val="000000"/>
        </w:rPr>
        <w:t>Eliminat</w:t>
      </w:r>
      <w:r w:rsidR="00161125">
        <w:rPr>
          <w:rFonts w:ascii="Calibri" w:eastAsia="Times New Roman" w:hAnsi="Calibri" w:cs="Arial"/>
          <w:color w:val="000000"/>
        </w:rPr>
        <w:t>e</w:t>
      </w:r>
      <w:r w:rsidRPr="00161125">
        <w:rPr>
          <w:rFonts w:ascii="Calibri" w:eastAsia="Times New Roman" w:hAnsi="Calibri" w:cs="Arial"/>
          <w:color w:val="000000"/>
        </w:rPr>
        <w:t xml:space="preserve"> the use of gasoline/diesel powered vehicles for on campus personnel transportation and utiliz</w:t>
      </w:r>
      <w:r w:rsidR="00161125">
        <w:rPr>
          <w:rFonts w:ascii="Calibri" w:eastAsia="Times New Roman" w:hAnsi="Calibri" w:cs="Arial"/>
          <w:color w:val="000000"/>
        </w:rPr>
        <w:t>e</w:t>
      </w:r>
      <w:r w:rsidRPr="00161125">
        <w:rPr>
          <w:rFonts w:ascii="Calibri" w:eastAsia="Times New Roman" w:hAnsi="Calibri" w:cs="Arial"/>
          <w:color w:val="000000"/>
        </w:rPr>
        <w:t xml:space="preserve"> electric carts, bicycles, or walking.</w:t>
      </w:r>
    </w:p>
    <w:p w:rsidR="005B48F0" w:rsidRPr="00161125" w:rsidRDefault="005B48F0" w:rsidP="00634092">
      <w:pPr>
        <w:pStyle w:val="ListParagraph"/>
        <w:numPr>
          <w:ilvl w:val="0"/>
          <w:numId w:val="36"/>
        </w:numPr>
        <w:textAlignment w:val="baseline"/>
        <w:rPr>
          <w:rFonts w:ascii="Arial" w:eastAsia="Times New Roman" w:hAnsi="Arial" w:cs="Arial"/>
          <w:color w:val="000000"/>
        </w:rPr>
      </w:pPr>
      <w:r w:rsidRPr="00161125">
        <w:rPr>
          <w:rFonts w:ascii="Calibri" w:eastAsia="Times New Roman" w:hAnsi="Calibri" w:cs="Arial"/>
          <w:color w:val="000000"/>
        </w:rPr>
        <w:t>Eliminat</w:t>
      </w:r>
      <w:r w:rsidR="00161125">
        <w:rPr>
          <w:rFonts w:ascii="Calibri" w:eastAsia="Times New Roman" w:hAnsi="Calibri" w:cs="Arial"/>
          <w:color w:val="000000"/>
        </w:rPr>
        <w:t>e</w:t>
      </w:r>
      <w:r w:rsidRPr="00161125">
        <w:rPr>
          <w:rFonts w:ascii="Calibri" w:eastAsia="Times New Roman" w:hAnsi="Calibri" w:cs="Arial"/>
          <w:color w:val="000000"/>
        </w:rPr>
        <w:t xml:space="preserve"> the use of gasoline/diesel powered vehicles for maintenance work where that size and type of vehicle is not needed and utiliz</w:t>
      </w:r>
      <w:r w:rsidR="00161125">
        <w:rPr>
          <w:rFonts w:ascii="Calibri" w:eastAsia="Times New Roman" w:hAnsi="Calibri" w:cs="Arial"/>
          <w:color w:val="000000"/>
        </w:rPr>
        <w:t>e</w:t>
      </w:r>
      <w:r w:rsidRPr="00161125">
        <w:rPr>
          <w:rFonts w:ascii="Calibri" w:eastAsia="Times New Roman" w:hAnsi="Calibri" w:cs="Arial"/>
          <w:color w:val="000000"/>
        </w:rPr>
        <w:t xml:space="preserve"> electric carts instead.</w:t>
      </w:r>
    </w:p>
    <w:p w:rsidR="005B48F0" w:rsidRPr="005B48F0" w:rsidRDefault="005B48F0" w:rsidP="00634092">
      <w:pPr>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b/>
          <w:bCs/>
          <w:color w:val="000000"/>
        </w:rPr>
        <w:t>2. Faculty/Staff Bike Share Programs</w:t>
      </w:r>
    </w:p>
    <w:p w:rsidR="005B48F0" w:rsidRDefault="005B48F0" w:rsidP="00634092">
      <w:pPr>
        <w:rPr>
          <w:rFonts w:ascii="Calibri" w:eastAsia="Times New Roman" w:hAnsi="Calibri" w:cs="Times New Roman"/>
          <w:color w:val="000000"/>
        </w:rPr>
      </w:pPr>
      <w:r w:rsidRPr="005B48F0">
        <w:rPr>
          <w:rFonts w:ascii="Calibri" w:eastAsia="Times New Roman" w:hAnsi="Calibri" w:cs="Times New Roman"/>
          <w:color w:val="000000"/>
        </w:rPr>
        <w:t xml:space="preserve">This strategy is tied with the previous strategy of “Right Sizing” our vehicle fleet. Eliminating the use of gasoline/diesel powered vehicles for on campus personnel transportation will require providing alternative ways to move across campus. This strategy will provide a bike share program for each department on campus as a way to mitigate the elimination of gasoline/diesel powered vehicles and promote a healthier carbon neutral alternative to an electric cart. </w:t>
      </w:r>
    </w:p>
    <w:p w:rsidR="004B533C" w:rsidRPr="005B48F0" w:rsidRDefault="004B533C" w:rsidP="00634092">
      <w:pPr>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b/>
          <w:bCs/>
          <w:color w:val="000000"/>
        </w:rPr>
        <w:t>3. Migrate fleet to PZEV, ZEV, ATPZEV and other alternative fuel technology vehicles</w:t>
      </w: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This strategy will aim to change over 40% of our fleet that is currently powered by traditional fossil fuels including diesel and gasoline internal combustion engines. PZEV’s are defined as Partially Zero Emission Vehicles that must meet both the requirements of Super Ultra Low Emission Vehicles (SULEV) exhaust emissions and zero evaporative emissions. While PZEV’s are still fossil fuel powered, they are a better alternative to the traditional fossil fuel vehicles. ATPZEV are defined as Advanced Technology Partial Zero Emission Vehicle and are comprised of vehicles that are either powered by one of the following technologies: hybrid (gasoline/electric), compressed natural gas or methanol fuel cell. ZEV are defined as Zero Emission Vehicles and are either battery electric or hydrogen fuel cell powered. </w:t>
      </w:r>
    </w:p>
    <w:p w:rsidR="005B48F0" w:rsidRPr="008F1CF5" w:rsidRDefault="005B48F0" w:rsidP="00634092">
      <w:pPr>
        <w:pStyle w:val="ListParagraph"/>
        <w:numPr>
          <w:ilvl w:val="0"/>
          <w:numId w:val="41"/>
        </w:numPr>
        <w:textAlignment w:val="baseline"/>
        <w:rPr>
          <w:rFonts w:ascii="Arial" w:eastAsia="Times New Roman" w:hAnsi="Arial" w:cs="Arial"/>
          <w:color w:val="000000"/>
        </w:rPr>
      </w:pPr>
      <w:r w:rsidRPr="008F1CF5">
        <w:rPr>
          <w:rFonts w:ascii="Calibri" w:eastAsia="Times New Roman" w:hAnsi="Calibri" w:cs="Arial"/>
          <w:color w:val="000000"/>
        </w:rPr>
        <w:t xml:space="preserve">Eliminate unnecessary trucks, vans, </w:t>
      </w:r>
      <w:proofErr w:type="spellStart"/>
      <w:r w:rsidRPr="008F1CF5">
        <w:rPr>
          <w:rFonts w:ascii="Calibri" w:eastAsia="Times New Roman" w:hAnsi="Calibri" w:cs="Arial"/>
          <w:color w:val="000000"/>
        </w:rPr>
        <w:t>suv’s</w:t>
      </w:r>
      <w:proofErr w:type="spellEnd"/>
      <w:r w:rsidRPr="008F1CF5">
        <w:rPr>
          <w:rFonts w:ascii="Calibri" w:eastAsia="Times New Roman" w:hAnsi="Calibri" w:cs="Arial"/>
          <w:color w:val="000000"/>
        </w:rPr>
        <w:t xml:space="preserve"> and cars from the fleet</w:t>
      </w:r>
    </w:p>
    <w:p w:rsidR="005B48F0" w:rsidRPr="008F1CF5" w:rsidRDefault="005B48F0" w:rsidP="00634092">
      <w:pPr>
        <w:pStyle w:val="ListParagraph"/>
        <w:numPr>
          <w:ilvl w:val="0"/>
          <w:numId w:val="41"/>
        </w:numPr>
        <w:textAlignment w:val="baseline"/>
        <w:rPr>
          <w:rFonts w:ascii="Arial" w:eastAsia="Times New Roman" w:hAnsi="Arial" w:cs="Arial"/>
          <w:color w:val="000000"/>
        </w:rPr>
      </w:pPr>
      <w:r w:rsidRPr="008F1CF5">
        <w:rPr>
          <w:rFonts w:ascii="Calibri" w:eastAsia="Times New Roman" w:hAnsi="Calibri" w:cs="Arial"/>
          <w:color w:val="000000"/>
        </w:rPr>
        <w:lastRenderedPageBreak/>
        <w:t>Replace necessary light duty trucks and vans with PZEV’s</w:t>
      </w:r>
    </w:p>
    <w:p w:rsidR="005B48F0" w:rsidRPr="008F1CF5" w:rsidRDefault="005B48F0" w:rsidP="00634092">
      <w:pPr>
        <w:pStyle w:val="ListParagraph"/>
        <w:numPr>
          <w:ilvl w:val="0"/>
          <w:numId w:val="41"/>
        </w:numPr>
        <w:textAlignment w:val="baseline"/>
        <w:rPr>
          <w:rFonts w:ascii="Arial" w:eastAsia="Times New Roman" w:hAnsi="Arial" w:cs="Arial"/>
          <w:color w:val="000000"/>
        </w:rPr>
      </w:pPr>
      <w:r w:rsidRPr="008F1CF5">
        <w:rPr>
          <w:rFonts w:ascii="Calibri" w:eastAsia="Times New Roman" w:hAnsi="Calibri" w:cs="Arial"/>
          <w:color w:val="000000"/>
        </w:rPr>
        <w:t>Replace/convert necessary heavy duty diesel trucks and vans with biodiesel versions</w:t>
      </w:r>
    </w:p>
    <w:p w:rsidR="005B48F0" w:rsidRPr="008F1CF5" w:rsidRDefault="005B48F0" w:rsidP="00634092">
      <w:pPr>
        <w:pStyle w:val="ListParagraph"/>
        <w:numPr>
          <w:ilvl w:val="0"/>
          <w:numId w:val="41"/>
        </w:numPr>
        <w:textAlignment w:val="baseline"/>
        <w:rPr>
          <w:rFonts w:ascii="Arial" w:eastAsia="Times New Roman" w:hAnsi="Arial" w:cs="Arial"/>
          <w:color w:val="000000"/>
        </w:rPr>
      </w:pPr>
      <w:r w:rsidRPr="008F1CF5">
        <w:rPr>
          <w:rFonts w:ascii="Calibri" w:eastAsia="Times New Roman" w:hAnsi="Calibri" w:cs="Arial"/>
          <w:color w:val="000000"/>
        </w:rPr>
        <w:t>Replace necessary cars to ZEV or PZEV vehicles</w:t>
      </w:r>
    </w:p>
    <w:p w:rsidR="005B48F0" w:rsidRPr="005B48F0" w:rsidRDefault="005B48F0" w:rsidP="00634092">
      <w:pPr>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b/>
          <w:bCs/>
          <w:color w:val="000000"/>
        </w:rPr>
        <w:t>4. Implement a No-Idling Policy</w:t>
      </w: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 xml:space="preserve">Idling vehicles produces greenhouse gas emissions that are not only harmful to the environment, but are also unnecessary. This strategy will allow the University to eliminate unnecessary idling on campus in state vehicles and help CSUN lead by example. </w:t>
      </w:r>
    </w:p>
    <w:p w:rsidR="005B48F0" w:rsidRPr="005B48F0" w:rsidRDefault="005B48F0" w:rsidP="00634092">
      <w:pPr>
        <w:rPr>
          <w:rFonts w:ascii="Times New Roman" w:eastAsia="Times New Roman" w:hAnsi="Times New Roman" w:cs="Times New Roman"/>
          <w:sz w:val="24"/>
          <w:szCs w:val="24"/>
        </w:rPr>
      </w:pP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b/>
          <w:bCs/>
          <w:color w:val="000000"/>
        </w:rPr>
        <w:t>5. Migrate Grounds Equipment to Battery Powered</w:t>
      </w: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CSUN has a grounds department that is in charge of maintaining</w:t>
      </w:r>
      <w:r w:rsidR="00F636FC">
        <w:rPr>
          <w:rFonts w:ascii="Calibri" w:eastAsia="Times New Roman" w:hAnsi="Calibri" w:cs="Times New Roman"/>
          <w:color w:val="000000"/>
        </w:rPr>
        <w:t xml:space="preserve"> 356</w:t>
      </w:r>
      <w:r w:rsidRPr="005B48F0">
        <w:rPr>
          <w:rFonts w:ascii="Calibri" w:eastAsia="Times New Roman" w:hAnsi="Calibri" w:cs="Times New Roman"/>
          <w:color w:val="000000"/>
        </w:rPr>
        <w:t xml:space="preserve"> acres of landscaping. The grounds department uses a variety of tools and equipment on a daily basis to complete their tasks. Many of these items are powered by traditional gasoline. This strategy will target these types of equipment and replace them with comparable electric battery powered versions. </w:t>
      </w:r>
    </w:p>
    <w:p w:rsidR="005B48F0" w:rsidRPr="005B48F0" w:rsidRDefault="005B48F0" w:rsidP="00634092">
      <w:pPr>
        <w:rPr>
          <w:rFonts w:ascii="Times New Roman" w:eastAsia="Times New Roman" w:hAnsi="Times New Roman" w:cs="Times New Roman"/>
          <w:sz w:val="24"/>
          <w:szCs w:val="24"/>
        </w:rPr>
      </w:pPr>
      <w:r w:rsidRPr="005B48F0">
        <w:rPr>
          <w:rFonts w:ascii="Calibri" w:eastAsia="Times New Roman" w:hAnsi="Calibri" w:cs="Times New Roman"/>
          <w:color w:val="000000"/>
        </w:rPr>
        <w:t>Strategies:</w:t>
      </w:r>
    </w:p>
    <w:p w:rsidR="005B48F0" w:rsidRPr="005B48F0" w:rsidRDefault="004B661A" w:rsidP="00634092">
      <w:pPr>
        <w:numPr>
          <w:ilvl w:val="0"/>
          <w:numId w:val="40"/>
        </w:numPr>
        <w:textAlignment w:val="baseline"/>
        <w:rPr>
          <w:rFonts w:ascii="Arial" w:eastAsia="Times New Roman" w:hAnsi="Arial" w:cs="Arial"/>
          <w:color w:val="000000"/>
        </w:rPr>
      </w:pPr>
      <w:r>
        <w:rPr>
          <w:rFonts w:ascii="Calibri" w:eastAsia="Times New Roman" w:hAnsi="Calibri" w:cs="Arial"/>
          <w:color w:val="000000"/>
        </w:rPr>
        <w:t>Evaluate</w:t>
      </w:r>
      <w:r w:rsidR="005B48F0" w:rsidRPr="005B48F0">
        <w:rPr>
          <w:rFonts w:ascii="Calibri" w:eastAsia="Times New Roman" w:hAnsi="Calibri" w:cs="Arial"/>
          <w:color w:val="000000"/>
        </w:rPr>
        <w:t xml:space="preserve"> all gas powered weed whackers, </w:t>
      </w:r>
      <w:proofErr w:type="spellStart"/>
      <w:r w:rsidR="009728E6" w:rsidRPr="005B48F0">
        <w:rPr>
          <w:rFonts w:ascii="Calibri" w:eastAsia="Times New Roman" w:hAnsi="Calibri" w:cs="Arial"/>
          <w:color w:val="000000"/>
        </w:rPr>
        <w:t>edgers</w:t>
      </w:r>
      <w:proofErr w:type="spellEnd"/>
      <w:r w:rsidR="005B48F0" w:rsidRPr="005B48F0">
        <w:rPr>
          <w:rFonts w:ascii="Calibri" w:eastAsia="Times New Roman" w:hAnsi="Calibri" w:cs="Arial"/>
          <w:color w:val="000000"/>
        </w:rPr>
        <w:t xml:space="preserve">, blowers and push mowers </w:t>
      </w:r>
      <w:r>
        <w:rPr>
          <w:rFonts w:ascii="Calibri" w:eastAsia="Times New Roman" w:hAnsi="Calibri" w:cs="Arial"/>
          <w:color w:val="000000"/>
        </w:rPr>
        <w:t xml:space="preserve">for replacement </w:t>
      </w:r>
      <w:r w:rsidR="005B48F0" w:rsidRPr="005B48F0">
        <w:rPr>
          <w:rFonts w:ascii="Calibri" w:eastAsia="Times New Roman" w:hAnsi="Calibri" w:cs="Arial"/>
          <w:color w:val="000000"/>
        </w:rPr>
        <w:t>with electric battery powered versions.</w:t>
      </w:r>
    </w:p>
    <w:p w:rsidR="005B48F0" w:rsidRPr="008F1CF5" w:rsidRDefault="005B48F0" w:rsidP="00634092">
      <w:pPr>
        <w:pStyle w:val="ListParagraph"/>
        <w:numPr>
          <w:ilvl w:val="0"/>
          <w:numId w:val="40"/>
        </w:numPr>
        <w:textAlignment w:val="baseline"/>
        <w:rPr>
          <w:rFonts w:ascii="Arial" w:eastAsia="Times New Roman" w:hAnsi="Arial" w:cs="Arial"/>
          <w:color w:val="000000"/>
        </w:rPr>
      </w:pPr>
      <w:r w:rsidRPr="008F1CF5">
        <w:rPr>
          <w:rFonts w:ascii="Calibri" w:eastAsia="Times New Roman" w:hAnsi="Calibri" w:cs="Arial"/>
          <w:color w:val="000000"/>
        </w:rPr>
        <w:t>Evaluate the feasibility of an electric ride on mower</w:t>
      </w:r>
    </w:p>
    <w:p w:rsidR="001E1A22" w:rsidRPr="00E23561" w:rsidRDefault="00B4501E" w:rsidP="00634092">
      <w:pPr>
        <w:pStyle w:val="Heading2"/>
      </w:pPr>
      <w:bookmarkStart w:id="17" w:name="_Toc440630062"/>
      <w:r w:rsidRPr="00E23561">
        <w:t>3.5 Scope</w:t>
      </w:r>
      <w:r w:rsidR="001E1A22" w:rsidRPr="00E23561">
        <w:t xml:space="preserve"> 3 Emissions</w:t>
      </w:r>
      <w:bookmarkEnd w:id="17"/>
    </w:p>
    <w:p w:rsidR="00ED5A06" w:rsidRPr="00E23561" w:rsidRDefault="00E23561" w:rsidP="00634092">
      <w:pPr>
        <w:pStyle w:val="Heading3"/>
      </w:pPr>
      <w:bookmarkStart w:id="18" w:name="_Toc440630063"/>
      <w:bookmarkStart w:id="19" w:name="_Toc425239966"/>
      <w:r w:rsidRPr="00E23561">
        <w:t>3</w:t>
      </w:r>
      <w:r w:rsidR="00ED5A06" w:rsidRPr="00E23561">
        <w:t>.</w:t>
      </w:r>
      <w:r w:rsidR="001C0B7D" w:rsidRPr="00E23561">
        <w:t>5</w:t>
      </w:r>
      <w:r w:rsidR="00ED5A06" w:rsidRPr="00E23561">
        <w:t>.1 Commuting</w:t>
      </w:r>
      <w:bookmarkEnd w:id="18"/>
      <w:r w:rsidR="00ED5A06" w:rsidRPr="00E23561">
        <w:t xml:space="preserve"> </w:t>
      </w:r>
      <w:bookmarkEnd w:id="19"/>
    </w:p>
    <w:p w:rsidR="00ED5A06" w:rsidRPr="00586BC8" w:rsidRDefault="00ED5A06" w:rsidP="00634092">
      <w:pPr>
        <w:contextualSpacing/>
      </w:pPr>
      <w:r w:rsidRPr="00586BC8">
        <w:t>Automobile travel is credited as the major contributor of greenhouse gas (GHG) emissions, accounting for about 28% of GHG emissions in the United States and 36% in California (</w:t>
      </w:r>
      <w:proofErr w:type="spellStart"/>
      <w:r w:rsidRPr="00586BC8">
        <w:t>Rodier</w:t>
      </w:r>
      <w:proofErr w:type="spellEnd"/>
      <w:r w:rsidRPr="00586BC8">
        <w:t xml:space="preserve"> 2009). The State of California has been a leader in climate change legislation with the passage of the Global Warming Solutions Act of 2006, AB 32, which sets GHG reduction targets to 1990 levels by the year 2020. Reducing per capita Vehicle Miles Traveled (VMT) is one of the most effective methods for reducing GHG emissions. The relationship between GHG and per capita VMT has prompted further legislative actions and policies in California, such as SB 375, the Sustainable Communities and Climate Protection Act of 2008, which seek to reduce per capita VMT through sustainable development strategies at the regional planning level. Yet, the lack of adequate public transport in the Los Angeles region and the predominance of motor vehicles as the primary means of commuting contribute greatly to carbon dioxide emissions and air pollution in this region. California State University, Northridge (CSUN), a large urban school in the region is confronted with these challenges. CSUN employs about 4,000 faculty and staff and has a student enrollment of </w:t>
      </w:r>
      <w:r w:rsidR="00BF6078">
        <w:t>over</w:t>
      </w:r>
      <w:r w:rsidRPr="00586BC8">
        <w:t xml:space="preserve"> 40,000, the majority of whom commute to campus. </w:t>
      </w:r>
    </w:p>
    <w:p w:rsidR="00ED5A06" w:rsidRPr="00586BC8" w:rsidRDefault="00ED5A06" w:rsidP="00634092">
      <w:pPr>
        <w:contextualSpacing/>
      </w:pPr>
    </w:p>
    <w:p w:rsidR="00ED5A06" w:rsidRPr="00586BC8" w:rsidRDefault="00ED5A06" w:rsidP="00634092">
      <w:pPr>
        <w:contextualSpacing/>
      </w:pPr>
      <w:r w:rsidRPr="00586BC8">
        <w:t xml:space="preserve">For the last several years, CSUN has implemented </w:t>
      </w:r>
      <w:r w:rsidR="00BF6078">
        <w:t xml:space="preserve">numerous </w:t>
      </w:r>
      <w:r w:rsidRPr="00586BC8">
        <w:t xml:space="preserve">infrastructure improvements to curb the high dependency </w:t>
      </w:r>
      <w:r w:rsidR="00BB1F86">
        <w:t>on</w:t>
      </w:r>
      <w:r w:rsidRPr="00586BC8">
        <w:t xml:space="preserve"> automobile use. These infrastructures include extension of bike lanes, </w:t>
      </w:r>
      <w:r w:rsidR="00447243">
        <w:rPr>
          <w:rFonts w:ascii="Calibri" w:eastAsia="Times New Roman" w:hAnsi="Calibri"/>
        </w:rPr>
        <w:t xml:space="preserve">increasing the number of secure bike and skateboard racks on campus, </w:t>
      </w:r>
      <w:r w:rsidRPr="00586BC8">
        <w:t xml:space="preserve">building on-campus student </w:t>
      </w:r>
      <w:r w:rsidRPr="00586BC8">
        <w:lastRenderedPageBreak/>
        <w:t>housing units, carpool and rideshare programs, electric car charging stations</w:t>
      </w:r>
      <w:r w:rsidR="004F6094">
        <w:t>, mass transportation subsidies,</w:t>
      </w:r>
      <w:r w:rsidRPr="00586BC8">
        <w:t xml:space="preserve"> and an on-campus transit center. To understand the effects of these transportation and housing initiatives, commuter surveys were conducted in </w:t>
      </w:r>
      <w:proofErr w:type="gramStart"/>
      <w:r w:rsidRPr="00586BC8">
        <w:t>Spring</w:t>
      </w:r>
      <w:proofErr w:type="gramEnd"/>
      <w:r w:rsidRPr="00586BC8">
        <w:t xml:space="preserve"> 2010 and Spring 2015. The purpose of the surveys is to understand the carbon footprint of current commuting, </w:t>
      </w:r>
      <w:r w:rsidR="004A05F8">
        <w:t xml:space="preserve">to determine </w:t>
      </w:r>
      <w:r w:rsidRPr="00586BC8">
        <w:t xml:space="preserve">the change in commuting behavior between 2010 and 2015, to examine responsiveness to more sustainable options for the future, and to study CSUN commuting patterns. </w:t>
      </w:r>
    </w:p>
    <w:p w:rsidR="00ED5A06" w:rsidRDefault="00ED5A06" w:rsidP="00634092">
      <w:pPr>
        <w:contextualSpacing/>
        <w:jc w:val="both"/>
        <w:rPr>
          <w:color w:val="1F497D" w:themeColor="text2"/>
        </w:rPr>
      </w:pPr>
    </w:p>
    <w:p w:rsidR="00ED5A06" w:rsidRPr="00586BC8" w:rsidRDefault="00ED5A06" w:rsidP="00634092">
      <w:pPr>
        <w:contextualSpacing/>
      </w:pPr>
      <w:r w:rsidRPr="00586BC8">
        <w:t xml:space="preserve">The 2015 </w:t>
      </w:r>
      <w:r w:rsidR="007207A1">
        <w:t>s</w:t>
      </w:r>
      <w:r w:rsidRPr="00586BC8">
        <w:t xml:space="preserve">urvey recipients were asked </w:t>
      </w:r>
      <w:r w:rsidR="004A05F8">
        <w:t xml:space="preserve">their </w:t>
      </w:r>
      <w:r w:rsidRPr="00586BC8">
        <w:t>one-way travel distance from home to the CS</w:t>
      </w:r>
      <w:r w:rsidR="004038A6">
        <w:t>UN campus. As portrayed in F</w:t>
      </w:r>
      <w:r w:rsidRPr="00586BC8">
        <w:t>igure</w:t>
      </w:r>
      <w:r w:rsidR="004038A6">
        <w:t xml:space="preserve"> 15</w:t>
      </w:r>
      <w:r w:rsidRPr="00586BC8">
        <w:t xml:space="preserve"> below, this was measured in increments of 5 miles up to 40+ miles, with individuals beyond 40 miles being grouped together. The results show that the majority of respondents indicated that they live within 5 miles of the CSUN campus, with the percentages steadily decreasing for each increment until 40+ miles, where </w:t>
      </w:r>
      <w:r w:rsidR="00FC0744">
        <w:t>numbers</w:t>
      </w:r>
      <w:r w:rsidRPr="00586BC8">
        <w:t xml:space="preserve"> pick up once again. </w:t>
      </w:r>
    </w:p>
    <w:p w:rsidR="004038A6" w:rsidRDefault="00ED5A06" w:rsidP="00DA0AC2">
      <w:pPr>
        <w:spacing w:line="240" w:lineRule="auto"/>
        <w:jc w:val="center"/>
        <w:rPr>
          <w:rFonts w:eastAsia="Arial" w:cs="Times New Roman"/>
          <w:sz w:val="24"/>
          <w:szCs w:val="24"/>
        </w:rPr>
      </w:pPr>
      <w:r w:rsidRPr="00052A4A">
        <w:rPr>
          <w:rFonts w:eastAsia="Arial" w:cs="Times New Roman"/>
          <w:noProof/>
          <w:sz w:val="24"/>
          <w:szCs w:val="24"/>
        </w:rPr>
        <w:drawing>
          <wp:inline distT="0" distB="0" distL="0" distR="0">
            <wp:extent cx="4951179" cy="3095625"/>
            <wp:effectExtent l="0" t="0" r="1905" b="0"/>
            <wp:docPr id="19" name="Picture 19" descr="A horizontal bar graph showing the percentage of faculty, staff, and students with an average commute distance falling within 5-mile increments, from zero to 40 m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963546" cy="3103357"/>
                    </a:xfrm>
                    <a:prstGeom prst="rect">
                      <a:avLst/>
                    </a:prstGeom>
                    <a:noFill/>
                  </pic:spPr>
                </pic:pic>
              </a:graphicData>
            </a:graphic>
          </wp:inline>
        </w:drawing>
      </w:r>
    </w:p>
    <w:p w:rsidR="00ED5A06" w:rsidRPr="004038A6" w:rsidRDefault="004038A6" w:rsidP="00DA0AC2">
      <w:pPr>
        <w:spacing w:line="240" w:lineRule="auto"/>
        <w:rPr>
          <w:rFonts w:eastAsia="Arial" w:cs="Times New Roman"/>
          <w:sz w:val="24"/>
          <w:szCs w:val="24"/>
        </w:rPr>
      </w:pPr>
      <w:r w:rsidRPr="004038A6">
        <w:rPr>
          <w:b/>
        </w:rPr>
        <w:t xml:space="preserve">Figure 15. </w:t>
      </w:r>
      <w:r w:rsidR="009860AD">
        <w:rPr>
          <w:b/>
        </w:rPr>
        <w:t>Campus commuting distance</w:t>
      </w:r>
    </w:p>
    <w:p w:rsidR="00ED5A06" w:rsidRPr="00586BC8" w:rsidRDefault="00ED5A06" w:rsidP="00DA0AC2">
      <w:pPr>
        <w:spacing w:line="240" w:lineRule="auto"/>
        <w:contextualSpacing/>
        <w:jc w:val="both"/>
      </w:pPr>
    </w:p>
    <w:p w:rsidR="00BD0C02" w:rsidRDefault="00BF6078" w:rsidP="00634092">
      <w:pPr>
        <w:contextualSpacing/>
      </w:pPr>
      <w:r w:rsidRPr="00022BFC">
        <w:t xml:space="preserve">The number of days in a week that individuals typically come to campus was also </w:t>
      </w:r>
      <w:r>
        <w:t>assessed, with Figure 16</w:t>
      </w:r>
      <w:r w:rsidRPr="00022BFC">
        <w:t xml:space="preserve"> showing that students typically come four days (29%), most staff come five days (83%), and </w:t>
      </w:r>
      <w:r>
        <w:t xml:space="preserve">most </w:t>
      </w:r>
      <w:r w:rsidRPr="00022BFC">
        <w:t xml:space="preserve">faculty come three days (26%). Overall CSUN students, </w:t>
      </w:r>
      <w:r>
        <w:t>staff and faculty</w:t>
      </w:r>
      <w:r w:rsidRPr="00022BFC">
        <w:t xml:space="preserve"> come </w:t>
      </w:r>
      <w:r>
        <w:t xml:space="preserve">to campus </w:t>
      </w:r>
      <w:proofErr w:type="gramStart"/>
      <w:r>
        <w:t>an</w:t>
      </w:r>
      <w:proofErr w:type="gramEnd"/>
      <w:r>
        <w:t xml:space="preserve"> average of 3.77, 4.88 and 3.10</w:t>
      </w:r>
      <w:r w:rsidRPr="00022BFC">
        <w:t xml:space="preserve"> days a week respectively. This information is relevant to computing the per capita CO</w:t>
      </w:r>
      <w:r w:rsidRPr="00BF6078">
        <w:rPr>
          <w:vertAlign w:val="subscript"/>
        </w:rPr>
        <w:t>2</w:t>
      </w:r>
      <w:r w:rsidRPr="00022BFC">
        <w:t xml:space="preserve"> emissions.</w:t>
      </w:r>
    </w:p>
    <w:p w:rsidR="00242E2E" w:rsidRDefault="00242E2E" w:rsidP="00634092">
      <w:pPr>
        <w:contextualSpacing/>
      </w:pPr>
    </w:p>
    <w:p w:rsidR="00242E2E" w:rsidRDefault="00242E2E" w:rsidP="00242E2E">
      <w:pPr>
        <w:contextualSpacing/>
      </w:pPr>
      <w:r>
        <w:t>As displayed in</w:t>
      </w:r>
      <w:r w:rsidRPr="00586BC8">
        <w:t xml:space="preserve"> Figure</w:t>
      </w:r>
      <w:r>
        <w:t xml:space="preserve"> 17</w:t>
      </w:r>
      <w:r w:rsidRPr="00586BC8">
        <w:t>, data on primary mode of transportation was gathered from the 2015 survey and compared with data from the 2010 survey, with respondents choosing from a list of mode</w:t>
      </w:r>
      <w:r>
        <w:t>s</w:t>
      </w:r>
      <w:r w:rsidRPr="00586BC8">
        <w:t xml:space="preserve"> they generally take to campus.</w:t>
      </w:r>
    </w:p>
    <w:p w:rsidR="00BF6078" w:rsidRDefault="00BF6078" w:rsidP="00DA0AC2">
      <w:pPr>
        <w:spacing w:line="240" w:lineRule="auto"/>
        <w:contextualSpacing/>
      </w:pPr>
      <w:r w:rsidRPr="00022BFC">
        <w:t xml:space="preserve">  </w:t>
      </w:r>
    </w:p>
    <w:p w:rsidR="00ED5A06" w:rsidRPr="00052A4A" w:rsidRDefault="00ED5A06" w:rsidP="00DA0AC2">
      <w:pPr>
        <w:spacing w:line="240" w:lineRule="auto"/>
        <w:jc w:val="center"/>
        <w:rPr>
          <w:rFonts w:eastAsia="Arial" w:cs="Times New Roman"/>
          <w:sz w:val="24"/>
          <w:szCs w:val="24"/>
        </w:rPr>
      </w:pPr>
      <w:r w:rsidRPr="00052A4A">
        <w:rPr>
          <w:rFonts w:eastAsia="Arial" w:cs="Times New Roman"/>
          <w:noProof/>
          <w:sz w:val="24"/>
          <w:szCs w:val="24"/>
        </w:rPr>
        <w:lastRenderedPageBreak/>
        <w:drawing>
          <wp:inline distT="0" distB="0" distL="0" distR="0" wp14:anchorId="02837C86" wp14:editId="094CC818">
            <wp:extent cx="4905375" cy="2720653"/>
            <wp:effectExtent l="0" t="0" r="0" b="3810"/>
            <wp:docPr id="20" name="Picture 20" descr="A bar graph showing the percentage of students, faculty and staff that are on campus for 1, 2, 3, 4, 5, 6 or 7 days each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33491" cy="2736247"/>
                    </a:xfrm>
                    <a:prstGeom prst="rect">
                      <a:avLst/>
                    </a:prstGeom>
                    <a:noFill/>
                    <a:ln>
                      <a:noFill/>
                    </a:ln>
                  </pic:spPr>
                </pic:pic>
              </a:graphicData>
            </a:graphic>
          </wp:inline>
        </w:drawing>
      </w:r>
    </w:p>
    <w:p w:rsidR="009711EC" w:rsidRPr="004038A6" w:rsidRDefault="004038A6" w:rsidP="00DA0AC2">
      <w:pPr>
        <w:spacing w:line="240" w:lineRule="auto"/>
        <w:rPr>
          <w:b/>
        </w:rPr>
      </w:pPr>
      <w:r>
        <w:rPr>
          <w:b/>
        </w:rPr>
        <w:t xml:space="preserve">Figure 16. </w:t>
      </w:r>
      <w:r w:rsidR="00ED5A06" w:rsidRPr="004038A6">
        <w:rPr>
          <w:b/>
        </w:rPr>
        <w:t xml:space="preserve">Number of days on campus </w:t>
      </w:r>
    </w:p>
    <w:p w:rsidR="009860AD" w:rsidRPr="00586BC8" w:rsidRDefault="009860AD" w:rsidP="00DA0AC2">
      <w:pPr>
        <w:spacing w:line="240" w:lineRule="auto"/>
        <w:contextualSpacing/>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graph showing the commute modal splits of students, faculty and staff in 2010 and 2015."/>
      </w:tblPr>
      <w:tblGrid>
        <w:gridCol w:w="9000"/>
      </w:tblGrid>
      <w:tr w:rsidR="00BF6078" w:rsidTr="00211F33">
        <w:trPr>
          <w:tblHeader/>
        </w:trPr>
        <w:tc>
          <w:tcPr>
            <w:tcW w:w="9216" w:type="dxa"/>
          </w:tcPr>
          <w:p w:rsidR="00BF6078" w:rsidRDefault="00BF6078" w:rsidP="00DA0AC2">
            <w:pPr>
              <w:rPr>
                <w:rFonts w:eastAsia="Arial" w:cs="Times New Roman"/>
                <w:b/>
                <w:sz w:val="24"/>
                <w:szCs w:val="24"/>
              </w:rPr>
            </w:pPr>
            <w:r>
              <w:rPr>
                <w:rFonts w:eastAsia="Arial" w:cs="Times New Roman"/>
                <w:b/>
                <w:noProof/>
                <w:sz w:val="24"/>
                <w:szCs w:val="24"/>
              </w:rPr>
              <w:drawing>
                <wp:inline distT="0" distB="0" distL="0" distR="0" wp14:anchorId="61A50906" wp14:editId="135826E1">
                  <wp:extent cx="5932170" cy="3340735"/>
                  <wp:effectExtent l="0" t="0" r="0" b="0"/>
                  <wp:docPr id="39" name="Picture 39" descr="A graph showing the commute modal splits of students, faculty and staff in 2010 and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2170" cy="3340735"/>
                          </a:xfrm>
                          <a:prstGeom prst="rect">
                            <a:avLst/>
                          </a:prstGeom>
                          <a:noFill/>
                        </pic:spPr>
                      </pic:pic>
                    </a:graphicData>
                  </a:graphic>
                </wp:inline>
              </w:drawing>
            </w:r>
          </w:p>
          <w:p w:rsidR="00BF6078" w:rsidRDefault="00BF6078" w:rsidP="00DA0AC2">
            <w:pPr>
              <w:rPr>
                <w:b/>
              </w:rPr>
            </w:pPr>
          </w:p>
          <w:p w:rsidR="00BF6078" w:rsidRPr="00BF6078" w:rsidRDefault="00BF6078" w:rsidP="00DA0AC2">
            <w:pPr>
              <w:rPr>
                <w:b/>
              </w:rPr>
            </w:pPr>
            <w:r w:rsidRPr="004038A6">
              <w:rPr>
                <w:b/>
              </w:rPr>
              <w:t>Figure 17. Primary Mode of Travel</w:t>
            </w:r>
            <w:r>
              <w:rPr>
                <w:b/>
              </w:rPr>
              <w:t>: Comparison 2010 vs. 2015</w:t>
            </w:r>
          </w:p>
        </w:tc>
      </w:tr>
    </w:tbl>
    <w:p w:rsidR="00ED5A06" w:rsidRPr="00052A4A" w:rsidRDefault="00ED5A06" w:rsidP="00DA0AC2">
      <w:pPr>
        <w:spacing w:line="240" w:lineRule="auto"/>
        <w:jc w:val="center"/>
        <w:rPr>
          <w:rFonts w:eastAsia="Arial" w:cs="Times New Roman"/>
          <w:b/>
          <w:sz w:val="24"/>
          <w:szCs w:val="24"/>
        </w:rPr>
      </w:pPr>
    </w:p>
    <w:p w:rsidR="009860AD" w:rsidRDefault="009860AD" w:rsidP="00242E2E">
      <w:pPr>
        <w:contextualSpacing/>
      </w:pPr>
      <w:r w:rsidRPr="00586BC8">
        <w:t xml:space="preserve">Just as in 2010, results for all groups indicate that the private automobile is still the primary mode choice, with all other options lagging behind. Even so, there are signs of improvement in 2015 over 2010. In </w:t>
      </w:r>
      <w:r>
        <w:t>terms of single occupancy vehicles</w:t>
      </w:r>
      <w:r w:rsidRPr="00586BC8">
        <w:t xml:space="preserve">, 59% of students in 2015 </w:t>
      </w:r>
      <w:r w:rsidR="004A05F8">
        <w:t>indicate the</w:t>
      </w:r>
      <w:r w:rsidR="004B661A">
        <w:t>y</w:t>
      </w:r>
      <w:r w:rsidR="004A05F8">
        <w:t xml:space="preserve"> use</w:t>
      </w:r>
      <w:r w:rsidRPr="00586BC8">
        <w:t xml:space="preserve"> it whereas in 2010, 72% of students used it, marking a fairly substantial change in usage. And while a smaller percentage of students appear to carpool in 2015 (~6% vs</w:t>
      </w:r>
      <w:r>
        <w:t>.</w:t>
      </w:r>
      <w:r w:rsidRPr="00586BC8">
        <w:t xml:space="preserve"> ~3%), there is a higher percentage of </w:t>
      </w:r>
      <w:r w:rsidRPr="00586BC8">
        <w:lastRenderedPageBreak/>
        <w:t xml:space="preserve">people using modes such as bicycles, the CSUN Housing Tram, and walking. For students and staff, the biggest change since 2010 is in the percentage of people walking to the campus. For faculty, the only noticeable improvements are in the percentage that are dropped off or who use a bicycle. Usage of all other categories inclusive of vanpooling has gone down, and car usage has gone up. </w:t>
      </w:r>
    </w:p>
    <w:p w:rsidR="00003853" w:rsidRDefault="00003853" w:rsidP="00242E2E">
      <w:pPr>
        <w:contextualSpacing/>
      </w:pPr>
    </w:p>
    <w:p w:rsidR="00ED5A06" w:rsidRDefault="00FC0744" w:rsidP="00242E2E">
      <w:pPr>
        <w:contextualSpacing/>
      </w:pPr>
      <w:r>
        <w:t>In projecting out emissions from commuting, improvements in mode choice like those demonstrated above for single occupancy vehicle use by students will reduce our carbon footprint further as strategies are put into place to further incentivize mode shifts to cleaner and more sustainable choices of transportation.</w:t>
      </w:r>
    </w:p>
    <w:p w:rsidR="00622A6A" w:rsidRDefault="00622A6A" w:rsidP="00DA0AC2">
      <w:pPr>
        <w:spacing w:line="240" w:lineRule="auto"/>
        <w:contextualSpacing/>
        <w:rPr>
          <w:b/>
        </w:rPr>
      </w:pPr>
    </w:p>
    <w:p w:rsidR="00ED5A06" w:rsidRPr="00FC0137" w:rsidRDefault="00BD0C02" w:rsidP="00DA0AC2">
      <w:pPr>
        <w:spacing w:line="240" w:lineRule="auto"/>
        <w:contextualSpacing/>
        <w:rPr>
          <w:b/>
        </w:rPr>
      </w:pPr>
      <w:r>
        <w:rPr>
          <w:b/>
        </w:rPr>
        <w:t>Strategies</w:t>
      </w:r>
    </w:p>
    <w:tbl>
      <w:tblPr>
        <w:tblStyle w:val="TableGrid"/>
        <w:tblW w:w="0" w:type="auto"/>
        <w:tblLayout w:type="fixed"/>
        <w:tblLook w:val="04A0" w:firstRow="1" w:lastRow="0" w:firstColumn="1" w:lastColumn="0" w:noHBand="0" w:noVBand="1"/>
        <w:tblDescription w:val="A table of different greenhouse gas reduction strategies and their projected cost."/>
      </w:tblPr>
      <w:tblGrid>
        <w:gridCol w:w="3708"/>
        <w:gridCol w:w="3510"/>
        <w:gridCol w:w="1998"/>
      </w:tblGrid>
      <w:tr w:rsidR="005F4165" w:rsidRPr="00742566" w:rsidTr="00211F33">
        <w:trPr>
          <w:trHeight w:val="593"/>
          <w:tblHeader/>
        </w:trPr>
        <w:tc>
          <w:tcPr>
            <w:tcW w:w="3708" w:type="dxa"/>
            <w:vAlign w:val="center"/>
            <w:hideMark/>
          </w:tcPr>
          <w:p w:rsidR="005F4165" w:rsidRPr="00742566" w:rsidRDefault="005F4165" w:rsidP="00DA0AC2">
            <w:pPr>
              <w:rPr>
                <w:b/>
                <w:bCs/>
              </w:rPr>
            </w:pPr>
            <w:r w:rsidRPr="00742566">
              <w:rPr>
                <w:rFonts w:eastAsia="Times New Roman" w:cs="Times New Roman"/>
                <w:b/>
                <w:bCs/>
                <w:color w:val="000000"/>
              </w:rPr>
              <w:t>Strategy</w:t>
            </w:r>
          </w:p>
        </w:tc>
        <w:tc>
          <w:tcPr>
            <w:tcW w:w="3510" w:type="dxa"/>
            <w:vAlign w:val="center"/>
            <w:hideMark/>
          </w:tcPr>
          <w:p w:rsidR="005F4165" w:rsidRPr="00742566" w:rsidRDefault="009A6E63" w:rsidP="00DA0AC2">
            <w:pPr>
              <w:rPr>
                <w:b/>
                <w:bCs/>
              </w:rPr>
            </w:pPr>
            <w:r>
              <w:rPr>
                <w:rFonts w:eastAsia="Times New Roman" w:cs="Times New Roman"/>
                <w:b/>
                <w:bCs/>
                <w:color w:val="000000"/>
              </w:rPr>
              <w:t>Comments</w:t>
            </w:r>
          </w:p>
        </w:tc>
        <w:tc>
          <w:tcPr>
            <w:tcW w:w="1998" w:type="dxa"/>
            <w:vAlign w:val="center"/>
          </w:tcPr>
          <w:p w:rsidR="005F4165" w:rsidRPr="00742566" w:rsidRDefault="005F4165" w:rsidP="009A6E63">
            <w:pPr>
              <w:rPr>
                <w:b/>
                <w:bCs/>
              </w:rPr>
            </w:pPr>
            <w:r w:rsidRPr="00742566">
              <w:rPr>
                <w:rFonts w:eastAsia="Times New Roman" w:cs="Times New Roman"/>
                <w:b/>
                <w:bCs/>
                <w:color w:val="000000"/>
              </w:rPr>
              <w:t xml:space="preserve">Estimated Project cost (one-time and </w:t>
            </w:r>
            <w:r w:rsidR="009A6E63">
              <w:rPr>
                <w:rFonts w:eastAsia="Times New Roman" w:cs="Times New Roman"/>
                <w:b/>
                <w:bCs/>
                <w:color w:val="000000"/>
              </w:rPr>
              <w:t>20 years of annual costs</w:t>
            </w:r>
            <w:r w:rsidRPr="00742566">
              <w:rPr>
                <w:rFonts w:eastAsia="Times New Roman" w:cs="Times New Roman"/>
                <w:b/>
                <w:bCs/>
                <w:color w:val="000000"/>
              </w:rPr>
              <w:t>)</w:t>
            </w:r>
          </w:p>
        </w:tc>
      </w:tr>
      <w:tr w:rsidR="005F4165" w:rsidRPr="00742566" w:rsidTr="00464A63">
        <w:trPr>
          <w:trHeight w:val="289"/>
        </w:trPr>
        <w:tc>
          <w:tcPr>
            <w:tcW w:w="3708" w:type="dxa"/>
            <w:shd w:val="clear" w:color="auto" w:fill="D9D9D9" w:themeFill="background1" w:themeFillShade="D9"/>
            <w:noWrap/>
            <w:hideMark/>
          </w:tcPr>
          <w:p w:rsidR="005F4165" w:rsidRPr="005F4165" w:rsidRDefault="005F4165" w:rsidP="00DA0AC2">
            <w:pPr>
              <w:rPr>
                <w:b/>
                <w:bCs/>
              </w:rPr>
            </w:pPr>
            <w:r w:rsidRPr="005F4165">
              <w:rPr>
                <w:b/>
                <w:bCs/>
              </w:rPr>
              <w:t xml:space="preserve">EXPANDING BICYCLING INFRASTRUCTURE </w:t>
            </w:r>
          </w:p>
        </w:tc>
        <w:tc>
          <w:tcPr>
            <w:tcW w:w="3510" w:type="dxa"/>
            <w:shd w:val="clear" w:color="auto" w:fill="D9D9D9" w:themeFill="background1" w:themeFillShade="D9"/>
            <w:noWrap/>
          </w:tcPr>
          <w:p w:rsidR="005F4165" w:rsidRPr="005F4165" w:rsidRDefault="005F4165" w:rsidP="00464A63">
            <w:pPr>
              <w:rPr>
                <w:b/>
                <w:bCs/>
              </w:rPr>
            </w:pPr>
            <w:r w:rsidRPr="005F4165">
              <w:rPr>
                <w:b/>
                <w:bCs/>
              </w:rPr>
              <w:t xml:space="preserve">Expanding bicycle infrastructure will aid in moving </w:t>
            </w:r>
            <w:r w:rsidR="009A6E63">
              <w:rPr>
                <w:b/>
                <w:bCs/>
              </w:rPr>
              <w:t xml:space="preserve">more of </w:t>
            </w:r>
            <w:r w:rsidRPr="005F4165">
              <w:rPr>
                <w:b/>
                <w:bCs/>
              </w:rPr>
              <w:t xml:space="preserve">the CSUN community </w:t>
            </w:r>
            <w:r w:rsidR="009A6E63">
              <w:rPr>
                <w:b/>
                <w:bCs/>
              </w:rPr>
              <w:t>towards a zero</w:t>
            </w:r>
            <w:r w:rsidRPr="005F4165">
              <w:rPr>
                <w:b/>
                <w:bCs/>
              </w:rPr>
              <w:t xml:space="preserve"> emission mode of commuting.</w:t>
            </w:r>
          </w:p>
        </w:tc>
        <w:tc>
          <w:tcPr>
            <w:tcW w:w="1998" w:type="dxa"/>
            <w:shd w:val="clear" w:color="auto" w:fill="D9D9D9" w:themeFill="background1" w:themeFillShade="D9"/>
            <w:vAlign w:val="center"/>
          </w:tcPr>
          <w:p w:rsidR="005F4165" w:rsidRPr="005F4165" w:rsidRDefault="005F4165" w:rsidP="00B30938">
            <w:pPr>
              <w:rPr>
                <w:b/>
                <w:color w:val="000000"/>
              </w:rPr>
            </w:pPr>
            <w:r w:rsidRPr="005F4165">
              <w:rPr>
                <w:b/>
                <w:color w:val="000000"/>
              </w:rPr>
              <w:t xml:space="preserve"> </w:t>
            </w:r>
            <w:r w:rsidR="00DE2C95">
              <w:rPr>
                <w:b/>
                <w:color w:val="000000"/>
              </w:rPr>
              <w:t>$</w:t>
            </w:r>
            <w:r w:rsidR="00B30938">
              <w:rPr>
                <w:b/>
                <w:color w:val="000000"/>
              </w:rPr>
              <w:t>580</w:t>
            </w:r>
            <w:r w:rsidRPr="005F4165">
              <w:rPr>
                <w:b/>
                <w:color w:val="000000"/>
              </w:rPr>
              <w:t xml:space="preserve">,000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Bicycle rental for dorm residents</w:t>
            </w:r>
          </w:p>
        </w:tc>
        <w:tc>
          <w:tcPr>
            <w:tcW w:w="3510" w:type="dxa"/>
            <w:noWrap/>
          </w:tcPr>
          <w:p w:rsidR="005F4165" w:rsidRPr="00742566" w:rsidRDefault="009A6E63" w:rsidP="00464A63">
            <w:pPr>
              <w:rPr>
                <w:color w:val="000000"/>
              </w:rPr>
            </w:pPr>
            <w:r>
              <w:rPr>
                <w:color w:val="000000"/>
              </w:rPr>
              <w:t>Costs include bicycle purchase plus annual program costs</w:t>
            </w:r>
          </w:p>
        </w:tc>
        <w:tc>
          <w:tcPr>
            <w:tcW w:w="1998" w:type="dxa"/>
            <w:vAlign w:val="center"/>
          </w:tcPr>
          <w:p w:rsidR="005F4165" w:rsidRPr="00742566" w:rsidRDefault="005F4165" w:rsidP="009A6E63">
            <w:pPr>
              <w:rPr>
                <w:color w:val="000000"/>
              </w:rPr>
            </w:pPr>
            <w:r w:rsidRPr="00742566">
              <w:rPr>
                <w:color w:val="000000"/>
              </w:rPr>
              <w:t xml:space="preserve"> </w:t>
            </w:r>
            <w:r w:rsidR="00DE2C95">
              <w:rPr>
                <w:color w:val="000000"/>
              </w:rPr>
              <w:t>$</w:t>
            </w:r>
            <w:r w:rsidRPr="00742566">
              <w:rPr>
                <w:color w:val="000000"/>
              </w:rPr>
              <w:t>2</w:t>
            </w:r>
            <w:r w:rsidR="009A6E63">
              <w:rPr>
                <w:color w:val="000000"/>
              </w:rPr>
              <w:t>6</w:t>
            </w:r>
            <w:r w:rsidRPr="00742566">
              <w:rPr>
                <w:color w:val="000000"/>
              </w:rPr>
              <w:t>0,000</w:t>
            </w:r>
            <w:r w:rsidR="004B661A">
              <w:rPr>
                <w:color w:val="000000"/>
              </w:rPr>
              <w:t xml:space="preserve"> (</w:t>
            </w:r>
            <w:r w:rsidR="009A6E63">
              <w:rPr>
                <w:color w:val="000000"/>
              </w:rPr>
              <w:t xml:space="preserve">$20,000 + </w:t>
            </w:r>
            <w:r w:rsidR="004B661A">
              <w:rPr>
                <w:color w:val="000000"/>
              </w:rPr>
              <w:t>$12,000</w:t>
            </w:r>
            <w:r w:rsidR="009A6E63">
              <w:rPr>
                <w:color w:val="000000"/>
              </w:rPr>
              <w:t>/</w:t>
            </w:r>
            <w:r w:rsidR="004B661A">
              <w:rPr>
                <w:color w:val="000000"/>
              </w:rPr>
              <w:t>year</w:t>
            </w:r>
            <w:r w:rsidR="009A6E63">
              <w:rPr>
                <w:color w:val="000000"/>
              </w:rPr>
              <w:t>)</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Improve bicycle infrastructure within campus</w:t>
            </w:r>
          </w:p>
        </w:tc>
        <w:tc>
          <w:tcPr>
            <w:tcW w:w="3510" w:type="dxa"/>
            <w:noWrap/>
          </w:tcPr>
          <w:p w:rsidR="005F4165" w:rsidRPr="00742566" w:rsidRDefault="009A6E63" w:rsidP="00464A63">
            <w:pPr>
              <w:rPr>
                <w:color w:val="000000"/>
              </w:rPr>
            </w:pPr>
            <w:r>
              <w:rPr>
                <w:color w:val="000000"/>
              </w:rPr>
              <w:t>One-time construction costs</w:t>
            </w:r>
          </w:p>
        </w:tc>
        <w:tc>
          <w:tcPr>
            <w:tcW w:w="1998" w:type="dxa"/>
            <w:vAlign w:val="center"/>
          </w:tcPr>
          <w:p w:rsidR="005F4165" w:rsidRPr="00742566" w:rsidRDefault="00DE2C95" w:rsidP="00DA0AC2">
            <w:pPr>
              <w:rPr>
                <w:color w:val="000000"/>
              </w:rPr>
            </w:pPr>
            <w:r>
              <w:rPr>
                <w:color w:val="000000"/>
              </w:rPr>
              <w:t>$</w:t>
            </w:r>
            <w:r w:rsidR="005F4165" w:rsidRPr="00742566">
              <w:rPr>
                <w:color w:val="000000"/>
              </w:rPr>
              <w:t xml:space="preserve">200,000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Work with the city to improve the quality and connectivity of bike lanes around campus</w:t>
            </w:r>
          </w:p>
        </w:tc>
        <w:tc>
          <w:tcPr>
            <w:tcW w:w="3510" w:type="dxa"/>
            <w:noWrap/>
          </w:tcPr>
          <w:p w:rsidR="005F4165" w:rsidRPr="00742566" w:rsidRDefault="00464A63" w:rsidP="00464A63">
            <w:pPr>
              <w:rPr>
                <w:color w:val="000000"/>
              </w:rPr>
            </w:pPr>
            <w:r>
              <w:rPr>
                <w:color w:val="000000"/>
              </w:rPr>
              <w:t>Costs for staff time</w:t>
            </w:r>
          </w:p>
        </w:tc>
        <w:tc>
          <w:tcPr>
            <w:tcW w:w="1998" w:type="dxa"/>
            <w:vAlign w:val="center"/>
          </w:tcPr>
          <w:p w:rsidR="005F4165" w:rsidRPr="00742566" w:rsidRDefault="00DE2C95" w:rsidP="009A6E63">
            <w:pPr>
              <w:rPr>
                <w:color w:val="000000"/>
              </w:rPr>
            </w:pPr>
            <w:r>
              <w:rPr>
                <w:color w:val="000000"/>
              </w:rPr>
              <w:t>$</w:t>
            </w:r>
            <w:r w:rsidR="009A6E63">
              <w:rPr>
                <w:color w:val="000000"/>
              </w:rPr>
              <w:t>4</w:t>
            </w:r>
            <w:r w:rsidR="005F4165" w:rsidRPr="00742566">
              <w:rPr>
                <w:color w:val="000000"/>
              </w:rPr>
              <w:t xml:space="preserve">0,000 </w:t>
            </w:r>
            <w:r w:rsidR="009A6E63">
              <w:rPr>
                <w:color w:val="000000"/>
              </w:rPr>
              <w:t>($2,000/year)</w:t>
            </w:r>
          </w:p>
        </w:tc>
      </w:tr>
      <w:tr w:rsidR="005F4165" w:rsidRPr="00742566" w:rsidTr="00464A63">
        <w:trPr>
          <w:trHeight w:val="289"/>
        </w:trPr>
        <w:tc>
          <w:tcPr>
            <w:tcW w:w="3708" w:type="dxa"/>
            <w:noWrap/>
            <w:hideMark/>
          </w:tcPr>
          <w:p w:rsidR="005F4165" w:rsidRPr="00742566" w:rsidRDefault="00413900" w:rsidP="00DA0AC2">
            <w:pPr>
              <w:pStyle w:val="ListParagraph"/>
              <w:numPr>
                <w:ilvl w:val="0"/>
                <w:numId w:val="38"/>
              </w:numPr>
            </w:pPr>
            <w:r>
              <w:t>Expand</w:t>
            </w:r>
            <w:r w:rsidR="005F4165" w:rsidRPr="00742566">
              <w:t xml:space="preserve"> bicycle theft prevention strategy</w:t>
            </w:r>
          </w:p>
        </w:tc>
        <w:tc>
          <w:tcPr>
            <w:tcW w:w="3510" w:type="dxa"/>
            <w:noWrap/>
          </w:tcPr>
          <w:p w:rsidR="005F4165" w:rsidRPr="00742566" w:rsidRDefault="00464A63" w:rsidP="00464A63">
            <w:pPr>
              <w:rPr>
                <w:color w:val="000000"/>
              </w:rPr>
            </w:pPr>
            <w:r>
              <w:rPr>
                <w:color w:val="000000"/>
              </w:rPr>
              <w:t>Costs for Duo guards, signage, education, U-locks</w:t>
            </w:r>
          </w:p>
        </w:tc>
        <w:tc>
          <w:tcPr>
            <w:tcW w:w="1998" w:type="dxa"/>
            <w:vAlign w:val="center"/>
          </w:tcPr>
          <w:p w:rsidR="005F4165" w:rsidRPr="00742566" w:rsidRDefault="005F4165" w:rsidP="00DA0AC2">
            <w:pPr>
              <w:rPr>
                <w:color w:val="000000"/>
              </w:rPr>
            </w:pPr>
            <w:r w:rsidRPr="00742566">
              <w:rPr>
                <w:color w:val="000000"/>
              </w:rPr>
              <w:t xml:space="preserve"> </w:t>
            </w:r>
            <w:r w:rsidR="00DE2C95">
              <w:rPr>
                <w:color w:val="000000"/>
              </w:rPr>
              <w:t>$</w:t>
            </w:r>
            <w:r w:rsidRPr="00742566">
              <w:rPr>
                <w:color w:val="000000"/>
              </w:rPr>
              <w:t xml:space="preserve">80,000 </w:t>
            </w:r>
          </w:p>
        </w:tc>
      </w:tr>
      <w:tr w:rsidR="005F4165" w:rsidRPr="00742566" w:rsidTr="00464A63">
        <w:trPr>
          <w:trHeight w:val="289"/>
        </w:trPr>
        <w:tc>
          <w:tcPr>
            <w:tcW w:w="3708" w:type="dxa"/>
            <w:shd w:val="clear" w:color="auto" w:fill="D9D9D9" w:themeFill="background1" w:themeFillShade="D9"/>
            <w:noWrap/>
            <w:hideMark/>
          </w:tcPr>
          <w:p w:rsidR="005F4165" w:rsidRPr="005F4165" w:rsidRDefault="005F4165" w:rsidP="00DA0AC2">
            <w:pPr>
              <w:rPr>
                <w:b/>
                <w:bCs/>
              </w:rPr>
            </w:pPr>
            <w:r w:rsidRPr="005F4165">
              <w:rPr>
                <w:b/>
                <w:bCs/>
              </w:rPr>
              <w:t>EXPANDING PUBLIC TRANSIT SERVICES</w:t>
            </w:r>
          </w:p>
        </w:tc>
        <w:tc>
          <w:tcPr>
            <w:tcW w:w="3510" w:type="dxa"/>
            <w:shd w:val="clear" w:color="auto" w:fill="D9D9D9" w:themeFill="background1" w:themeFillShade="D9"/>
            <w:noWrap/>
          </w:tcPr>
          <w:p w:rsidR="005F4165" w:rsidRPr="005F4165" w:rsidRDefault="005F4165" w:rsidP="00464A63">
            <w:pPr>
              <w:rPr>
                <w:b/>
                <w:bCs/>
              </w:rPr>
            </w:pPr>
            <w:r w:rsidRPr="005F4165">
              <w:rPr>
                <w:b/>
                <w:bCs/>
              </w:rPr>
              <w:t xml:space="preserve">Expanding the public transit available to the campus community will aid in reducing the </w:t>
            </w:r>
            <w:r w:rsidR="00464A63">
              <w:rPr>
                <w:b/>
                <w:bCs/>
              </w:rPr>
              <w:t>number of single occupancy vehicles.</w:t>
            </w:r>
          </w:p>
        </w:tc>
        <w:tc>
          <w:tcPr>
            <w:tcW w:w="1998" w:type="dxa"/>
            <w:shd w:val="clear" w:color="auto" w:fill="D9D9D9" w:themeFill="background1" w:themeFillShade="D9"/>
            <w:vAlign w:val="center"/>
          </w:tcPr>
          <w:p w:rsidR="005F4165" w:rsidRPr="005F4165" w:rsidRDefault="005F4165" w:rsidP="00B30938">
            <w:pPr>
              <w:rPr>
                <w:b/>
                <w:color w:val="000000"/>
              </w:rPr>
            </w:pPr>
            <w:r w:rsidRPr="005F4165">
              <w:rPr>
                <w:b/>
                <w:color w:val="000000"/>
              </w:rPr>
              <w:t xml:space="preserve"> </w:t>
            </w:r>
            <w:r w:rsidR="00DE2C95">
              <w:rPr>
                <w:b/>
                <w:color w:val="000000"/>
              </w:rPr>
              <w:t>$</w:t>
            </w:r>
            <w:r w:rsidRPr="005F4165">
              <w:rPr>
                <w:b/>
                <w:color w:val="000000"/>
              </w:rPr>
              <w:t>3,</w:t>
            </w:r>
            <w:r w:rsidR="00B30938">
              <w:rPr>
                <w:b/>
                <w:color w:val="000000"/>
              </w:rPr>
              <w:t>92</w:t>
            </w:r>
            <w:r w:rsidRPr="005F4165">
              <w:rPr>
                <w:b/>
                <w:color w:val="000000"/>
              </w:rPr>
              <w:t xml:space="preserve">0,000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 xml:space="preserve">Partner with Metro and other agencies to bring major bus lines to </w:t>
            </w:r>
            <w:r w:rsidR="00003853">
              <w:t xml:space="preserve">the </w:t>
            </w:r>
            <w:r w:rsidRPr="00742566">
              <w:t>CSUN Transit Station</w:t>
            </w:r>
          </w:p>
        </w:tc>
        <w:tc>
          <w:tcPr>
            <w:tcW w:w="3510" w:type="dxa"/>
            <w:noWrap/>
          </w:tcPr>
          <w:p w:rsidR="005F4165" w:rsidRPr="00742566" w:rsidRDefault="00464A63" w:rsidP="00464A63">
            <w:pPr>
              <w:rPr>
                <w:color w:val="000000"/>
              </w:rPr>
            </w:pPr>
            <w:r>
              <w:rPr>
                <w:color w:val="000000"/>
              </w:rPr>
              <w:t>Costs for staff time</w:t>
            </w:r>
          </w:p>
        </w:tc>
        <w:tc>
          <w:tcPr>
            <w:tcW w:w="1998" w:type="dxa"/>
            <w:vAlign w:val="center"/>
          </w:tcPr>
          <w:p w:rsidR="005F4165" w:rsidRPr="00742566" w:rsidRDefault="005F4165" w:rsidP="00464A63">
            <w:pPr>
              <w:rPr>
                <w:color w:val="000000"/>
              </w:rPr>
            </w:pPr>
            <w:r w:rsidRPr="00742566">
              <w:rPr>
                <w:color w:val="000000"/>
              </w:rPr>
              <w:t xml:space="preserve"> </w:t>
            </w:r>
            <w:r w:rsidR="00464A63">
              <w:rPr>
                <w:color w:val="000000"/>
              </w:rPr>
              <w:t>$4</w:t>
            </w:r>
            <w:r w:rsidR="00464A63" w:rsidRPr="00742566">
              <w:rPr>
                <w:color w:val="000000"/>
              </w:rPr>
              <w:t xml:space="preserve">0,000 </w:t>
            </w:r>
            <w:r w:rsidR="00464A63">
              <w:rPr>
                <w:color w:val="000000"/>
              </w:rPr>
              <w:t>($2,000/year)</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Increase the subsidy of transit passes for students and staff members, potentially providing a free transit pass program to students.</w:t>
            </w:r>
          </w:p>
        </w:tc>
        <w:tc>
          <w:tcPr>
            <w:tcW w:w="3510" w:type="dxa"/>
            <w:noWrap/>
          </w:tcPr>
          <w:p w:rsidR="005F4165" w:rsidRPr="00742566" w:rsidRDefault="00464A63" w:rsidP="00464A63">
            <w:pPr>
              <w:rPr>
                <w:color w:val="000000"/>
              </w:rPr>
            </w:pPr>
            <w:r>
              <w:rPr>
                <w:color w:val="000000"/>
              </w:rPr>
              <w:t>20 years of ongoing costs</w:t>
            </w:r>
          </w:p>
        </w:tc>
        <w:tc>
          <w:tcPr>
            <w:tcW w:w="1998" w:type="dxa"/>
            <w:vAlign w:val="center"/>
          </w:tcPr>
          <w:p w:rsidR="005F4165" w:rsidRPr="00742566" w:rsidRDefault="005F4165" w:rsidP="00DA0AC2">
            <w:pPr>
              <w:rPr>
                <w:color w:val="000000"/>
              </w:rPr>
            </w:pPr>
            <w:r w:rsidRPr="00742566">
              <w:rPr>
                <w:color w:val="000000"/>
              </w:rPr>
              <w:t xml:space="preserve"> </w:t>
            </w:r>
            <w:r w:rsidR="00DE2C95">
              <w:rPr>
                <w:color w:val="000000"/>
              </w:rPr>
              <w:t>$</w:t>
            </w:r>
            <w:r w:rsidRPr="00742566">
              <w:rPr>
                <w:color w:val="000000"/>
              </w:rPr>
              <w:t xml:space="preserve">3,840,000 </w:t>
            </w:r>
          </w:p>
        </w:tc>
      </w:tr>
      <w:tr w:rsidR="005F4165" w:rsidRPr="00742566" w:rsidTr="00464A63">
        <w:trPr>
          <w:trHeight w:val="289"/>
        </w:trPr>
        <w:tc>
          <w:tcPr>
            <w:tcW w:w="3708" w:type="dxa"/>
            <w:noWrap/>
            <w:hideMark/>
          </w:tcPr>
          <w:p w:rsidR="005F4165" w:rsidRPr="00742566" w:rsidRDefault="005F4165" w:rsidP="00003853">
            <w:pPr>
              <w:pStyle w:val="ListParagraph"/>
              <w:numPr>
                <w:ilvl w:val="0"/>
                <w:numId w:val="38"/>
              </w:numPr>
            </w:pPr>
            <w:r w:rsidRPr="00742566">
              <w:t xml:space="preserve">Partner with Metro, LADOT and the City to solve connectivity issues between CSUN and major transit </w:t>
            </w:r>
            <w:r w:rsidR="00003853">
              <w:t>hubs</w:t>
            </w:r>
          </w:p>
        </w:tc>
        <w:tc>
          <w:tcPr>
            <w:tcW w:w="3510" w:type="dxa"/>
            <w:noWrap/>
          </w:tcPr>
          <w:p w:rsidR="005F4165" w:rsidRPr="00742566" w:rsidRDefault="00464A63" w:rsidP="00464A63">
            <w:pPr>
              <w:rPr>
                <w:color w:val="000000"/>
              </w:rPr>
            </w:pPr>
            <w:r>
              <w:rPr>
                <w:color w:val="000000"/>
              </w:rPr>
              <w:t>Costs for staff time</w:t>
            </w:r>
          </w:p>
        </w:tc>
        <w:tc>
          <w:tcPr>
            <w:tcW w:w="1998" w:type="dxa"/>
            <w:vAlign w:val="center"/>
          </w:tcPr>
          <w:p w:rsidR="005F4165" w:rsidRPr="00742566" w:rsidRDefault="005F4165" w:rsidP="00464A63">
            <w:pPr>
              <w:rPr>
                <w:color w:val="000000"/>
              </w:rPr>
            </w:pPr>
            <w:r w:rsidRPr="00742566">
              <w:rPr>
                <w:color w:val="000000"/>
              </w:rPr>
              <w:t xml:space="preserve"> </w:t>
            </w:r>
            <w:r w:rsidR="00464A63">
              <w:rPr>
                <w:color w:val="000000"/>
              </w:rPr>
              <w:t>$4</w:t>
            </w:r>
            <w:r w:rsidR="00464A63" w:rsidRPr="00742566">
              <w:rPr>
                <w:color w:val="000000"/>
              </w:rPr>
              <w:t xml:space="preserve">0,000 </w:t>
            </w:r>
            <w:r w:rsidR="00464A63">
              <w:rPr>
                <w:color w:val="000000"/>
              </w:rPr>
              <w:t>($2,000/year)</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lastRenderedPageBreak/>
              <w:t>Priority class enrollment for students travelling by public transit</w:t>
            </w:r>
          </w:p>
        </w:tc>
        <w:tc>
          <w:tcPr>
            <w:tcW w:w="3510" w:type="dxa"/>
            <w:noWrap/>
          </w:tcPr>
          <w:p w:rsidR="005F4165" w:rsidRPr="00742566" w:rsidRDefault="005F4165" w:rsidP="00464A63">
            <w:pPr>
              <w:rPr>
                <w:color w:val="000000"/>
              </w:rPr>
            </w:pPr>
          </w:p>
        </w:tc>
        <w:tc>
          <w:tcPr>
            <w:tcW w:w="1998" w:type="dxa"/>
            <w:vAlign w:val="center"/>
          </w:tcPr>
          <w:p w:rsidR="005F4165" w:rsidRPr="00742566" w:rsidRDefault="005F4165" w:rsidP="00DA0AC2">
            <w:pPr>
              <w:rPr>
                <w:color w:val="000000"/>
              </w:rPr>
            </w:pPr>
          </w:p>
        </w:tc>
      </w:tr>
      <w:tr w:rsidR="005F4165" w:rsidRPr="00742566" w:rsidTr="00464A63">
        <w:trPr>
          <w:trHeight w:val="289"/>
        </w:trPr>
        <w:tc>
          <w:tcPr>
            <w:tcW w:w="3708" w:type="dxa"/>
            <w:shd w:val="clear" w:color="auto" w:fill="D9D9D9" w:themeFill="background1" w:themeFillShade="D9"/>
            <w:noWrap/>
            <w:hideMark/>
          </w:tcPr>
          <w:p w:rsidR="005F4165" w:rsidRPr="005F4165" w:rsidRDefault="005F4165" w:rsidP="00DA0AC2">
            <w:pPr>
              <w:rPr>
                <w:b/>
                <w:bCs/>
              </w:rPr>
            </w:pPr>
            <w:r w:rsidRPr="005F4165">
              <w:rPr>
                <w:b/>
                <w:bCs/>
              </w:rPr>
              <w:t>EXPANDING RIDESHARE PROGRAMS</w:t>
            </w:r>
          </w:p>
        </w:tc>
        <w:tc>
          <w:tcPr>
            <w:tcW w:w="3510" w:type="dxa"/>
            <w:shd w:val="clear" w:color="auto" w:fill="D9D9D9" w:themeFill="background1" w:themeFillShade="D9"/>
            <w:noWrap/>
          </w:tcPr>
          <w:p w:rsidR="005F4165" w:rsidRPr="005F4165" w:rsidRDefault="005F4165" w:rsidP="00464A63">
            <w:pPr>
              <w:rPr>
                <w:b/>
                <w:bCs/>
              </w:rPr>
            </w:pPr>
            <w:r w:rsidRPr="005F4165">
              <w:rPr>
                <w:b/>
                <w:bCs/>
              </w:rPr>
              <w:t xml:space="preserve">Expanding </w:t>
            </w:r>
            <w:r w:rsidR="00003853">
              <w:rPr>
                <w:b/>
                <w:bCs/>
              </w:rPr>
              <w:t>rideshare</w:t>
            </w:r>
            <w:r w:rsidRPr="005F4165">
              <w:rPr>
                <w:b/>
                <w:bCs/>
              </w:rPr>
              <w:t xml:space="preserve"> programs offer</w:t>
            </w:r>
            <w:r w:rsidR="00464A63">
              <w:rPr>
                <w:b/>
                <w:bCs/>
              </w:rPr>
              <w:t>ed</w:t>
            </w:r>
            <w:r w:rsidRPr="005F4165">
              <w:rPr>
                <w:b/>
                <w:bCs/>
              </w:rPr>
              <w:t xml:space="preserve"> will aid in reducing total vehicle miles traveled and the </w:t>
            </w:r>
            <w:r w:rsidR="00464A63">
              <w:rPr>
                <w:b/>
                <w:bCs/>
              </w:rPr>
              <w:t>number</w:t>
            </w:r>
            <w:r w:rsidRPr="005F4165">
              <w:rPr>
                <w:b/>
                <w:bCs/>
              </w:rPr>
              <w:t xml:space="preserve"> of single occupan</w:t>
            </w:r>
            <w:r w:rsidR="00464A63">
              <w:rPr>
                <w:b/>
                <w:bCs/>
              </w:rPr>
              <w:t>cy vehicles.</w:t>
            </w:r>
          </w:p>
        </w:tc>
        <w:tc>
          <w:tcPr>
            <w:tcW w:w="1998" w:type="dxa"/>
            <w:shd w:val="clear" w:color="auto" w:fill="D9D9D9" w:themeFill="background1" w:themeFillShade="D9"/>
            <w:vAlign w:val="center"/>
          </w:tcPr>
          <w:p w:rsidR="005F4165" w:rsidRPr="005F4165" w:rsidRDefault="005F4165" w:rsidP="00DA0AC2">
            <w:pPr>
              <w:rPr>
                <w:b/>
                <w:color w:val="000000"/>
              </w:rPr>
            </w:pPr>
            <w:r w:rsidRPr="005F4165">
              <w:rPr>
                <w:b/>
                <w:color w:val="000000"/>
              </w:rPr>
              <w:t xml:space="preserve"> </w:t>
            </w:r>
            <w:r w:rsidR="00DE2C95">
              <w:rPr>
                <w:b/>
                <w:color w:val="000000"/>
              </w:rPr>
              <w:t>$</w:t>
            </w:r>
            <w:r w:rsidR="00B30938">
              <w:rPr>
                <w:b/>
                <w:color w:val="000000"/>
              </w:rPr>
              <w:t>21</w:t>
            </w:r>
            <w:r w:rsidRPr="005F4165">
              <w:rPr>
                <w:b/>
                <w:color w:val="000000"/>
              </w:rPr>
              <w:t xml:space="preserve">5,000 </w:t>
            </w:r>
          </w:p>
        </w:tc>
      </w:tr>
      <w:tr w:rsidR="005F4165" w:rsidRPr="00742566" w:rsidTr="00464A63">
        <w:trPr>
          <w:trHeight w:val="300"/>
        </w:trPr>
        <w:tc>
          <w:tcPr>
            <w:tcW w:w="3708" w:type="dxa"/>
            <w:noWrap/>
            <w:hideMark/>
          </w:tcPr>
          <w:p w:rsidR="005F4165" w:rsidRPr="00742566" w:rsidRDefault="00003853" w:rsidP="00DA0AC2">
            <w:pPr>
              <w:pStyle w:val="ListParagraph"/>
              <w:numPr>
                <w:ilvl w:val="0"/>
                <w:numId w:val="38"/>
              </w:numPr>
            </w:pPr>
            <w:r>
              <w:t>Implement</w:t>
            </w:r>
            <w:r w:rsidRPr="00742566">
              <w:t xml:space="preserve"> </w:t>
            </w:r>
            <w:proofErr w:type="spellStart"/>
            <w:r w:rsidR="005F4165" w:rsidRPr="00742566">
              <w:t>Zimride</w:t>
            </w:r>
            <w:proofErr w:type="spellEnd"/>
            <w:r w:rsidR="005F4165" w:rsidRPr="00742566">
              <w:t xml:space="preserve"> – ridesharing</w:t>
            </w:r>
          </w:p>
        </w:tc>
        <w:tc>
          <w:tcPr>
            <w:tcW w:w="3510" w:type="dxa"/>
            <w:noWrap/>
          </w:tcPr>
          <w:p w:rsidR="005F4165" w:rsidRPr="00742566" w:rsidRDefault="00464A63" w:rsidP="00464A63">
            <w:pPr>
              <w:rPr>
                <w:color w:val="000000"/>
              </w:rPr>
            </w:pPr>
            <w:r>
              <w:rPr>
                <w:color w:val="000000"/>
              </w:rPr>
              <w:t>Annual program costs for 20 years</w:t>
            </w:r>
          </w:p>
        </w:tc>
        <w:tc>
          <w:tcPr>
            <w:tcW w:w="1998" w:type="dxa"/>
            <w:vAlign w:val="center"/>
          </w:tcPr>
          <w:p w:rsidR="005F4165" w:rsidRPr="00742566" w:rsidRDefault="005F4165" w:rsidP="00622A6A">
            <w:pPr>
              <w:rPr>
                <w:color w:val="000000"/>
              </w:rPr>
            </w:pPr>
            <w:r w:rsidRPr="00742566">
              <w:rPr>
                <w:color w:val="000000"/>
              </w:rPr>
              <w:t xml:space="preserve"> </w:t>
            </w:r>
            <w:r w:rsidR="00DE2C95">
              <w:rPr>
                <w:color w:val="000000"/>
              </w:rPr>
              <w:t>$</w:t>
            </w:r>
            <w:r w:rsidR="00464A63">
              <w:rPr>
                <w:color w:val="000000"/>
              </w:rPr>
              <w:t>14</w:t>
            </w:r>
            <w:r w:rsidR="00447243">
              <w:rPr>
                <w:color w:val="000000"/>
              </w:rPr>
              <w:t>0</w:t>
            </w:r>
            <w:r w:rsidRPr="00742566">
              <w:rPr>
                <w:color w:val="000000"/>
              </w:rPr>
              <w:t xml:space="preserve">,000 </w:t>
            </w:r>
            <w:r w:rsidR="00464A63">
              <w:rPr>
                <w:color w:val="000000"/>
              </w:rPr>
              <w:t>($7,000/year)</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Implement special parking zones to incentivize ridesharing</w:t>
            </w:r>
          </w:p>
        </w:tc>
        <w:tc>
          <w:tcPr>
            <w:tcW w:w="3510" w:type="dxa"/>
            <w:noWrap/>
          </w:tcPr>
          <w:p w:rsidR="005F4165" w:rsidRPr="00742566" w:rsidRDefault="00464A63" w:rsidP="00464A63">
            <w:pPr>
              <w:rPr>
                <w:color w:val="000000"/>
              </w:rPr>
            </w:pPr>
            <w:r>
              <w:rPr>
                <w:color w:val="000000"/>
              </w:rPr>
              <w:t>$1,000 per space converted includes costs of signage, passes etc.</w:t>
            </w:r>
          </w:p>
        </w:tc>
        <w:tc>
          <w:tcPr>
            <w:tcW w:w="1998" w:type="dxa"/>
            <w:vAlign w:val="center"/>
          </w:tcPr>
          <w:p w:rsidR="005F4165" w:rsidRPr="00742566" w:rsidRDefault="00DE2C95" w:rsidP="00464A63">
            <w:pPr>
              <w:rPr>
                <w:color w:val="000000"/>
              </w:rPr>
            </w:pPr>
            <w:r>
              <w:rPr>
                <w:color w:val="000000"/>
              </w:rPr>
              <w:t>$</w:t>
            </w:r>
            <w:r w:rsidR="00464A63">
              <w:rPr>
                <w:color w:val="000000"/>
              </w:rPr>
              <w:t>40</w:t>
            </w:r>
            <w:r w:rsidR="005F4165" w:rsidRPr="00742566">
              <w:rPr>
                <w:color w:val="000000"/>
              </w:rPr>
              <w:t xml:space="preserve">,000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 xml:space="preserve">Auto-enroll students in </w:t>
            </w:r>
            <w:r w:rsidR="00003853">
              <w:t xml:space="preserve">the </w:t>
            </w:r>
            <w:r w:rsidRPr="00742566">
              <w:t>rideshare program upon class enrolment through SOLAR</w:t>
            </w:r>
          </w:p>
        </w:tc>
        <w:tc>
          <w:tcPr>
            <w:tcW w:w="3510" w:type="dxa"/>
            <w:noWrap/>
          </w:tcPr>
          <w:p w:rsidR="005F4165" w:rsidRPr="00742566" w:rsidRDefault="00464A63" w:rsidP="00464A63">
            <w:pPr>
              <w:rPr>
                <w:color w:val="000000"/>
              </w:rPr>
            </w:pPr>
            <w:r>
              <w:rPr>
                <w:color w:val="000000"/>
              </w:rPr>
              <w:t>One-time staff costs</w:t>
            </w:r>
          </w:p>
        </w:tc>
        <w:tc>
          <w:tcPr>
            <w:tcW w:w="1998" w:type="dxa"/>
            <w:vAlign w:val="center"/>
          </w:tcPr>
          <w:p w:rsidR="005F4165" w:rsidRPr="00742566" w:rsidRDefault="00DE2C95" w:rsidP="00DA0AC2">
            <w:pPr>
              <w:rPr>
                <w:color w:val="000000"/>
              </w:rPr>
            </w:pPr>
            <w:r>
              <w:rPr>
                <w:color w:val="000000"/>
              </w:rPr>
              <w:t>$</w:t>
            </w:r>
            <w:r w:rsidR="005F4165" w:rsidRPr="00742566">
              <w:rPr>
                <w:color w:val="000000"/>
              </w:rPr>
              <w:t xml:space="preserve">35,000 </w:t>
            </w:r>
          </w:p>
        </w:tc>
      </w:tr>
      <w:tr w:rsidR="005F4165" w:rsidRPr="00742566" w:rsidTr="00464A63">
        <w:trPr>
          <w:trHeight w:val="289"/>
        </w:trPr>
        <w:tc>
          <w:tcPr>
            <w:tcW w:w="3708" w:type="dxa"/>
            <w:shd w:val="clear" w:color="auto" w:fill="D9D9D9" w:themeFill="background1" w:themeFillShade="D9"/>
            <w:noWrap/>
            <w:hideMark/>
          </w:tcPr>
          <w:p w:rsidR="005F4165" w:rsidRPr="005F4165" w:rsidRDefault="005F4165" w:rsidP="00DA0AC2">
            <w:pPr>
              <w:rPr>
                <w:b/>
                <w:bCs/>
              </w:rPr>
            </w:pPr>
            <w:r w:rsidRPr="005F4165">
              <w:rPr>
                <w:b/>
                <w:bCs/>
              </w:rPr>
              <w:t>PARKING MANAGEMENT</w:t>
            </w:r>
          </w:p>
        </w:tc>
        <w:tc>
          <w:tcPr>
            <w:tcW w:w="3510" w:type="dxa"/>
            <w:shd w:val="clear" w:color="auto" w:fill="D9D9D9" w:themeFill="background1" w:themeFillShade="D9"/>
            <w:noWrap/>
          </w:tcPr>
          <w:p w:rsidR="005F4165" w:rsidRPr="005F4165" w:rsidRDefault="005F4165" w:rsidP="00464A63">
            <w:pPr>
              <w:rPr>
                <w:b/>
                <w:bCs/>
              </w:rPr>
            </w:pPr>
            <w:r w:rsidRPr="005F4165">
              <w:rPr>
                <w:b/>
                <w:bCs/>
              </w:rPr>
              <w:t>Managing parking</w:t>
            </w:r>
            <w:r w:rsidR="00464A63">
              <w:rPr>
                <w:b/>
                <w:bCs/>
              </w:rPr>
              <w:t xml:space="preserve"> and</w:t>
            </w:r>
            <w:r w:rsidRPr="005F4165">
              <w:rPr>
                <w:b/>
                <w:bCs/>
              </w:rPr>
              <w:t xml:space="preserve"> limiting the </w:t>
            </w:r>
            <w:r w:rsidR="00364A09">
              <w:rPr>
                <w:b/>
                <w:bCs/>
              </w:rPr>
              <w:t>number</w:t>
            </w:r>
            <w:r w:rsidRPr="005F4165">
              <w:rPr>
                <w:b/>
                <w:bCs/>
              </w:rPr>
              <w:t xml:space="preserve"> of vehicles </w:t>
            </w:r>
            <w:r w:rsidR="00464A63">
              <w:rPr>
                <w:b/>
                <w:bCs/>
              </w:rPr>
              <w:t>permitted</w:t>
            </w:r>
            <w:r w:rsidRPr="005F4165">
              <w:rPr>
                <w:b/>
                <w:bCs/>
              </w:rPr>
              <w:t xml:space="preserve"> to park on campus will </w:t>
            </w:r>
            <w:r w:rsidR="00464A63">
              <w:rPr>
                <w:b/>
                <w:bCs/>
              </w:rPr>
              <w:t>incentivize a transition to</w:t>
            </w:r>
            <w:r w:rsidRPr="005F4165">
              <w:rPr>
                <w:b/>
                <w:bCs/>
              </w:rPr>
              <w:t xml:space="preserve"> other modes of travel.</w:t>
            </w:r>
          </w:p>
        </w:tc>
        <w:tc>
          <w:tcPr>
            <w:tcW w:w="1998" w:type="dxa"/>
            <w:shd w:val="clear" w:color="auto" w:fill="D9D9D9" w:themeFill="background1" w:themeFillShade="D9"/>
            <w:vAlign w:val="center"/>
          </w:tcPr>
          <w:p w:rsidR="005F4165" w:rsidRPr="005F4165" w:rsidRDefault="005F4165" w:rsidP="00DA0AC2">
            <w:pPr>
              <w:rPr>
                <w:b/>
                <w:color w:val="000000"/>
              </w:rPr>
            </w:pPr>
            <w:r w:rsidRPr="005F4165">
              <w:rPr>
                <w:b/>
                <w:color w:val="000000"/>
              </w:rPr>
              <w:t xml:space="preserve"> </w:t>
            </w:r>
            <w:r w:rsidR="00DE2C95">
              <w:rPr>
                <w:b/>
                <w:color w:val="000000"/>
              </w:rPr>
              <w:t>$</w:t>
            </w:r>
            <w:r w:rsidRPr="005F4165">
              <w:rPr>
                <w:b/>
                <w:color w:val="000000"/>
              </w:rPr>
              <w:t xml:space="preserve">505,000 </w:t>
            </w:r>
          </w:p>
        </w:tc>
      </w:tr>
      <w:tr w:rsidR="005F4165" w:rsidRPr="00742566" w:rsidTr="00464A63">
        <w:trPr>
          <w:trHeight w:val="289"/>
        </w:trPr>
        <w:tc>
          <w:tcPr>
            <w:tcW w:w="3708" w:type="dxa"/>
            <w:noWrap/>
            <w:hideMark/>
          </w:tcPr>
          <w:p w:rsidR="005F4165" w:rsidRPr="00742566" w:rsidRDefault="005F4165" w:rsidP="008F0510">
            <w:pPr>
              <w:pStyle w:val="ListParagraph"/>
              <w:numPr>
                <w:ilvl w:val="0"/>
                <w:numId w:val="38"/>
              </w:numPr>
            </w:pPr>
            <w:r w:rsidRPr="00742566">
              <w:t xml:space="preserve">Limit number of </w:t>
            </w:r>
            <w:r w:rsidR="008F0510" w:rsidRPr="00742566">
              <w:t>housing parking permit</w:t>
            </w:r>
            <w:r w:rsidR="008F0510">
              <w:t>s</w:t>
            </w:r>
            <w:r w:rsidR="008F0510" w:rsidRPr="00742566">
              <w:t xml:space="preserve"> </w:t>
            </w:r>
            <w:r w:rsidR="008F0510">
              <w:t>to</w:t>
            </w:r>
            <w:r w:rsidRPr="00742566">
              <w:t xml:space="preserve"> </w:t>
            </w:r>
            <w:r w:rsidR="0079093A">
              <w:t xml:space="preserve">current </w:t>
            </w:r>
            <w:r w:rsidR="008F0510">
              <w:t xml:space="preserve">housing </w:t>
            </w:r>
            <w:r w:rsidR="0079093A">
              <w:t xml:space="preserve">parking capacity </w:t>
            </w:r>
          </w:p>
        </w:tc>
        <w:tc>
          <w:tcPr>
            <w:tcW w:w="3510" w:type="dxa"/>
            <w:noWrap/>
          </w:tcPr>
          <w:p w:rsidR="005F4165" w:rsidRPr="00742566" w:rsidRDefault="005F4165" w:rsidP="00464A63">
            <w:pPr>
              <w:rPr>
                <w:color w:val="000000"/>
              </w:rPr>
            </w:pPr>
          </w:p>
        </w:tc>
        <w:tc>
          <w:tcPr>
            <w:tcW w:w="1998" w:type="dxa"/>
            <w:vAlign w:val="center"/>
          </w:tcPr>
          <w:p w:rsidR="005F4165" w:rsidRPr="00742566" w:rsidRDefault="005F4165" w:rsidP="00DA0AC2">
            <w:pPr>
              <w:rPr>
                <w:color w:val="000000"/>
              </w:rPr>
            </w:pPr>
            <w:r w:rsidRPr="00742566">
              <w:rPr>
                <w:color w:val="000000"/>
              </w:rPr>
              <w:t>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Install real-time information system that tells drivers where parking is available</w:t>
            </w:r>
            <w:r w:rsidR="00003853">
              <w:t>,</w:t>
            </w:r>
            <w:r w:rsidRPr="00742566">
              <w:t xml:space="preserve"> reducing the need to circle in search of parking.</w:t>
            </w:r>
          </w:p>
        </w:tc>
        <w:tc>
          <w:tcPr>
            <w:tcW w:w="3510" w:type="dxa"/>
            <w:noWrap/>
          </w:tcPr>
          <w:p w:rsidR="005F4165" w:rsidRPr="00742566" w:rsidRDefault="008F0510" w:rsidP="008F0510">
            <w:pPr>
              <w:rPr>
                <w:color w:val="000000"/>
              </w:rPr>
            </w:pPr>
            <w:r>
              <w:rPr>
                <w:color w:val="000000"/>
              </w:rPr>
              <w:t>Costs for installation of license plate readers and associated software for four structures.</w:t>
            </w:r>
          </w:p>
        </w:tc>
        <w:tc>
          <w:tcPr>
            <w:tcW w:w="1998" w:type="dxa"/>
            <w:vAlign w:val="center"/>
          </w:tcPr>
          <w:p w:rsidR="005F4165" w:rsidRPr="00742566" w:rsidRDefault="005F4165" w:rsidP="00DA0AC2">
            <w:pPr>
              <w:rPr>
                <w:color w:val="000000"/>
              </w:rPr>
            </w:pPr>
            <w:r w:rsidRPr="00742566">
              <w:rPr>
                <w:color w:val="000000"/>
              </w:rPr>
              <w:t xml:space="preserve"> </w:t>
            </w:r>
            <w:r w:rsidR="00DE2C95">
              <w:rPr>
                <w:color w:val="000000"/>
              </w:rPr>
              <w:t>$</w:t>
            </w:r>
            <w:r w:rsidRPr="00742566">
              <w:rPr>
                <w:color w:val="000000"/>
              </w:rPr>
              <w:t xml:space="preserve">500,000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Do not allow use of housing parking permit</w:t>
            </w:r>
            <w:r w:rsidR="00003853">
              <w:t>s</w:t>
            </w:r>
            <w:r w:rsidRPr="00742566">
              <w:t xml:space="preserve"> for parking on campus.</w:t>
            </w:r>
          </w:p>
        </w:tc>
        <w:tc>
          <w:tcPr>
            <w:tcW w:w="3510" w:type="dxa"/>
            <w:noWrap/>
          </w:tcPr>
          <w:p w:rsidR="005F4165" w:rsidRPr="00742566" w:rsidRDefault="008F0510" w:rsidP="00464A63">
            <w:pPr>
              <w:rPr>
                <w:color w:val="000000"/>
              </w:rPr>
            </w:pPr>
            <w:r>
              <w:rPr>
                <w:color w:val="000000"/>
              </w:rPr>
              <w:t>Staff and signage cost</w:t>
            </w:r>
          </w:p>
        </w:tc>
        <w:tc>
          <w:tcPr>
            <w:tcW w:w="1998" w:type="dxa"/>
            <w:vAlign w:val="center"/>
          </w:tcPr>
          <w:p w:rsidR="005F4165" w:rsidRPr="00742566" w:rsidRDefault="005F4165" w:rsidP="00DA0AC2">
            <w:pPr>
              <w:rPr>
                <w:color w:val="000000"/>
              </w:rPr>
            </w:pPr>
            <w:r w:rsidRPr="00742566">
              <w:rPr>
                <w:color w:val="000000"/>
              </w:rPr>
              <w:t xml:space="preserve"> </w:t>
            </w:r>
            <w:r w:rsidR="00DE2C95">
              <w:rPr>
                <w:color w:val="000000"/>
              </w:rPr>
              <w:t>$</w:t>
            </w:r>
            <w:r w:rsidRPr="00742566">
              <w:rPr>
                <w:color w:val="000000"/>
              </w:rPr>
              <w:t xml:space="preserve">5,000 </w:t>
            </w:r>
          </w:p>
        </w:tc>
      </w:tr>
      <w:tr w:rsidR="005F4165" w:rsidRPr="00742566" w:rsidTr="00464A63">
        <w:trPr>
          <w:trHeight w:val="289"/>
        </w:trPr>
        <w:tc>
          <w:tcPr>
            <w:tcW w:w="3708" w:type="dxa"/>
            <w:shd w:val="clear" w:color="auto" w:fill="D9D9D9" w:themeFill="background1" w:themeFillShade="D9"/>
            <w:noWrap/>
            <w:hideMark/>
          </w:tcPr>
          <w:p w:rsidR="005F4165" w:rsidRPr="005F4165" w:rsidRDefault="005F4165" w:rsidP="00DA0AC2">
            <w:pPr>
              <w:rPr>
                <w:b/>
                <w:bCs/>
              </w:rPr>
            </w:pPr>
            <w:r w:rsidRPr="005F4165">
              <w:rPr>
                <w:b/>
                <w:bCs/>
              </w:rPr>
              <w:t>PROVIDE SHUTTLE SERVICES</w:t>
            </w:r>
          </w:p>
        </w:tc>
        <w:tc>
          <w:tcPr>
            <w:tcW w:w="3510" w:type="dxa"/>
            <w:shd w:val="clear" w:color="auto" w:fill="D9D9D9" w:themeFill="background1" w:themeFillShade="D9"/>
            <w:noWrap/>
          </w:tcPr>
          <w:p w:rsidR="005F4165" w:rsidRPr="005F4165" w:rsidRDefault="005F4165" w:rsidP="008F0510">
            <w:pPr>
              <w:rPr>
                <w:b/>
                <w:bCs/>
              </w:rPr>
            </w:pPr>
            <w:r w:rsidRPr="005F4165">
              <w:rPr>
                <w:b/>
                <w:bCs/>
              </w:rPr>
              <w:t xml:space="preserve">Repurposing the housing shuttle to service off campus dwellers will </w:t>
            </w:r>
            <w:r w:rsidR="008F0510">
              <w:rPr>
                <w:b/>
                <w:bCs/>
              </w:rPr>
              <w:t>reduce vehicle traffic</w:t>
            </w:r>
            <w:r w:rsidR="00791DA5">
              <w:rPr>
                <w:b/>
                <w:bCs/>
              </w:rPr>
              <w:t xml:space="preserve"> to campus.</w:t>
            </w:r>
          </w:p>
        </w:tc>
        <w:tc>
          <w:tcPr>
            <w:tcW w:w="1998" w:type="dxa"/>
            <w:shd w:val="clear" w:color="auto" w:fill="D9D9D9" w:themeFill="background1" w:themeFillShade="D9"/>
            <w:vAlign w:val="center"/>
          </w:tcPr>
          <w:p w:rsidR="005F4165" w:rsidRPr="005F4165" w:rsidRDefault="005F4165" w:rsidP="00B30938">
            <w:pPr>
              <w:rPr>
                <w:b/>
                <w:color w:val="000000"/>
              </w:rPr>
            </w:pPr>
            <w:r w:rsidRPr="005F4165">
              <w:rPr>
                <w:b/>
                <w:color w:val="000000"/>
              </w:rPr>
              <w:t xml:space="preserve"> </w:t>
            </w:r>
            <w:r w:rsidR="00DE2C95">
              <w:rPr>
                <w:b/>
                <w:color w:val="000000"/>
              </w:rPr>
              <w:t>$</w:t>
            </w:r>
            <w:r w:rsidR="00B30938">
              <w:rPr>
                <w:b/>
                <w:color w:val="000000"/>
              </w:rPr>
              <w:t>10,20</w:t>
            </w:r>
            <w:r w:rsidRPr="005F4165">
              <w:rPr>
                <w:b/>
                <w:color w:val="000000"/>
              </w:rPr>
              <w:t xml:space="preserve">0,000 </w:t>
            </w:r>
          </w:p>
        </w:tc>
      </w:tr>
      <w:tr w:rsidR="005F4165" w:rsidRPr="00742566" w:rsidTr="00464A63">
        <w:trPr>
          <w:trHeight w:val="289"/>
        </w:trPr>
        <w:tc>
          <w:tcPr>
            <w:tcW w:w="3708" w:type="dxa"/>
            <w:noWrap/>
            <w:hideMark/>
          </w:tcPr>
          <w:p w:rsidR="005F4165" w:rsidRPr="00703007" w:rsidRDefault="00791DA5" w:rsidP="00791DA5">
            <w:pPr>
              <w:pStyle w:val="ListParagraph"/>
              <w:numPr>
                <w:ilvl w:val="0"/>
                <w:numId w:val="38"/>
              </w:numPr>
            </w:pPr>
            <w:r w:rsidRPr="00703007">
              <w:t>Replace housing shuttle with shuttle providing service within three miles of campus</w:t>
            </w:r>
          </w:p>
        </w:tc>
        <w:tc>
          <w:tcPr>
            <w:tcW w:w="3510" w:type="dxa"/>
            <w:noWrap/>
          </w:tcPr>
          <w:p w:rsidR="005F4165" w:rsidRPr="00742566" w:rsidRDefault="008F0510" w:rsidP="00464A63">
            <w:r>
              <w:t>Annual program cost over twenty years</w:t>
            </w:r>
          </w:p>
        </w:tc>
        <w:tc>
          <w:tcPr>
            <w:tcW w:w="1998" w:type="dxa"/>
            <w:vAlign w:val="center"/>
          </w:tcPr>
          <w:p w:rsidR="005F4165" w:rsidRPr="00742566" w:rsidRDefault="005F4165" w:rsidP="00DA0AC2">
            <w:pPr>
              <w:rPr>
                <w:color w:val="000000"/>
              </w:rPr>
            </w:pPr>
            <w:r w:rsidRPr="00742566">
              <w:rPr>
                <w:color w:val="000000"/>
              </w:rPr>
              <w:t xml:space="preserve"> </w:t>
            </w:r>
            <w:r w:rsidR="00DE2C95">
              <w:rPr>
                <w:color w:val="000000"/>
              </w:rPr>
              <w:t>$</w:t>
            </w:r>
            <w:r w:rsidR="008F0510">
              <w:rPr>
                <w:color w:val="000000"/>
              </w:rPr>
              <w:t>10,200,000 ($</w:t>
            </w:r>
            <w:r w:rsidRPr="00742566">
              <w:rPr>
                <w:color w:val="000000"/>
              </w:rPr>
              <w:t>510,000</w:t>
            </w:r>
            <w:r w:rsidR="008F0510">
              <w:rPr>
                <w:color w:val="000000"/>
              </w:rPr>
              <w:t>/year)</w:t>
            </w:r>
            <w:r w:rsidRPr="00742566">
              <w:rPr>
                <w:color w:val="000000"/>
              </w:rPr>
              <w:t xml:space="preserve"> </w:t>
            </w:r>
          </w:p>
        </w:tc>
      </w:tr>
      <w:tr w:rsidR="005F4165" w:rsidRPr="00742566" w:rsidTr="00464A63">
        <w:trPr>
          <w:trHeight w:val="289"/>
        </w:trPr>
        <w:tc>
          <w:tcPr>
            <w:tcW w:w="3708" w:type="dxa"/>
            <w:shd w:val="clear" w:color="auto" w:fill="D9D9D9" w:themeFill="background1" w:themeFillShade="D9"/>
            <w:noWrap/>
            <w:hideMark/>
          </w:tcPr>
          <w:p w:rsidR="005F4165" w:rsidRPr="005F4165" w:rsidRDefault="005F4165" w:rsidP="00DA0AC2">
            <w:pPr>
              <w:rPr>
                <w:b/>
                <w:bCs/>
              </w:rPr>
            </w:pPr>
            <w:r w:rsidRPr="005F4165">
              <w:rPr>
                <w:b/>
                <w:bCs/>
              </w:rPr>
              <w:t>EXPANDING ELECTRIC CAR CHARGING STATIONS</w:t>
            </w:r>
          </w:p>
        </w:tc>
        <w:tc>
          <w:tcPr>
            <w:tcW w:w="3510" w:type="dxa"/>
            <w:shd w:val="clear" w:color="auto" w:fill="D9D9D9" w:themeFill="background1" w:themeFillShade="D9"/>
            <w:noWrap/>
          </w:tcPr>
          <w:p w:rsidR="005F4165" w:rsidRPr="005F4165" w:rsidRDefault="005F4165" w:rsidP="008F0510">
            <w:pPr>
              <w:rPr>
                <w:b/>
                <w:bCs/>
              </w:rPr>
            </w:pPr>
            <w:r w:rsidRPr="005F4165">
              <w:rPr>
                <w:b/>
                <w:bCs/>
              </w:rPr>
              <w:t xml:space="preserve">Expanding CSUN’s EV </w:t>
            </w:r>
            <w:r w:rsidR="005974E5">
              <w:rPr>
                <w:b/>
                <w:bCs/>
              </w:rPr>
              <w:t>c</w:t>
            </w:r>
            <w:r w:rsidRPr="005F4165">
              <w:rPr>
                <w:b/>
                <w:bCs/>
              </w:rPr>
              <w:t>har</w:t>
            </w:r>
            <w:r w:rsidR="005974E5">
              <w:rPr>
                <w:b/>
                <w:bCs/>
              </w:rPr>
              <w:t>g</w:t>
            </w:r>
            <w:r w:rsidRPr="005F4165">
              <w:rPr>
                <w:b/>
                <w:bCs/>
              </w:rPr>
              <w:t xml:space="preserve">ing stations will promote the use of </w:t>
            </w:r>
            <w:r w:rsidR="008F0510">
              <w:rPr>
                <w:b/>
                <w:bCs/>
              </w:rPr>
              <w:t>electric</w:t>
            </w:r>
            <w:r w:rsidRPr="005F4165">
              <w:rPr>
                <w:b/>
                <w:bCs/>
              </w:rPr>
              <w:t xml:space="preserve"> vehicles, </w:t>
            </w:r>
            <w:r w:rsidR="008F0510">
              <w:rPr>
                <w:b/>
                <w:bCs/>
              </w:rPr>
              <w:t>r</w:t>
            </w:r>
            <w:r w:rsidRPr="005F4165">
              <w:rPr>
                <w:b/>
                <w:bCs/>
              </w:rPr>
              <w:t xml:space="preserve">educing </w:t>
            </w:r>
            <w:r w:rsidR="008F0510">
              <w:rPr>
                <w:b/>
                <w:bCs/>
              </w:rPr>
              <w:t>CO</w:t>
            </w:r>
            <w:r w:rsidR="008F0510">
              <w:rPr>
                <w:b/>
                <w:bCs/>
                <w:vertAlign w:val="subscript"/>
              </w:rPr>
              <w:t>2</w:t>
            </w:r>
            <w:r w:rsidR="008F0510">
              <w:rPr>
                <w:b/>
                <w:bCs/>
              </w:rPr>
              <w:t xml:space="preserve"> </w:t>
            </w:r>
            <w:r w:rsidRPr="005F4165">
              <w:rPr>
                <w:b/>
                <w:bCs/>
              </w:rPr>
              <w:t>emissions.</w:t>
            </w:r>
          </w:p>
        </w:tc>
        <w:tc>
          <w:tcPr>
            <w:tcW w:w="1998" w:type="dxa"/>
            <w:shd w:val="clear" w:color="auto" w:fill="D9D9D9" w:themeFill="background1" w:themeFillShade="D9"/>
            <w:vAlign w:val="center"/>
          </w:tcPr>
          <w:p w:rsidR="005F4165" w:rsidRPr="005F4165" w:rsidRDefault="00DE2C95" w:rsidP="00B30938">
            <w:pPr>
              <w:rPr>
                <w:b/>
                <w:color w:val="000000"/>
              </w:rPr>
            </w:pPr>
            <w:r>
              <w:rPr>
                <w:b/>
                <w:color w:val="000000"/>
              </w:rPr>
              <w:t>$</w:t>
            </w:r>
            <w:r w:rsidR="00B30938">
              <w:rPr>
                <w:b/>
                <w:color w:val="000000"/>
              </w:rPr>
              <w:t>42</w:t>
            </w:r>
            <w:r w:rsidR="005F4165" w:rsidRPr="005F4165">
              <w:rPr>
                <w:b/>
                <w:color w:val="000000"/>
              </w:rPr>
              <w:t xml:space="preserve">,000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 xml:space="preserve">Add electric car charging stations </w:t>
            </w:r>
            <w:r w:rsidR="00003853">
              <w:t>o</w:t>
            </w:r>
            <w:r w:rsidRPr="00742566">
              <w:t xml:space="preserve">n campus </w:t>
            </w:r>
          </w:p>
        </w:tc>
        <w:tc>
          <w:tcPr>
            <w:tcW w:w="3510" w:type="dxa"/>
            <w:noWrap/>
          </w:tcPr>
          <w:p w:rsidR="005F4165" w:rsidRPr="00742566" w:rsidRDefault="008F0510" w:rsidP="00464A63">
            <w:pPr>
              <w:rPr>
                <w:color w:val="000000"/>
              </w:rPr>
            </w:pPr>
            <w:r>
              <w:rPr>
                <w:color w:val="000000"/>
              </w:rPr>
              <w:t>Costs for twenty chargers at an installation cost of $2,100 each.</w:t>
            </w:r>
          </w:p>
        </w:tc>
        <w:tc>
          <w:tcPr>
            <w:tcW w:w="1998" w:type="dxa"/>
            <w:vAlign w:val="center"/>
          </w:tcPr>
          <w:p w:rsidR="005F4165" w:rsidRPr="00742566" w:rsidRDefault="005F4165" w:rsidP="008F0510">
            <w:pPr>
              <w:rPr>
                <w:color w:val="000000"/>
              </w:rPr>
            </w:pPr>
            <w:r w:rsidRPr="00742566">
              <w:rPr>
                <w:color w:val="000000"/>
              </w:rPr>
              <w:t xml:space="preserve"> </w:t>
            </w:r>
            <w:r w:rsidR="00DE2C95">
              <w:rPr>
                <w:color w:val="000000"/>
              </w:rPr>
              <w:t>$</w:t>
            </w:r>
            <w:r w:rsidR="008F0510">
              <w:rPr>
                <w:color w:val="000000"/>
              </w:rPr>
              <w:t>42,000</w:t>
            </w:r>
            <w:r w:rsidRPr="00742566">
              <w:rPr>
                <w:color w:val="000000"/>
              </w:rPr>
              <w:t xml:space="preserve"> </w:t>
            </w:r>
          </w:p>
        </w:tc>
      </w:tr>
      <w:tr w:rsidR="005F4165" w:rsidRPr="00742566" w:rsidTr="00464A63">
        <w:trPr>
          <w:trHeight w:val="289"/>
        </w:trPr>
        <w:tc>
          <w:tcPr>
            <w:tcW w:w="3708" w:type="dxa"/>
            <w:shd w:val="clear" w:color="auto" w:fill="D9D9D9" w:themeFill="background1" w:themeFillShade="D9"/>
            <w:noWrap/>
            <w:hideMark/>
          </w:tcPr>
          <w:p w:rsidR="005F4165" w:rsidRPr="005F4165" w:rsidRDefault="005F4165" w:rsidP="00DA0AC2">
            <w:pPr>
              <w:rPr>
                <w:b/>
                <w:bCs/>
              </w:rPr>
            </w:pPr>
            <w:r w:rsidRPr="005F4165">
              <w:rPr>
                <w:b/>
                <w:bCs/>
              </w:rPr>
              <w:lastRenderedPageBreak/>
              <w:t>OTHER INTERVENTIONS</w:t>
            </w:r>
          </w:p>
        </w:tc>
        <w:tc>
          <w:tcPr>
            <w:tcW w:w="3510" w:type="dxa"/>
            <w:shd w:val="clear" w:color="auto" w:fill="D9D9D9" w:themeFill="background1" w:themeFillShade="D9"/>
            <w:noWrap/>
          </w:tcPr>
          <w:p w:rsidR="005F4165" w:rsidRPr="005F4165" w:rsidRDefault="005F4165" w:rsidP="008F0510">
            <w:pPr>
              <w:rPr>
                <w:b/>
                <w:bCs/>
              </w:rPr>
            </w:pPr>
            <w:r w:rsidRPr="005F4165">
              <w:rPr>
                <w:b/>
                <w:bCs/>
              </w:rPr>
              <w:t xml:space="preserve">These strategies support our goal </w:t>
            </w:r>
            <w:r w:rsidR="008F0510">
              <w:rPr>
                <w:b/>
                <w:bCs/>
              </w:rPr>
              <w:t>by reducing total commuting miles</w:t>
            </w:r>
            <w:r w:rsidRPr="005F4165">
              <w:rPr>
                <w:b/>
                <w:bCs/>
              </w:rPr>
              <w:t xml:space="preserve"> to campus.</w:t>
            </w:r>
          </w:p>
        </w:tc>
        <w:tc>
          <w:tcPr>
            <w:tcW w:w="1998" w:type="dxa"/>
            <w:shd w:val="clear" w:color="auto" w:fill="D9D9D9" w:themeFill="background1" w:themeFillShade="D9"/>
            <w:vAlign w:val="center"/>
          </w:tcPr>
          <w:p w:rsidR="005F4165" w:rsidRPr="005F4165" w:rsidRDefault="00DE2C95" w:rsidP="00B30938">
            <w:pPr>
              <w:rPr>
                <w:b/>
                <w:color w:val="000000"/>
              </w:rPr>
            </w:pPr>
            <w:r>
              <w:rPr>
                <w:b/>
                <w:color w:val="000000"/>
              </w:rPr>
              <w:t>$</w:t>
            </w:r>
            <w:r w:rsidR="005F4165" w:rsidRPr="005F4165">
              <w:rPr>
                <w:b/>
                <w:color w:val="000000"/>
              </w:rPr>
              <w:t>2</w:t>
            </w:r>
            <w:r w:rsidR="00B30938">
              <w:rPr>
                <w:b/>
                <w:color w:val="000000"/>
              </w:rPr>
              <w:t>57</w:t>
            </w:r>
            <w:r w:rsidR="005F4165" w:rsidRPr="005F4165">
              <w:rPr>
                <w:b/>
                <w:color w:val="000000"/>
              </w:rPr>
              <w:t xml:space="preserve">,960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 xml:space="preserve">Expand student housing (with </w:t>
            </w:r>
            <w:r w:rsidR="00413900">
              <w:t xml:space="preserve">a </w:t>
            </w:r>
            <w:r w:rsidRPr="00742566">
              <w:t>no</w:t>
            </w:r>
            <w:r w:rsidR="00413900">
              <w:t>-</w:t>
            </w:r>
            <w:r w:rsidRPr="00742566">
              <w:t>car policy, bike rental and rideshare programs)</w:t>
            </w:r>
          </w:p>
        </w:tc>
        <w:tc>
          <w:tcPr>
            <w:tcW w:w="3510" w:type="dxa"/>
            <w:noWrap/>
          </w:tcPr>
          <w:p w:rsidR="005F4165" w:rsidRPr="00742566" w:rsidRDefault="005F4165" w:rsidP="00464A63">
            <w:pPr>
              <w:rPr>
                <w:color w:val="000000"/>
              </w:rPr>
            </w:pPr>
          </w:p>
        </w:tc>
        <w:tc>
          <w:tcPr>
            <w:tcW w:w="1998" w:type="dxa"/>
            <w:vAlign w:val="center"/>
          </w:tcPr>
          <w:p w:rsidR="005F4165" w:rsidRPr="00742566" w:rsidRDefault="005F4165" w:rsidP="00DA0AC2">
            <w:pPr>
              <w:rPr>
                <w:color w:val="000000"/>
              </w:rPr>
            </w:pPr>
            <w:r w:rsidRPr="00742566">
              <w:rPr>
                <w:color w:val="000000"/>
              </w:rPr>
              <w:t xml:space="preserve"> </w:t>
            </w:r>
            <w:r w:rsidR="00DE2C95">
              <w:rPr>
                <w:color w:val="000000"/>
              </w:rPr>
              <w:t>$</w:t>
            </w:r>
            <w:r w:rsidRPr="00742566">
              <w:rPr>
                <w:color w:val="000000"/>
              </w:rPr>
              <w:t xml:space="preserve">237,960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Increase online and hybrid classes</w:t>
            </w:r>
          </w:p>
        </w:tc>
        <w:tc>
          <w:tcPr>
            <w:tcW w:w="3510" w:type="dxa"/>
            <w:noWrap/>
          </w:tcPr>
          <w:p w:rsidR="005F4165" w:rsidRPr="00742566" w:rsidRDefault="005F4165" w:rsidP="00464A63">
            <w:pPr>
              <w:rPr>
                <w:color w:val="000000"/>
              </w:rPr>
            </w:pPr>
          </w:p>
        </w:tc>
        <w:tc>
          <w:tcPr>
            <w:tcW w:w="1998" w:type="dxa"/>
            <w:vAlign w:val="center"/>
          </w:tcPr>
          <w:p w:rsidR="005F4165" w:rsidRPr="00742566" w:rsidRDefault="005F4165" w:rsidP="00DA0AC2">
            <w:pPr>
              <w:rPr>
                <w:color w:val="000000"/>
              </w:rPr>
            </w:pPr>
            <w:r w:rsidRPr="00742566">
              <w:rPr>
                <w:color w:val="000000"/>
              </w:rPr>
              <w:t xml:space="preserve"> </w:t>
            </w:r>
          </w:p>
        </w:tc>
      </w:tr>
      <w:tr w:rsidR="005F4165" w:rsidRPr="00742566" w:rsidTr="00464A63">
        <w:trPr>
          <w:trHeight w:val="289"/>
        </w:trPr>
        <w:tc>
          <w:tcPr>
            <w:tcW w:w="3708" w:type="dxa"/>
            <w:noWrap/>
            <w:hideMark/>
          </w:tcPr>
          <w:p w:rsidR="005F4165" w:rsidRPr="00742566" w:rsidRDefault="00EC04E3" w:rsidP="00DA0AC2">
            <w:pPr>
              <w:pStyle w:val="ListParagraph"/>
              <w:numPr>
                <w:ilvl w:val="0"/>
                <w:numId w:val="38"/>
              </w:numPr>
            </w:pPr>
            <w:r>
              <w:t>Expand</w:t>
            </w:r>
            <w:r w:rsidR="005F4165" w:rsidRPr="00742566">
              <w:t xml:space="preserve"> telecommuting and </w:t>
            </w:r>
            <w:r w:rsidR="00003853">
              <w:t>compressed</w:t>
            </w:r>
            <w:r w:rsidR="005F4165" w:rsidRPr="00742566">
              <w:t xml:space="preserve"> work schedules for staff</w:t>
            </w:r>
          </w:p>
        </w:tc>
        <w:tc>
          <w:tcPr>
            <w:tcW w:w="3510" w:type="dxa"/>
            <w:noWrap/>
          </w:tcPr>
          <w:p w:rsidR="005F4165" w:rsidRPr="00742566" w:rsidRDefault="005F4165" w:rsidP="00464A63">
            <w:pPr>
              <w:rPr>
                <w:color w:val="000000"/>
              </w:rPr>
            </w:pPr>
          </w:p>
        </w:tc>
        <w:tc>
          <w:tcPr>
            <w:tcW w:w="1998" w:type="dxa"/>
            <w:vAlign w:val="center"/>
          </w:tcPr>
          <w:p w:rsidR="005F4165" w:rsidRPr="00742566" w:rsidRDefault="005F4165" w:rsidP="00DA0AC2">
            <w:pPr>
              <w:rPr>
                <w:color w:val="000000"/>
              </w:rPr>
            </w:pPr>
            <w:r w:rsidRPr="00742566">
              <w:rPr>
                <w:color w:val="000000"/>
              </w:rPr>
              <w:t xml:space="preserve"> </w:t>
            </w:r>
          </w:p>
        </w:tc>
      </w:tr>
      <w:tr w:rsidR="005F4165" w:rsidRPr="00742566" w:rsidTr="00464A63">
        <w:trPr>
          <w:trHeight w:val="289"/>
        </w:trPr>
        <w:tc>
          <w:tcPr>
            <w:tcW w:w="3708" w:type="dxa"/>
            <w:noWrap/>
            <w:hideMark/>
          </w:tcPr>
          <w:p w:rsidR="005F4165" w:rsidRPr="00742566" w:rsidRDefault="005F4165" w:rsidP="00DA0AC2">
            <w:pPr>
              <w:pStyle w:val="ListParagraph"/>
              <w:numPr>
                <w:ilvl w:val="0"/>
                <w:numId w:val="38"/>
              </w:numPr>
            </w:pPr>
            <w:r w:rsidRPr="00742566">
              <w:t>Develop an outreach plan to increase knowledge about transportation options</w:t>
            </w:r>
          </w:p>
        </w:tc>
        <w:tc>
          <w:tcPr>
            <w:tcW w:w="3510" w:type="dxa"/>
            <w:noWrap/>
          </w:tcPr>
          <w:p w:rsidR="005F4165" w:rsidRPr="00742566" w:rsidRDefault="008F0510" w:rsidP="00464A63">
            <w:pPr>
              <w:rPr>
                <w:color w:val="000000"/>
              </w:rPr>
            </w:pPr>
            <w:r>
              <w:rPr>
                <w:color w:val="000000"/>
              </w:rPr>
              <w:t>Staff time</w:t>
            </w:r>
          </w:p>
        </w:tc>
        <w:tc>
          <w:tcPr>
            <w:tcW w:w="1998" w:type="dxa"/>
            <w:vAlign w:val="center"/>
          </w:tcPr>
          <w:p w:rsidR="005F4165" w:rsidRPr="00742566" w:rsidRDefault="001B0EBE" w:rsidP="008F0510">
            <w:pPr>
              <w:rPr>
                <w:color w:val="000000"/>
              </w:rPr>
            </w:pPr>
            <w:r>
              <w:rPr>
                <w:color w:val="000000"/>
              </w:rPr>
              <w:t>$</w:t>
            </w:r>
            <w:r w:rsidR="008F0510">
              <w:rPr>
                <w:color w:val="000000"/>
              </w:rPr>
              <w:t>20</w:t>
            </w:r>
            <w:r w:rsidR="005F4165" w:rsidRPr="00742566">
              <w:rPr>
                <w:color w:val="000000"/>
              </w:rPr>
              <w:t xml:space="preserve">,000 </w:t>
            </w:r>
            <w:r w:rsidR="008F0510">
              <w:rPr>
                <w:color w:val="000000"/>
              </w:rPr>
              <w:t>($1,000/year)</w:t>
            </w:r>
          </w:p>
        </w:tc>
      </w:tr>
      <w:tr w:rsidR="00473946" w:rsidRPr="00742566" w:rsidTr="00464A63">
        <w:trPr>
          <w:trHeight w:val="289"/>
        </w:trPr>
        <w:tc>
          <w:tcPr>
            <w:tcW w:w="3708" w:type="dxa"/>
            <w:noWrap/>
          </w:tcPr>
          <w:p w:rsidR="00473946" w:rsidRPr="00742566" w:rsidRDefault="00473946" w:rsidP="00DA0AC2">
            <w:pPr>
              <w:pStyle w:val="ListParagraph"/>
              <w:numPr>
                <w:ilvl w:val="0"/>
                <w:numId w:val="38"/>
              </w:numPr>
            </w:pPr>
            <w:r>
              <w:t>Expand faculty and staff housing to reduce commuting</w:t>
            </w:r>
          </w:p>
        </w:tc>
        <w:tc>
          <w:tcPr>
            <w:tcW w:w="3510" w:type="dxa"/>
            <w:noWrap/>
          </w:tcPr>
          <w:p w:rsidR="00473946" w:rsidRPr="00742566" w:rsidRDefault="00473946" w:rsidP="00464A63">
            <w:pPr>
              <w:rPr>
                <w:color w:val="000000"/>
              </w:rPr>
            </w:pPr>
          </w:p>
        </w:tc>
        <w:tc>
          <w:tcPr>
            <w:tcW w:w="1998" w:type="dxa"/>
            <w:vAlign w:val="center"/>
          </w:tcPr>
          <w:p w:rsidR="00473946" w:rsidRDefault="00473946" w:rsidP="00DA0AC2">
            <w:pPr>
              <w:rPr>
                <w:color w:val="000000"/>
              </w:rPr>
            </w:pPr>
          </w:p>
        </w:tc>
      </w:tr>
      <w:tr w:rsidR="005F4165" w:rsidRPr="00742566" w:rsidTr="00464A63">
        <w:trPr>
          <w:trHeight w:val="372"/>
        </w:trPr>
        <w:tc>
          <w:tcPr>
            <w:tcW w:w="3708" w:type="dxa"/>
            <w:noWrap/>
            <w:vAlign w:val="center"/>
            <w:hideMark/>
          </w:tcPr>
          <w:p w:rsidR="005F4165" w:rsidRPr="005F4165" w:rsidRDefault="005F4165" w:rsidP="00DA0AC2">
            <w:pPr>
              <w:rPr>
                <w:b/>
                <w:bCs/>
              </w:rPr>
            </w:pPr>
            <w:r w:rsidRPr="005F4165">
              <w:rPr>
                <w:b/>
                <w:bCs/>
              </w:rPr>
              <w:t>TOTAL</w:t>
            </w:r>
          </w:p>
        </w:tc>
        <w:tc>
          <w:tcPr>
            <w:tcW w:w="3510" w:type="dxa"/>
            <w:noWrap/>
          </w:tcPr>
          <w:p w:rsidR="005F4165" w:rsidRPr="005F4165" w:rsidRDefault="005F4165" w:rsidP="00464A63">
            <w:pPr>
              <w:rPr>
                <w:b/>
              </w:rPr>
            </w:pPr>
          </w:p>
        </w:tc>
        <w:tc>
          <w:tcPr>
            <w:tcW w:w="1998" w:type="dxa"/>
            <w:vAlign w:val="center"/>
          </w:tcPr>
          <w:p w:rsidR="005F4165" w:rsidRPr="005F4165" w:rsidRDefault="00DE2C95" w:rsidP="00B30938">
            <w:pPr>
              <w:rPr>
                <w:b/>
                <w:color w:val="000000"/>
              </w:rPr>
            </w:pPr>
            <w:r>
              <w:rPr>
                <w:b/>
                <w:color w:val="000000"/>
              </w:rPr>
              <w:t>$</w:t>
            </w:r>
            <w:r w:rsidR="00B30938">
              <w:rPr>
                <w:b/>
                <w:color w:val="000000"/>
              </w:rPr>
              <w:t>1</w:t>
            </w:r>
            <w:r w:rsidR="005F4165" w:rsidRPr="005F4165">
              <w:rPr>
                <w:b/>
                <w:color w:val="000000"/>
              </w:rPr>
              <w:t>5,7</w:t>
            </w:r>
            <w:r w:rsidR="00B30938">
              <w:rPr>
                <w:b/>
                <w:color w:val="000000"/>
              </w:rPr>
              <w:t>19</w:t>
            </w:r>
            <w:r w:rsidR="005F4165" w:rsidRPr="005F4165">
              <w:rPr>
                <w:b/>
                <w:color w:val="000000"/>
              </w:rPr>
              <w:t>,960</w:t>
            </w:r>
          </w:p>
        </w:tc>
      </w:tr>
    </w:tbl>
    <w:p w:rsidR="005F4165" w:rsidRDefault="005F4165" w:rsidP="00DA0AC2">
      <w:pPr>
        <w:spacing w:line="240" w:lineRule="auto"/>
        <w:rPr>
          <w:b/>
          <w:color w:val="1F497D" w:themeColor="text2"/>
        </w:rPr>
      </w:pPr>
    </w:p>
    <w:p w:rsidR="00FC0137" w:rsidRPr="00FC0137" w:rsidRDefault="00F87606" w:rsidP="00242E2E">
      <w:pPr>
        <w:jc w:val="both"/>
        <w:rPr>
          <w:b/>
        </w:rPr>
      </w:pPr>
      <w:r w:rsidRPr="00FC0137">
        <w:rPr>
          <w:b/>
        </w:rPr>
        <w:t xml:space="preserve">EXPANDING BICYCLING INFRASTRUCTURE </w:t>
      </w:r>
    </w:p>
    <w:p w:rsidR="00FC0137" w:rsidRPr="00FC0137" w:rsidRDefault="00FC0137" w:rsidP="00242E2E">
      <w:r w:rsidRPr="00FC0137">
        <w:t>One way of reducing the carbon footprint of CSUN campus is encouraging bicycle use for commuting to and from campus. Expanding the bicycle infrastructure within and around CSUN campus is very important. Introducing bicycle rental and bike clinic programs, improving and extending the bicycle infrastructure and expanding bicycle theft prevention programs are among the strategies t</w:t>
      </w:r>
      <w:r w:rsidR="0057094E">
        <w:t>o reach the goal of reducing CO</w:t>
      </w:r>
      <w:r w:rsidR="0057094E">
        <w:rPr>
          <w:vertAlign w:val="subscript"/>
        </w:rPr>
        <w:t>2</w:t>
      </w:r>
      <w:r w:rsidRPr="00FC0137">
        <w:t xml:space="preserve"> and energy use. </w:t>
      </w:r>
    </w:p>
    <w:p w:rsidR="00FC0137" w:rsidRPr="003D2DA9" w:rsidRDefault="00FC0137" w:rsidP="00242E2E">
      <w:pPr>
        <w:pStyle w:val="ListParagraph"/>
        <w:numPr>
          <w:ilvl w:val="0"/>
          <w:numId w:val="37"/>
        </w:numPr>
        <w:rPr>
          <w:b/>
        </w:rPr>
      </w:pPr>
      <w:r w:rsidRPr="003D2DA9">
        <w:rPr>
          <w:b/>
        </w:rPr>
        <w:t>Bicycle rental</w:t>
      </w:r>
      <w:r w:rsidR="00003853">
        <w:rPr>
          <w:b/>
        </w:rPr>
        <w:t>s</w:t>
      </w:r>
      <w:r w:rsidRPr="003D2DA9">
        <w:rPr>
          <w:b/>
        </w:rPr>
        <w:t xml:space="preserve"> for dorm residents</w:t>
      </w:r>
    </w:p>
    <w:p w:rsidR="00FC0137" w:rsidRPr="00FC0137" w:rsidRDefault="00FC0137" w:rsidP="00242E2E">
      <w:pPr>
        <w:pStyle w:val="ListParagraph"/>
        <w:ind w:left="360"/>
      </w:pPr>
      <w:r w:rsidRPr="00FC0137">
        <w:t xml:space="preserve">Provide free or low-cost bicycle rentals for all dorm residents.  Campus bicycles could be purchased for students living in housing and rented for a semester or a year. Bicycles would be provided with U-locks and students would leave a credit card as deposit.  Charge would be calculated to cover cost of </w:t>
      </w:r>
      <w:r w:rsidR="00003853">
        <w:t xml:space="preserve">the </w:t>
      </w:r>
      <w:r w:rsidRPr="00FC0137">
        <w:t xml:space="preserve">program. </w:t>
      </w:r>
      <w:r w:rsidR="00003853">
        <w:t>The p</w:t>
      </w:r>
      <w:r w:rsidRPr="00FC0137">
        <w:t xml:space="preserve">rogram could be coupled with </w:t>
      </w:r>
      <w:r w:rsidR="00003853">
        <w:t xml:space="preserve">an </w:t>
      </w:r>
      <w:r w:rsidRPr="00FC0137">
        <w:t xml:space="preserve">expanded </w:t>
      </w:r>
      <w:proofErr w:type="spellStart"/>
      <w:r w:rsidRPr="00FC0137">
        <w:t>Zip</w:t>
      </w:r>
      <w:r w:rsidR="00003853">
        <w:t>C</w:t>
      </w:r>
      <w:r w:rsidRPr="00FC0137">
        <w:t>ar</w:t>
      </w:r>
      <w:proofErr w:type="spellEnd"/>
      <w:r w:rsidRPr="00FC0137">
        <w:t xml:space="preserve"> program serving housing to discourage housing students from bringing a car to campus.</w:t>
      </w:r>
    </w:p>
    <w:p w:rsidR="00FC0137" w:rsidRPr="00FC0137" w:rsidRDefault="00FC0137" w:rsidP="00242E2E">
      <w:pPr>
        <w:pStyle w:val="ListParagraph"/>
        <w:numPr>
          <w:ilvl w:val="0"/>
          <w:numId w:val="37"/>
        </w:numPr>
        <w:rPr>
          <w:b/>
        </w:rPr>
      </w:pPr>
      <w:r w:rsidRPr="00FC0137">
        <w:rPr>
          <w:b/>
        </w:rPr>
        <w:t>Improve bicycle infrastructure within campus</w:t>
      </w:r>
    </w:p>
    <w:p w:rsidR="00FC0137" w:rsidRPr="0079093A" w:rsidRDefault="00FC0137" w:rsidP="00242E2E">
      <w:pPr>
        <w:pStyle w:val="ListParagraph"/>
        <w:ind w:left="360"/>
      </w:pPr>
      <w:r w:rsidRPr="00FC0137">
        <w:t>More visibility and support for bicycles on campus will encourage their use. This strategy includes adding bicycle lanes, providing designated bike paths</w:t>
      </w:r>
      <w:r w:rsidR="00413900">
        <w:t xml:space="preserve">, </w:t>
      </w:r>
      <w:r w:rsidR="00413900" w:rsidRPr="0079093A">
        <w:t>creating an on-campus bicycle repair shop,</w:t>
      </w:r>
      <w:r w:rsidRPr="0079093A">
        <w:t xml:space="preserve"> and painting streets with bicycle traffic signs.</w:t>
      </w:r>
    </w:p>
    <w:p w:rsidR="00FC0137" w:rsidRPr="00FC0137" w:rsidRDefault="00FC0137" w:rsidP="00242E2E">
      <w:pPr>
        <w:pStyle w:val="ListParagraph"/>
        <w:numPr>
          <w:ilvl w:val="0"/>
          <w:numId w:val="37"/>
        </w:numPr>
        <w:rPr>
          <w:b/>
        </w:rPr>
      </w:pPr>
      <w:r w:rsidRPr="00FC0137">
        <w:rPr>
          <w:b/>
        </w:rPr>
        <w:t>Work with the city to improve the quality and connectivity of bike lanes around campus</w:t>
      </w:r>
    </w:p>
    <w:p w:rsidR="00FC0137" w:rsidRPr="00FC0137" w:rsidRDefault="00FC0137" w:rsidP="00242E2E">
      <w:pPr>
        <w:pStyle w:val="ListParagraph"/>
        <w:ind w:left="360"/>
      </w:pPr>
      <w:r w:rsidRPr="00FC0137">
        <w:t xml:space="preserve">Most of the bicycle trips don’t begin and end within campus. Therefore, working with the city to provide better bike lanes and bike paths on major roads around campus is important. The connectivity of bike lanes </w:t>
      </w:r>
      <w:r w:rsidR="009728E6" w:rsidRPr="00FC0137">
        <w:t>needs</w:t>
      </w:r>
      <w:r w:rsidRPr="00FC0137">
        <w:t xml:space="preserve"> to be improved to encourage more bike usage. </w:t>
      </w:r>
    </w:p>
    <w:p w:rsidR="00FC0137" w:rsidRPr="00FC0137" w:rsidRDefault="00413900" w:rsidP="00242E2E">
      <w:pPr>
        <w:pStyle w:val="ListParagraph"/>
        <w:numPr>
          <w:ilvl w:val="0"/>
          <w:numId w:val="37"/>
        </w:numPr>
        <w:rPr>
          <w:b/>
        </w:rPr>
      </w:pPr>
      <w:r>
        <w:rPr>
          <w:b/>
        </w:rPr>
        <w:t>Expand</w:t>
      </w:r>
      <w:r w:rsidR="00FC0137" w:rsidRPr="00FC0137">
        <w:rPr>
          <w:b/>
        </w:rPr>
        <w:t xml:space="preserve"> bicycle theft prevention strategy</w:t>
      </w:r>
    </w:p>
    <w:p w:rsidR="00FC0137" w:rsidRPr="00FC0137" w:rsidRDefault="00FC0137" w:rsidP="00242E2E">
      <w:pPr>
        <w:pStyle w:val="ListParagraph"/>
        <w:ind w:left="360"/>
      </w:pPr>
      <w:r w:rsidRPr="00FC0137">
        <w:lastRenderedPageBreak/>
        <w:t xml:space="preserve">Expand installation of improved bicycle racks that permit front and rear wheels to be locked and </w:t>
      </w:r>
      <w:r w:rsidR="003364C0">
        <w:t xml:space="preserve">allow for </w:t>
      </w:r>
      <w:r w:rsidRPr="00FC0137">
        <w:t xml:space="preserve">easier use of U-locks. Add signage to bicycle racks showing </w:t>
      </w:r>
      <w:r w:rsidR="003364C0">
        <w:t xml:space="preserve">the </w:t>
      </w:r>
      <w:r w:rsidRPr="00FC0137">
        <w:t xml:space="preserve">best way to secure </w:t>
      </w:r>
      <w:r w:rsidR="003364C0">
        <w:t xml:space="preserve">the </w:t>
      </w:r>
      <w:r w:rsidRPr="00FC0137">
        <w:t xml:space="preserve">bike. Provide training with </w:t>
      </w:r>
      <w:r w:rsidR="003364C0">
        <w:t xml:space="preserve">the </w:t>
      </w:r>
      <w:r w:rsidRPr="00FC0137">
        <w:t>bicycle rental program. Also, add surveillance cameras at bike parking locations.</w:t>
      </w:r>
    </w:p>
    <w:p w:rsidR="00FC0137" w:rsidRPr="00FC0137" w:rsidRDefault="00FC0137" w:rsidP="00242E2E"/>
    <w:p w:rsidR="00FC0137" w:rsidRPr="00FC0137" w:rsidRDefault="00FC0137" w:rsidP="00242E2E">
      <w:pPr>
        <w:rPr>
          <w:b/>
        </w:rPr>
      </w:pPr>
      <w:r w:rsidRPr="00FC0137">
        <w:rPr>
          <w:b/>
        </w:rPr>
        <w:t>EXPANDING PUBLIC TRANSIT S</w:t>
      </w:r>
      <w:r w:rsidR="000E46EB">
        <w:rPr>
          <w:b/>
        </w:rPr>
        <w:t>E</w:t>
      </w:r>
      <w:r w:rsidRPr="00FC0137">
        <w:rPr>
          <w:b/>
        </w:rPr>
        <w:t>RVICES</w:t>
      </w:r>
    </w:p>
    <w:p w:rsidR="00FC0137" w:rsidRPr="00FC0137" w:rsidRDefault="00FC0137" w:rsidP="00242E2E">
      <w:r w:rsidRPr="00FC0137">
        <w:t xml:space="preserve">Expanding public transit services will have a significant impact in reducing CSUN’s transportation-related carbon impact. While expanding university-level transit services, it is important to work with LA Metro and other agencies to promote the expansion of public transit service to </w:t>
      </w:r>
      <w:r w:rsidR="003364C0">
        <w:t xml:space="preserve">the </w:t>
      </w:r>
      <w:r w:rsidRPr="00FC0137">
        <w:t xml:space="preserve">CSUN campus. Direct </w:t>
      </w:r>
      <w:r w:rsidR="003364C0">
        <w:t xml:space="preserve">connections </w:t>
      </w:r>
      <w:r w:rsidRPr="00FC0137">
        <w:t>between CSUN and major residential centers, frequent service, after hour services</w:t>
      </w:r>
      <w:r w:rsidR="003364C0">
        <w:t>,</w:t>
      </w:r>
      <w:r w:rsidRPr="00FC0137">
        <w:t xml:space="preserve"> and transit subsidies are some </w:t>
      </w:r>
      <w:r w:rsidR="003364C0">
        <w:t xml:space="preserve">of the </w:t>
      </w:r>
      <w:r w:rsidRPr="00FC0137">
        <w:t xml:space="preserve">strategies that encourage the campus community, especially students, to use public transportation. </w:t>
      </w:r>
    </w:p>
    <w:p w:rsidR="00FC0137" w:rsidRPr="00FC0137" w:rsidRDefault="00FC0137" w:rsidP="00242E2E">
      <w:pPr>
        <w:pStyle w:val="ListParagraph"/>
        <w:numPr>
          <w:ilvl w:val="0"/>
          <w:numId w:val="37"/>
        </w:numPr>
        <w:rPr>
          <w:b/>
        </w:rPr>
      </w:pPr>
      <w:r w:rsidRPr="00FC0137">
        <w:rPr>
          <w:b/>
        </w:rPr>
        <w:t xml:space="preserve">Partner with Metro and other agencies to bring major bus lines to </w:t>
      </w:r>
      <w:r w:rsidR="003364C0">
        <w:rPr>
          <w:b/>
        </w:rPr>
        <w:t xml:space="preserve">the </w:t>
      </w:r>
      <w:r w:rsidRPr="00FC0137">
        <w:rPr>
          <w:b/>
        </w:rPr>
        <w:t>CSUN Transit Station</w:t>
      </w:r>
    </w:p>
    <w:p w:rsidR="00FC0137" w:rsidRPr="00FC0137" w:rsidRDefault="00FC0137" w:rsidP="00447243">
      <w:pPr>
        <w:ind w:left="360"/>
      </w:pPr>
      <w:r w:rsidRPr="00FC0137">
        <w:t xml:space="preserve">With </w:t>
      </w:r>
      <w:r w:rsidR="003364C0">
        <w:t xml:space="preserve">the </w:t>
      </w:r>
      <w:r w:rsidRPr="00FC0137">
        <w:t xml:space="preserve">CSUN Transit Center up and running, </w:t>
      </w:r>
      <w:r w:rsidR="003364C0">
        <w:t xml:space="preserve">having </w:t>
      </w:r>
      <w:r w:rsidRPr="00FC0137">
        <w:t>major transit lines connect to CSUN encourage the use of bus</w:t>
      </w:r>
      <w:r w:rsidR="003364C0">
        <w:t>es</w:t>
      </w:r>
      <w:r w:rsidRPr="00FC0137">
        <w:t xml:space="preserve"> by </w:t>
      </w:r>
      <w:r w:rsidR="003364C0">
        <w:t xml:space="preserve">the </w:t>
      </w:r>
      <w:r w:rsidRPr="00FC0137">
        <w:t>CSUN community.</w:t>
      </w:r>
      <w:r w:rsidR="00447243" w:rsidRPr="00447243">
        <w:t xml:space="preserve"> </w:t>
      </w:r>
      <w:r w:rsidR="00447243">
        <w:t xml:space="preserve"> Work to bring </w:t>
      </w:r>
      <w:r w:rsidR="00447243" w:rsidRPr="00447243">
        <w:t>LADOT's DASH bus service to the campus transportation center.</w:t>
      </w:r>
    </w:p>
    <w:p w:rsidR="00FC0137" w:rsidRPr="00FC0137" w:rsidRDefault="00FC0137" w:rsidP="00242E2E">
      <w:pPr>
        <w:pStyle w:val="ListParagraph"/>
        <w:numPr>
          <w:ilvl w:val="0"/>
          <w:numId w:val="37"/>
        </w:numPr>
        <w:rPr>
          <w:b/>
        </w:rPr>
      </w:pPr>
      <w:r w:rsidRPr="00FC0137">
        <w:rPr>
          <w:b/>
        </w:rPr>
        <w:t>Increase the subsidy of transit passes for students and staff members, potentially providing a free transit pass program to students.</w:t>
      </w:r>
    </w:p>
    <w:p w:rsidR="00FC0137" w:rsidRPr="00FC0137" w:rsidRDefault="00FC0137" w:rsidP="00242E2E">
      <w:pPr>
        <w:pStyle w:val="ListParagraph"/>
        <w:ind w:left="360"/>
      </w:pPr>
      <w:r w:rsidRPr="00FC0137">
        <w:t xml:space="preserve">Incentives have proven very effective in increasing public transportation use and decreasing single occupancy vehicle commutes to campus. Therefore, providing </w:t>
      </w:r>
      <w:r w:rsidR="00F60F1F">
        <w:t xml:space="preserve">a </w:t>
      </w:r>
      <w:r w:rsidRPr="00FC0137">
        <w:t xml:space="preserve">transit subsidy or </w:t>
      </w:r>
      <w:r w:rsidR="0079093A">
        <w:t xml:space="preserve">a </w:t>
      </w:r>
      <w:r w:rsidRPr="00FC0137">
        <w:t>universal pass</w:t>
      </w:r>
      <w:r w:rsidR="00F60F1F">
        <w:t xml:space="preserve"> </w:t>
      </w:r>
      <w:r w:rsidR="0079093A">
        <w:t>c</w:t>
      </w:r>
      <w:r w:rsidR="00F60F1F">
        <w:t xml:space="preserve">ould </w:t>
      </w:r>
      <w:r w:rsidRPr="00FC0137">
        <w:t>provide students</w:t>
      </w:r>
      <w:r w:rsidR="00F60F1F">
        <w:t xml:space="preserve">, </w:t>
      </w:r>
      <w:r w:rsidRPr="00FC0137">
        <w:t>faculty</w:t>
      </w:r>
      <w:r w:rsidR="00F60F1F">
        <w:t>,</w:t>
      </w:r>
      <w:r w:rsidRPr="00FC0137">
        <w:t xml:space="preserve"> and staff</w:t>
      </w:r>
      <w:r w:rsidR="00F60F1F">
        <w:t xml:space="preserve"> </w:t>
      </w:r>
      <w:r w:rsidRPr="00FC0137">
        <w:t>with</w:t>
      </w:r>
      <w:r w:rsidR="00F60F1F">
        <w:t xml:space="preserve"> access to</w:t>
      </w:r>
      <w:r w:rsidRPr="00FC0137">
        <w:t xml:space="preserve"> unrestricted local transit service.  </w:t>
      </w:r>
    </w:p>
    <w:p w:rsidR="00FC0137" w:rsidRPr="00FC0137" w:rsidRDefault="00FC0137" w:rsidP="00242E2E">
      <w:pPr>
        <w:pStyle w:val="ListParagraph"/>
        <w:numPr>
          <w:ilvl w:val="0"/>
          <w:numId w:val="37"/>
        </w:numPr>
        <w:rPr>
          <w:b/>
        </w:rPr>
      </w:pPr>
      <w:r w:rsidRPr="00FC0137">
        <w:rPr>
          <w:b/>
        </w:rPr>
        <w:t xml:space="preserve">Partner with Metro, LADOT and the City to solve connectivity issues between CSUN and major transit </w:t>
      </w:r>
      <w:r w:rsidR="00F60F1F">
        <w:rPr>
          <w:b/>
        </w:rPr>
        <w:t>hubs</w:t>
      </w:r>
    </w:p>
    <w:p w:rsidR="00FC0137" w:rsidRPr="00FC0137" w:rsidRDefault="00FC0137" w:rsidP="00242E2E">
      <w:pPr>
        <w:pStyle w:val="ListParagraph"/>
        <w:ind w:left="360"/>
      </w:pPr>
      <w:r w:rsidRPr="00FC0137">
        <w:t>Direct link</w:t>
      </w:r>
      <w:r w:rsidR="00F60F1F">
        <w:t>s</w:t>
      </w:r>
      <w:r w:rsidRPr="00FC0137">
        <w:t xml:space="preserve"> or minimal transfer</w:t>
      </w:r>
      <w:r w:rsidR="00F60F1F">
        <w:t>s</w:t>
      </w:r>
      <w:r w:rsidRPr="00FC0137">
        <w:t xml:space="preserve"> </w:t>
      </w:r>
      <w:r w:rsidR="00F60F1F">
        <w:t>are</w:t>
      </w:r>
      <w:r w:rsidRPr="00FC0137">
        <w:t xml:space="preserve"> important in encouraging the use of public transportation. Under this strategy, identifying transit routes with multiple transfers and indirect link</w:t>
      </w:r>
      <w:r w:rsidR="00F60F1F">
        <w:t>s</w:t>
      </w:r>
      <w:r w:rsidRPr="00FC0137">
        <w:t xml:space="preserve"> to </w:t>
      </w:r>
      <w:r w:rsidR="00F60F1F">
        <w:t xml:space="preserve">the </w:t>
      </w:r>
      <w:r w:rsidRPr="00FC0137">
        <w:t xml:space="preserve">CSUN campus and providing direct transit service from areas where </w:t>
      </w:r>
      <w:r w:rsidR="00F60F1F">
        <w:t xml:space="preserve">a </w:t>
      </w:r>
      <w:r w:rsidRPr="00FC0137">
        <w:t xml:space="preserve">large </w:t>
      </w:r>
      <w:r w:rsidR="0079093A">
        <w:t xml:space="preserve">number </w:t>
      </w:r>
      <w:r w:rsidR="00F60F1F">
        <w:t xml:space="preserve">of </w:t>
      </w:r>
      <w:r w:rsidRPr="00FC0137">
        <w:t>CSUN students live is important.</w:t>
      </w:r>
    </w:p>
    <w:p w:rsidR="00FC0137" w:rsidRPr="00FC0137" w:rsidRDefault="00FC0137" w:rsidP="00242E2E">
      <w:pPr>
        <w:pStyle w:val="ListParagraph"/>
        <w:numPr>
          <w:ilvl w:val="0"/>
          <w:numId w:val="37"/>
        </w:numPr>
        <w:rPr>
          <w:b/>
        </w:rPr>
      </w:pPr>
      <w:r w:rsidRPr="00FC0137">
        <w:rPr>
          <w:b/>
        </w:rPr>
        <w:t>Priority class enrol</w:t>
      </w:r>
      <w:r w:rsidR="000E46EB">
        <w:rPr>
          <w:b/>
        </w:rPr>
        <w:t>l</w:t>
      </w:r>
      <w:r w:rsidRPr="00FC0137">
        <w:rPr>
          <w:b/>
        </w:rPr>
        <w:t>ment for students travelling by public transit</w:t>
      </w:r>
    </w:p>
    <w:p w:rsidR="00FC0137" w:rsidRPr="00FC0137" w:rsidRDefault="00FC0137" w:rsidP="00242E2E">
      <w:pPr>
        <w:pStyle w:val="ListParagraph"/>
        <w:ind w:left="360"/>
      </w:pPr>
      <w:r w:rsidRPr="00FC0137">
        <w:t>In order to encourage the use of transit, introduce a system that allows students to register early</w:t>
      </w:r>
      <w:r w:rsidRPr="00FC0137">
        <w:rPr>
          <w:b/>
        </w:rPr>
        <w:t xml:space="preserve"> </w:t>
      </w:r>
      <w:r w:rsidRPr="00FC0137">
        <w:t>if they commit themselves to use transit through the semester, or if they used transit for the significant portion of their trip</w:t>
      </w:r>
      <w:r w:rsidR="00F60F1F">
        <w:t>s</w:t>
      </w:r>
      <w:r w:rsidRPr="00FC0137">
        <w:t xml:space="preserve"> in </w:t>
      </w:r>
      <w:r w:rsidR="00EC04E3">
        <w:t xml:space="preserve">a </w:t>
      </w:r>
      <w:r w:rsidRPr="00FC0137">
        <w:t>prior semester.</w:t>
      </w:r>
    </w:p>
    <w:p w:rsidR="00FC0137" w:rsidRPr="00FC0137" w:rsidRDefault="00FC0137" w:rsidP="00242E2E"/>
    <w:p w:rsidR="00FC0137" w:rsidRPr="00FC0137" w:rsidRDefault="00FC0137" w:rsidP="00242E2E">
      <w:pPr>
        <w:rPr>
          <w:b/>
        </w:rPr>
      </w:pPr>
      <w:r w:rsidRPr="00FC0137">
        <w:rPr>
          <w:b/>
        </w:rPr>
        <w:t>EXPANDING RIDESHARE PROGRAMS</w:t>
      </w:r>
    </w:p>
    <w:p w:rsidR="00FC0137" w:rsidRPr="00FC0137" w:rsidRDefault="00FC0137" w:rsidP="00242E2E">
      <w:r w:rsidRPr="00FC0137">
        <w:t>Data show that existing ride</w:t>
      </w:r>
      <w:r w:rsidR="00F60F1F">
        <w:t>share</w:t>
      </w:r>
      <w:r w:rsidRPr="00FC0137">
        <w:t xml:space="preserve"> programs are successful and the demand is increasing. Expanding ridesharing </w:t>
      </w:r>
      <w:r w:rsidR="00F60F1F">
        <w:t>programs</w:t>
      </w:r>
      <w:r w:rsidRPr="00FC0137">
        <w:t xml:space="preserve"> will expand the use of the service and </w:t>
      </w:r>
      <w:r w:rsidR="00F60F1F">
        <w:t xml:space="preserve">reduce </w:t>
      </w:r>
      <w:r w:rsidRPr="00FC0137">
        <w:t xml:space="preserve">single occupancy vehicle commutes to </w:t>
      </w:r>
      <w:r w:rsidR="00F60F1F">
        <w:t xml:space="preserve">the </w:t>
      </w:r>
      <w:r w:rsidRPr="00FC0137">
        <w:t xml:space="preserve">campus. Strategies such as </w:t>
      </w:r>
      <w:r w:rsidR="00F60F1F">
        <w:t>implementing</w:t>
      </w:r>
      <w:r w:rsidRPr="00FC0137">
        <w:t xml:space="preserve"> the </w:t>
      </w:r>
      <w:proofErr w:type="spellStart"/>
      <w:r w:rsidRPr="00FC0137">
        <w:t>Zimride</w:t>
      </w:r>
      <w:proofErr w:type="spellEnd"/>
      <w:r w:rsidRPr="00FC0137">
        <w:t xml:space="preserve"> program and </w:t>
      </w:r>
      <w:r w:rsidR="00F60F1F">
        <w:t>creating</w:t>
      </w:r>
      <w:r w:rsidRPr="00FC0137">
        <w:t xml:space="preserve"> special parking zones for those who share a ride </w:t>
      </w:r>
      <w:r w:rsidR="00F60F1F">
        <w:t>would</w:t>
      </w:r>
      <w:r w:rsidR="008B7EA8">
        <w:t xml:space="preserve"> </w:t>
      </w:r>
      <w:r w:rsidRPr="00FC0137">
        <w:t xml:space="preserve">encourage people to rideshare more. </w:t>
      </w:r>
    </w:p>
    <w:p w:rsidR="00622A6A" w:rsidRDefault="008B7EA8" w:rsidP="00622A6A">
      <w:pPr>
        <w:pStyle w:val="ListParagraph"/>
        <w:numPr>
          <w:ilvl w:val="0"/>
          <w:numId w:val="37"/>
        </w:numPr>
        <w:spacing w:line="240" w:lineRule="auto"/>
        <w:rPr>
          <w:b/>
        </w:rPr>
      </w:pPr>
      <w:r>
        <w:rPr>
          <w:b/>
        </w:rPr>
        <w:t xml:space="preserve">Implement </w:t>
      </w:r>
      <w:proofErr w:type="spellStart"/>
      <w:r w:rsidR="00FC0137" w:rsidRPr="00FC0137">
        <w:rPr>
          <w:b/>
        </w:rPr>
        <w:t>Zimride</w:t>
      </w:r>
      <w:proofErr w:type="spellEnd"/>
      <w:r w:rsidR="00FC0137" w:rsidRPr="00FC0137">
        <w:rPr>
          <w:b/>
        </w:rPr>
        <w:t xml:space="preserve"> – ridesharing</w:t>
      </w:r>
    </w:p>
    <w:p w:rsidR="00FC0137" w:rsidRPr="00622A6A" w:rsidRDefault="00FC0137" w:rsidP="00622A6A">
      <w:pPr>
        <w:pStyle w:val="ListParagraph"/>
        <w:ind w:left="360"/>
        <w:rPr>
          <w:b/>
        </w:rPr>
      </w:pPr>
      <w:proofErr w:type="spellStart"/>
      <w:r w:rsidRPr="00FC0137">
        <w:lastRenderedPageBreak/>
        <w:t>Zimride</w:t>
      </w:r>
      <w:proofErr w:type="spellEnd"/>
      <w:r w:rsidRPr="00FC0137">
        <w:t xml:space="preserve"> is a commercial online and mobile ridesharing application which connects rides and riders. Create a system for students to enroll </w:t>
      </w:r>
      <w:r w:rsidR="008B7EA8">
        <w:t>in</w:t>
      </w:r>
      <w:r w:rsidRPr="00FC0137">
        <w:t xml:space="preserve"> the ridesharing program and encourage the use of the program through marketing techniques.   </w:t>
      </w:r>
    </w:p>
    <w:p w:rsidR="00FC0137" w:rsidRPr="00FC0137" w:rsidRDefault="00FC0137" w:rsidP="00242E2E">
      <w:pPr>
        <w:pStyle w:val="ListParagraph"/>
        <w:numPr>
          <w:ilvl w:val="0"/>
          <w:numId w:val="37"/>
        </w:numPr>
        <w:rPr>
          <w:b/>
        </w:rPr>
      </w:pPr>
      <w:r w:rsidRPr="00FC0137">
        <w:rPr>
          <w:b/>
        </w:rPr>
        <w:t>Implement special parking zones to incentivize ridesharing</w:t>
      </w:r>
    </w:p>
    <w:p w:rsidR="00FC0137" w:rsidRPr="00FC0137" w:rsidRDefault="008B7EA8" w:rsidP="00242E2E">
      <w:pPr>
        <w:pStyle w:val="ListParagraph"/>
        <w:ind w:left="360"/>
      </w:pPr>
      <w:r>
        <w:t>Three or more</w:t>
      </w:r>
      <w:r w:rsidR="00FC0137" w:rsidRPr="00FC0137">
        <w:t xml:space="preserve"> riders in </w:t>
      </w:r>
      <w:r>
        <w:t xml:space="preserve">a </w:t>
      </w:r>
      <w:r w:rsidR="00FC0137" w:rsidRPr="00FC0137">
        <w:t xml:space="preserve">vehicle get </w:t>
      </w:r>
      <w:r w:rsidR="008172F2">
        <w:t xml:space="preserve">a </w:t>
      </w:r>
      <w:r w:rsidR="00FC0137" w:rsidRPr="00FC0137">
        <w:t xml:space="preserve">parking pass for priority </w:t>
      </w:r>
      <w:r>
        <w:t xml:space="preserve">parking </w:t>
      </w:r>
      <w:r w:rsidR="00FC0137" w:rsidRPr="00FC0137">
        <w:t xml:space="preserve">zones at </w:t>
      </w:r>
      <w:r>
        <w:t xml:space="preserve">the </w:t>
      </w:r>
      <w:r w:rsidR="00FC0137" w:rsidRPr="00FC0137">
        <w:t xml:space="preserve">most </w:t>
      </w:r>
      <w:r w:rsidR="008172F2">
        <w:t>desirable</w:t>
      </w:r>
      <w:r w:rsidR="00FC0137" w:rsidRPr="00FC0137">
        <w:t xml:space="preserve"> parking areas. These spaces would be reserved for those who drive to campus with others. The spaces should be located where </w:t>
      </w:r>
      <w:r>
        <w:t xml:space="preserve">they are </w:t>
      </w:r>
      <w:r w:rsidR="00FC0137" w:rsidRPr="00FC0137">
        <w:t xml:space="preserve">convenient for students and employees to reward them for sharing their ride.  </w:t>
      </w:r>
    </w:p>
    <w:p w:rsidR="00FC0137" w:rsidRPr="00FC0137" w:rsidRDefault="00FC0137" w:rsidP="00242E2E">
      <w:pPr>
        <w:pStyle w:val="ListParagraph"/>
        <w:numPr>
          <w:ilvl w:val="0"/>
          <w:numId w:val="37"/>
        </w:numPr>
        <w:rPr>
          <w:b/>
        </w:rPr>
      </w:pPr>
      <w:r w:rsidRPr="00FC0137">
        <w:rPr>
          <w:b/>
        </w:rPr>
        <w:t xml:space="preserve">Auto-enroll students in </w:t>
      </w:r>
      <w:r w:rsidR="008B7EA8">
        <w:rPr>
          <w:b/>
        </w:rPr>
        <w:t xml:space="preserve">the </w:t>
      </w:r>
      <w:r w:rsidRPr="00FC0137">
        <w:rPr>
          <w:b/>
        </w:rPr>
        <w:t>rideshare program upon class enrolment through SOLAR</w:t>
      </w:r>
    </w:p>
    <w:p w:rsidR="00FC0137" w:rsidRPr="00FC0137" w:rsidRDefault="00FC0137" w:rsidP="00242E2E">
      <w:pPr>
        <w:pStyle w:val="ListParagraph"/>
        <w:ind w:left="360"/>
      </w:pPr>
      <w:r w:rsidRPr="00FC0137">
        <w:t xml:space="preserve">Create a system for students to auto-enroll </w:t>
      </w:r>
      <w:r w:rsidR="008B7EA8">
        <w:t>in</w:t>
      </w:r>
      <w:r w:rsidRPr="00FC0137">
        <w:t xml:space="preserve"> the rideshare program. This creates awareness about the service and encourages </w:t>
      </w:r>
      <w:r w:rsidR="008B7EA8">
        <w:t>its</w:t>
      </w:r>
      <w:r w:rsidRPr="00FC0137">
        <w:t xml:space="preserve"> use.</w:t>
      </w:r>
    </w:p>
    <w:p w:rsidR="00FC0137" w:rsidRPr="00FC0137" w:rsidRDefault="00FC0137" w:rsidP="00242E2E"/>
    <w:p w:rsidR="00FC0137" w:rsidRPr="00FC0137" w:rsidRDefault="00FC0137" w:rsidP="00242E2E">
      <w:pPr>
        <w:rPr>
          <w:b/>
        </w:rPr>
      </w:pPr>
      <w:r w:rsidRPr="00FC0137">
        <w:rPr>
          <w:b/>
        </w:rPr>
        <w:t>PARKING MANAGEMENT</w:t>
      </w:r>
    </w:p>
    <w:p w:rsidR="00FC0137" w:rsidRPr="00FC0137" w:rsidRDefault="00FC0137" w:rsidP="00242E2E">
      <w:r w:rsidRPr="00FC0137">
        <w:t xml:space="preserve">Managing parking spaces is important </w:t>
      </w:r>
      <w:r w:rsidR="008172F2">
        <w:t>in</w:t>
      </w:r>
      <w:r w:rsidRPr="00FC0137">
        <w:t xml:space="preserve"> reducing the use of single occupancy vehicles. Providing real-time information about the availability of </w:t>
      </w:r>
      <w:r w:rsidR="00413900">
        <w:t>parking</w:t>
      </w:r>
      <w:r w:rsidRPr="00FC0137">
        <w:t xml:space="preserve"> spaces, limiting the number of parking spaces </w:t>
      </w:r>
      <w:r w:rsidR="00985276">
        <w:t>for housing residents</w:t>
      </w:r>
      <w:r w:rsidRPr="00FC0137">
        <w:t xml:space="preserve">, </w:t>
      </w:r>
      <w:r w:rsidR="008B7EA8">
        <w:t xml:space="preserve">and </w:t>
      </w:r>
      <w:r w:rsidR="008172F2">
        <w:t>restricting</w:t>
      </w:r>
      <w:r w:rsidRPr="00FC0137">
        <w:t xml:space="preserve"> students living in student housing from bringing their car to campus are</w:t>
      </w:r>
      <w:r w:rsidR="008B7EA8">
        <w:t xml:space="preserve"> just</w:t>
      </w:r>
      <w:r w:rsidRPr="00FC0137">
        <w:t xml:space="preserve"> some of the strategies under parking management. </w:t>
      </w:r>
    </w:p>
    <w:p w:rsidR="00FC0137" w:rsidRPr="00985276" w:rsidRDefault="00985276" w:rsidP="00242E2E">
      <w:pPr>
        <w:pStyle w:val="ListParagraph"/>
        <w:numPr>
          <w:ilvl w:val="0"/>
          <w:numId w:val="37"/>
        </w:numPr>
        <w:rPr>
          <w:b/>
        </w:rPr>
      </w:pPr>
      <w:r w:rsidRPr="00985276">
        <w:rPr>
          <w:b/>
        </w:rPr>
        <w:t>Limit number of housing parking permits to current housing parking capacity</w:t>
      </w:r>
    </w:p>
    <w:p w:rsidR="008B7EA8" w:rsidRPr="00FC0137" w:rsidRDefault="008B7EA8" w:rsidP="008B7EA8">
      <w:pPr>
        <w:pStyle w:val="ListParagraph"/>
        <w:ind w:left="360"/>
      </w:pPr>
      <w:r w:rsidRPr="008172F2">
        <w:t xml:space="preserve">Under this strategy, CSUN would limit the number of permits sold </w:t>
      </w:r>
      <w:r w:rsidR="00985276">
        <w:t>for parking at</w:t>
      </w:r>
      <w:r w:rsidRPr="008172F2">
        <w:t xml:space="preserve"> </w:t>
      </w:r>
      <w:r w:rsidR="00985276">
        <w:t>campus housing.</w:t>
      </w:r>
      <w:r w:rsidRPr="008172F2">
        <w:t xml:space="preserve">  This would </w:t>
      </w:r>
      <w:r w:rsidR="00985276">
        <w:t>eliminate the need to construct additional parking structures at campus housing in the future and incentivize residents to use alternative low or no-emission transport</w:t>
      </w:r>
      <w:r w:rsidRPr="008172F2">
        <w:t xml:space="preserve">.  </w:t>
      </w:r>
    </w:p>
    <w:p w:rsidR="00FC0137" w:rsidRPr="00FC0137" w:rsidRDefault="00FC0137" w:rsidP="00242E2E">
      <w:pPr>
        <w:pStyle w:val="ListParagraph"/>
        <w:numPr>
          <w:ilvl w:val="0"/>
          <w:numId w:val="37"/>
        </w:numPr>
        <w:rPr>
          <w:b/>
        </w:rPr>
      </w:pPr>
      <w:r w:rsidRPr="00FC0137">
        <w:rPr>
          <w:b/>
        </w:rPr>
        <w:t xml:space="preserve">Install </w:t>
      </w:r>
      <w:r w:rsidR="008B7EA8">
        <w:rPr>
          <w:b/>
        </w:rPr>
        <w:t xml:space="preserve">a </w:t>
      </w:r>
      <w:r w:rsidRPr="00FC0137">
        <w:rPr>
          <w:b/>
        </w:rPr>
        <w:t>real-time informational system that tells drivers where parking is available reducing the need to circle in search of parking.</w:t>
      </w:r>
    </w:p>
    <w:p w:rsidR="00FC0137" w:rsidRPr="00FC0137" w:rsidRDefault="00FC0137" w:rsidP="00242E2E">
      <w:pPr>
        <w:pStyle w:val="ListParagraph"/>
        <w:ind w:left="360"/>
      </w:pPr>
      <w:r w:rsidRPr="00FC0137">
        <w:t xml:space="preserve">Provide real-time parking information to help drivers not only save time and money by finding the closest parking spaces </w:t>
      </w:r>
      <w:r w:rsidR="008B7EA8">
        <w:t xml:space="preserve">on </w:t>
      </w:r>
      <w:r w:rsidRPr="00FC0137">
        <w:t xml:space="preserve">campus but also reduce congestion, pollution, and gas consumption. Real-time parking availability information should be considered as an important component of campus parking management. </w:t>
      </w:r>
    </w:p>
    <w:p w:rsidR="00FC0137" w:rsidRPr="00FC0137" w:rsidRDefault="00FC0137" w:rsidP="00242E2E">
      <w:pPr>
        <w:pStyle w:val="ListParagraph"/>
        <w:numPr>
          <w:ilvl w:val="0"/>
          <w:numId w:val="37"/>
        </w:numPr>
        <w:rPr>
          <w:b/>
        </w:rPr>
      </w:pPr>
      <w:r w:rsidRPr="00FC0137">
        <w:rPr>
          <w:b/>
        </w:rPr>
        <w:t xml:space="preserve">Do not allow </w:t>
      </w:r>
      <w:r w:rsidR="008B7EA8">
        <w:rPr>
          <w:b/>
        </w:rPr>
        <w:t xml:space="preserve">the </w:t>
      </w:r>
      <w:r w:rsidRPr="00FC0137">
        <w:rPr>
          <w:b/>
        </w:rPr>
        <w:t>use of housing parking permit for parking on campus.</w:t>
      </w:r>
    </w:p>
    <w:p w:rsidR="00FC0137" w:rsidRPr="00FC0137" w:rsidRDefault="00FC0137" w:rsidP="00242E2E">
      <w:pPr>
        <w:pStyle w:val="ListParagraph"/>
        <w:ind w:left="360"/>
      </w:pPr>
      <w:r w:rsidRPr="00FC0137">
        <w:t xml:space="preserve">This strategy may discourage freshman students who are living </w:t>
      </w:r>
      <w:r w:rsidR="008B7EA8">
        <w:t>on</w:t>
      </w:r>
      <w:r w:rsidRPr="00FC0137">
        <w:t xml:space="preserve"> campus from bringing their vehicle to campus </w:t>
      </w:r>
    </w:p>
    <w:p w:rsidR="00413900" w:rsidRDefault="00413900" w:rsidP="00242E2E">
      <w:pPr>
        <w:rPr>
          <w:b/>
        </w:rPr>
      </w:pPr>
    </w:p>
    <w:p w:rsidR="00FC0137" w:rsidRPr="00FC0137" w:rsidRDefault="00FC0137" w:rsidP="00242E2E">
      <w:pPr>
        <w:rPr>
          <w:b/>
        </w:rPr>
      </w:pPr>
      <w:r w:rsidRPr="00FC0137">
        <w:rPr>
          <w:b/>
        </w:rPr>
        <w:t>PROVIDE SHUTTLE SERVICES</w:t>
      </w:r>
    </w:p>
    <w:p w:rsidR="00FC4F09" w:rsidRDefault="00FC0137" w:rsidP="00242E2E">
      <w:r w:rsidRPr="00FC0137">
        <w:t xml:space="preserve">There are several apartments and student housing around CSUN campus. Providing a shuttle service that runs within </w:t>
      </w:r>
      <w:r w:rsidR="00413900">
        <w:t xml:space="preserve">a three mile radius </w:t>
      </w:r>
      <w:r w:rsidRPr="00FC0137">
        <w:t xml:space="preserve">of the campus will reduce the use of single occupancy vehicle for short trips. </w:t>
      </w:r>
    </w:p>
    <w:p w:rsidR="009860AD" w:rsidRPr="009860AD" w:rsidRDefault="00791DA5" w:rsidP="00242E2E">
      <w:pPr>
        <w:pStyle w:val="ListParagraph"/>
        <w:numPr>
          <w:ilvl w:val="0"/>
          <w:numId w:val="37"/>
        </w:numPr>
      </w:pPr>
      <w:r>
        <w:rPr>
          <w:b/>
        </w:rPr>
        <w:t xml:space="preserve">Replace </w:t>
      </w:r>
      <w:r w:rsidR="00FC0137" w:rsidRPr="009860AD">
        <w:rPr>
          <w:b/>
        </w:rPr>
        <w:t xml:space="preserve">housing </w:t>
      </w:r>
      <w:r>
        <w:rPr>
          <w:b/>
        </w:rPr>
        <w:t>shuttle with</w:t>
      </w:r>
      <w:r w:rsidR="00FC0137" w:rsidRPr="009860AD">
        <w:rPr>
          <w:b/>
        </w:rPr>
        <w:t xml:space="preserve"> shuttle </w:t>
      </w:r>
      <w:r>
        <w:rPr>
          <w:b/>
        </w:rPr>
        <w:t xml:space="preserve">providing </w:t>
      </w:r>
      <w:r w:rsidR="00FC0137" w:rsidRPr="009860AD">
        <w:rPr>
          <w:b/>
        </w:rPr>
        <w:t xml:space="preserve">service within </w:t>
      </w:r>
      <w:r w:rsidR="00413900">
        <w:rPr>
          <w:b/>
        </w:rPr>
        <w:t>three</w:t>
      </w:r>
      <w:r w:rsidR="00FC0137" w:rsidRPr="009860AD">
        <w:rPr>
          <w:b/>
        </w:rPr>
        <w:t xml:space="preserve"> miles of campus</w:t>
      </w:r>
    </w:p>
    <w:p w:rsidR="00FC0137" w:rsidRPr="00FC0137" w:rsidRDefault="00FC0137" w:rsidP="00622A6A">
      <w:pPr>
        <w:pStyle w:val="ListParagraph"/>
        <w:spacing w:line="240" w:lineRule="auto"/>
        <w:ind w:left="360"/>
      </w:pPr>
      <w:r w:rsidRPr="00FC0137">
        <w:t xml:space="preserve">Provide </w:t>
      </w:r>
      <w:r w:rsidR="009728E6" w:rsidRPr="00FC0137">
        <w:t>shuttle</w:t>
      </w:r>
      <w:r w:rsidR="00A17038">
        <w:t>s</w:t>
      </w:r>
      <w:r w:rsidR="009728E6" w:rsidRPr="00FC0137">
        <w:t xml:space="preserve"> that </w:t>
      </w:r>
      <w:r w:rsidRPr="00FC0137">
        <w:t xml:space="preserve">service </w:t>
      </w:r>
      <w:r w:rsidR="008B7EA8">
        <w:t>local high density student</w:t>
      </w:r>
      <w:r w:rsidRPr="00FC0137">
        <w:t xml:space="preserve"> apartments and student housing around </w:t>
      </w:r>
      <w:r w:rsidR="008B7EA8">
        <w:t xml:space="preserve">the </w:t>
      </w:r>
      <w:r w:rsidRPr="00FC0137">
        <w:t>CSUN campus. A frequent shuttle service would reduce the use of car</w:t>
      </w:r>
      <w:r w:rsidR="008B7EA8">
        <w:t>s</w:t>
      </w:r>
      <w:r w:rsidRPr="00FC0137">
        <w:t xml:space="preserve"> by students that live within </w:t>
      </w:r>
      <w:r w:rsidR="008B7EA8">
        <w:t xml:space="preserve">a </w:t>
      </w:r>
      <w:r w:rsidRPr="00FC0137">
        <w:t xml:space="preserve">3 mile radius </w:t>
      </w:r>
      <w:r w:rsidR="008B7EA8">
        <w:t>of the</w:t>
      </w:r>
      <w:r w:rsidRPr="00FC0137">
        <w:t xml:space="preserve"> campus</w:t>
      </w:r>
      <w:r w:rsidR="00703007">
        <w:t>, but</w:t>
      </w:r>
      <w:r w:rsidR="00703007" w:rsidRPr="00703007">
        <w:rPr>
          <w:sz w:val="24"/>
          <w:szCs w:val="24"/>
        </w:rPr>
        <w:t xml:space="preserve"> </w:t>
      </w:r>
      <w:r w:rsidR="00703007">
        <w:rPr>
          <w:sz w:val="24"/>
          <w:szCs w:val="24"/>
        </w:rPr>
        <w:t xml:space="preserve">the community impact of this measure would </w:t>
      </w:r>
      <w:r w:rsidR="00703007">
        <w:rPr>
          <w:sz w:val="24"/>
          <w:szCs w:val="24"/>
        </w:rPr>
        <w:lastRenderedPageBreak/>
        <w:t>need to be thoroughly investigated to ensure it is a sound traffic reduction measure before implementation.</w:t>
      </w:r>
    </w:p>
    <w:p w:rsidR="00622A6A" w:rsidRDefault="00622A6A" w:rsidP="00242E2E">
      <w:pPr>
        <w:rPr>
          <w:b/>
        </w:rPr>
      </w:pPr>
    </w:p>
    <w:p w:rsidR="00FC0137" w:rsidRPr="00FC0137" w:rsidRDefault="00FC0137" w:rsidP="00242E2E">
      <w:pPr>
        <w:rPr>
          <w:b/>
        </w:rPr>
      </w:pPr>
      <w:r w:rsidRPr="00FC0137">
        <w:rPr>
          <w:b/>
        </w:rPr>
        <w:t>EXPANDING ELECTRIC CAR CHARGING STATIONS</w:t>
      </w:r>
    </w:p>
    <w:p w:rsidR="00FC0137" w:rsidRPr="00FC0137" w:rsidRDefault="00FC0137" w:rsidP="00242E2E">
      <w:r w:rsidRPr="00FC0137">
        <w:t xml:space="preserve">The current electric car charging stations are providing services to those who </w:t>
      </w:r>
      <w:r w:rsidR="004F45AA">
        <w:t>drive</w:t>
      </w:r>
      <w:r w:rsidRPr="00FC0137">
        <w:t xml:space="preserve"> EVs to campus. With </w:t>
      </w:r>
      <w:r w:rsidR="004F45AA">
        <w:t>the</w:t>
      </w:r>
      <w:r w:rsidRPr="00FC0137">
        <w:t xml:space="preserve"> increased popularity of EVs and Plug</w:t>
      </w:r>
      <w:r w:rsidR="000E46EB">
        <w:t>-</w:t>
      </w:r>
      <w:r w:rsidRPr="00FC0137">
        <w:t xml:space="preserve">in Hybrid cars, adding the charging stations would encourage a shift to environmentally friendly vehicles. </w:t>
      </w:r>
    </w:p>
    <w:p w:rsidR="00FC0137" w:rsidRPr="00FC0137" w:rsidRDefault="00FC0137" w:rsidP="00242E2E">
      <w:pPr>
        <w:pStyle w:val="ListParagraph"/>
        <w:numPr>
          <w:ilvl w:val="0"/>
          <w:numId w:val="37"/>
        </w:numPr>
        <w:rPr>
          <w:b/>
        </w:rPr>
      </w:pPr>
      <w:r w:rsidRPr="00FC0137">
        <w:rPr>
          <w:b/>
        </w:rPr>
        <w:t xml:space="preserve">Add electric car charging stations </w:t>
      </w:r>
      <w:r w:rsidR="004F45AA">
        <w:rPr>
          <w:b/>
        </w:rPr>
        <w:t>o</w:t>
      </w:r>
      <w:r w:rsidRPr="00FC0137">
        <w:rPr>
          <w:b/>
        </w:rPr>
        <w:t xml:space="preserve">n campus </w:t>
      </w:r>
    </w:p>
    <w:p w:rsidR="00FC0137" w:rsidRPr="00FC0137" w:rsidRDefault="00FC0137" w:rsidP="00242E2E">
      <w:pPr>
        <w:pStyle w:val="ListParagraph"/>
        <w:ind w:left="360"/>
      </w:pPr>
      <w:r w:rsidRPr="00FC0137">
        <w:t xml:space="preserve">Adding Electric Vehicle (EV) charging stations can encourage </w:t>
      </w:r>
      <w:r w:rsidR="004F45AA">
        <w:t xml:space="preserve">the use of </w:t>
      </w:r>
      <w:r w:rsidRPr="00FC0137">
        <w:t xml:space="preserve">low-emission vehicles by providing the </w:t>
      </w:r>
      <w:r w:rsidR="004F45AA">
        <w:t xml:space="preserve">necessary </w:t>
      </w:r>
      <w:r w:rsidRPr="00FC0137">
        <w:t>support infrastructure.</w:t>
      </w:r>
    </w:p>
    <w:p w:rsidR="00FC0137" w:rsidRPr="00FC0137" w:rsidRDefault="00FC0137" w:rsidP="00242E2E">
      <w:pPr>
        <w:rPr>
          <w:b/>
        </w:rPr>
      </w:pPr>
    </w:p>
    <w:p w:rsidR="00FC0137" w:rsidRPr="00FC0137" w:rsidRDefault="00FC0137" w:rsidP="00242E2E">
      <w:pPr>
        <w:rPr>
          <w:b/>
        </w:rPr>
      </w:pPr>
      <w:r w:rsidRPr="00FC0137">
        <w:rPr>
          <w:b/>
        </w:rPr>
        <w:t>OTHER INTERVENTIONS</w:t>
      </w:r>
    </w:p>
    <w:p w:rsidR="00FC0137" w:rsidRPr="00FC0137" w:rsidRDefault="00FC0137" w:rsidP="00242E2E">
      <w:r w:rsidRPr="00FC0137">
        <w:t>There are also several strategies that help to curb CO</w:t>
      </w:r>
      <w:r w:rsidRPr="0057094E">
        <w:rPr>
          <w:vertAlign w:val="subscript"/>
        </w:rPr>
        <w:t>2</w:t>
      </w:r>
      <w:r w:rsidRPr="00FC0137">
        <w:t xml:space="preserve"> emission</w:t>
      </w:r>
      <w:r w:rsidR="00791DA5">
        <w:t>s</w:t>
      </w:r>
      <w:r w:rsidRPr="00FC0137">
        <w:t xml:space="preserve"> and energy used. </w:t>
      </w:r>
      <w:r w:rsidR="004F45AA">
        <w:t>Among them are the expansion of</w:t>
      </w:r>
      <w:r w:rsidRPr="00FC0137">
        <w:t xml:space="preserve"> student housing, increas</w:t>
      </w:r>
      <w:r w:rsidR="004F45AA">
        <w:t>ing</w:t>
      </w:r>
      <w:r w:rsidRPr="00FC0137">
        <w:t xml:space="preserve"> telecommuting and online/hybrid instruction</w:t>
      </w:r>
      <w:r w:rsidR="00791DA5">
        <w:t>,</w:t>
      </w:r>
      <w:r w:rsidRPr="00FC0137">
        <w:t xml:space="preserve"> and most importantly</w:t>
      </w:r>
      <w:r w:rsidR="004F45AA">
        <w:t>, the</w:t>
      </w:r>
      <w:r w:rsidRPr="00FC0137">
        <w:t xml:space="preserve"> develop</w:t>
      </w:r>
      <w:r w:rsidR="004F45AA">
        <w:t>ment</w:t>
      </w:r>
      <w:r w:rsidRPr="00FC0137">
        <w:t xml:space="preserve"> and implement</w:t>
      </w:r>
      <w:r w:rsidR="004F45AA">
        <w:t>ation of</w:t>
      </w:r>
      <w:r w:rsidRPr="00FC0137">
        <w:t xml:space="preserve"> an outreach plan to increase knowledge about transportation options in and around campus.</w:t>
      </w:r>
    </w:p>
    <w:p w:rsidR="00FC0137" w:rsidRPr="00FC0137" w:rsidRDefault="00FC0137" w:rsidP="00242E2E">
      <w:pPr>
        <w:pStyle w:val="ListParagraph"/>
        <w:numPr>
          <w:ilvl w:val="0"/>
          <w:numId w:val="37"/>
        </w:numPr>
        <w:rPr>
          <w:b/>
        </w:rPr>
      </w:pPr>
      <w:r w:rsidRPr="00FC0137">
        <w:rPr>
          <w:b/>
        </w:rPr>
        <w:t>Expand student housing (with no car policy, bike rental and rideshare programs)</w:t>
      </w:r>
    </w:p>
    <w:p w:rsidR="00FC0137" w:rsidRPr="00FC0137" w:rsidRDefault="00FC0137" w:rsidP="00242E2E">
      <w:pPr>
        <w:pStyle w:val="ListParagraph"/>
        <w:ind w:left="360"/>
      </w:pPr>
      <w:r w:rsidRPr="00FC0137">
        <w:t>Expanding student housing ha</w:t>
      </w:r>
      <w:r w:rsidR="00791DA5">
        <w:t>s</w:t>
      </w:r>
      <w:r w:rsidRPr="00FC0137">
        <w:t xml:space="preserve"> a significant impact on reducing student commuting by reducing number of trips and </w:t>
      </w:r>
      <w:r w:rsidR="004F45AA">
        <w:t>total vehicle miles traveled by students to commute to the CSUN campus</w:t>
      </w:r>
      <w:r w:rsidRPr="00FC0137">
        <w:t xml:space="preserve">.   </w:t>
      </w:r>
    </w:p>
    <w:p w:rsidR="00FC0137" w:rsidRPr="00FC0137" w:rsidRDefault="00FC0137" w:rsidP="00242E2E">
      <w:pPr>
        <w:pStyle w:val="ListParagraph"/>
        <w:numPr>
          <w:ilvl w:val="0"/>
          <w:numId w:val="37"/>
        </w:numPr>
        <w:rPr>
          <w:b/>
        </w:rPr>
      </w:pPr>
      <w:r w:rsidRPr="00FC0137">
        <w:rPr>
          <w:b/>
        </w:rPr>
        <w:t>Increase online and hybrid classes</w:t>
      </w:r>
    </w:p>
    <w:p w:rsidR="00FC0137" w:rsidRPr="00FC0137" w:rsidRDefault="00FC0137" w:rsidP="00242E2E">
      <w:pPr>
        <w:pStyle w:val="ListParagraph"/>
        <w:ind w:left="360"/>
      </w:pPr>
      <w:r w:rsidRPr="00FC0137">
        <w:t xml:space="preserve">Work with Academic Affairs and Extended Learning to increase the capacity for and promotion of distance learning and online courses. Such alternative instruction technologies offer the potential to reduce total number of weekly commutes by students. </w:t>
      </w:r>
    </w:p>
    <w:p w:rsidR="00FC0137" w:rsidRPr="00FC0137" w:rsidRDefault="00FC0137" w:rsidP="00242E2E">
      <w:pPr>
        <w:pStyle w:val="ListParagraph"/>
        <w:numPr>
          <w:ilvl w:val="0"/>
          <w:numId w:val="37"/>
        </w:numPr>
        <w:rPr>
          <w:b/>
        </w:rPr>
      </w:pPr>
      <w:r w:rsidRPr="00FC0137">
        <w:rPr>
          <w:b/>
        </w:rPr>
        <w:t xml:space="preserve">Expand telecommuting and </w:t>
      </w:r>
      <w:r w:rsidR="004F45AA">
        <w:rPr>
          <w:b/>
        </w:rPr>
        <w:t>compressed</w:t>
      </w:r>
      <w:r w:rsidRPr="00FC0137">
        <w:rPr>
          <w:b/>
        </w:rPr>
        <w:t xml:space="preserve"> work schedules for staff</w:t>
      </w:r>
    </w:p>
    <w:p w:rsidR="00FC0137" w:rsidRPr="00FC0137" w:rsidRDefault="00FC0137" w:rsidP="00242E2E">
      <w:pPr>
        <w:pStyle w:val="ListParagraph"/>
        <w:ind w:left="360"/>
      </w:pPr>
      <w:r w:rsidRPr="00FC0137">
        <w:t>Allowing employees to work ten hours each day, four days a week reduces trip</w:t>
      </w:r>
      <w:r w:rsidR="00791DA5">
        <w:t>s</w:t>
      </w:r>
      <w:r w:rsidRPr="00FC0137">
        <w:t xml:space="preserve"> to campus, ultimately reducing CO</w:t>
      </w:r>
      <w:r w:rsidRPr="0057094E">
        <w:rPr>
          <w:vertAlign w:val="subscript"/>
        </w:rPr>
        <w:t>2</w:t>
      </w:r>
      <w:r w:rsidRPr="00FC0137">
        <w:t xml:space="preserve"> emissions and gasoline used.</w:t>
      </w:r>
    </w:p>
    <w:p w:rsidR="00FC0137" w:rsidRPr="00FC0137" w:rsidRDefault="00FC0137" w:rsidP="00242E2E">
      <w:pPr>
        <w:pStyle w:val="ListParagraph"/>
        <w:numPr>
          <w:ilvl w:val="0"/>
          <w:numId w:val="37"/>
        </w:numPr>
        <w:rPr>
          <w:b/>
        </w:rPr>
      </w:pPr>
      <w:r w:rsidRPr="00FC0137">
        <w:rPr>
          <w:b/>
        </w:rPr>
        <w:t>Develop an outreach plan to increase knowledge about transportation options</w:t>
      </w:r>
    </w:p>
    <w:p w:rsidR="00473946" w:rsidRDefault="00FC0137" w:rsidP="00473946">
      <w:pPr>
        <w:pStyle w:val="ListParagraph"/>
        <w:ind w:left="360"/>
      </w:pPr>
      <w:r w:rsidRPr="00FC0137">
        <w:t>Distribute campus transportation maps highlighting the locations of large bike parking installments, covered/secure parking, services such as showers and lockers, electric car charging station</w:t>
      </w:r>
      <w:r w:rsidR="004F45AA">
        <w:t>s</w:t>
      </w:r>
      <w:r w:rsidRPr="00FC0137">
        <w:t>, the transit center, etc. Targeted marketing of transportation options, resources and education through social media, websites and by installing sustainable transportation kiosks that provide information and services.</w:t>
      </w:r>
      <w:r w:rsidR="00473946">
        <w:t xml:space="preserve"> </w:t>
      </w:r>
    </w:p>
    <w:p w:rsidR="00473946" w:rsidRDefault="00473946" w:rsidP="00473946">
      <w:pPr>
        <w:pStyle w:val="ListParagraph"/>
        <w:numPr>
          <w:ilvl w:val="0"/>
          <w:numId w:val="37"/>
        </w:numPr>
        <w:rPr>
          <w:b/>
        </w:rPr>
      </w:pPr>
      <w:r w:rsidRPr="00473946">
        <w:rPr>
          <w:b/>
        </w:rPr>
        <w:t>Expand faculty and staff housing to reduce commuting</w:t>
      </w:r>
    </w:p>
    <w:p w:rsidR="00473946" w:rsidRPr="00473946" w:rsidRDefault="00473946" w:rsidP="00473946">
      <w:pPr>
        <w:ind w:left="360"/>
      </w:pPr>
      <w:r>
        <w:t>Construct additional housing on or close to campus to reduce commuting from staff and faculty.  Although construction would be a costly upfront, this could be cost-neutral or even generate revenue over the long term.</w:t>
      </w:r>
    </w:p>
    <w:p w:rsidR="001E1A22" w:rsidRPr="00F87606" w:rsidRDefault="00F87606" w:rsidP="00242E2E">
      <w:pPr>
        <w:pStyle w:val="Heading3"/>
      </w:pPr>
      <w:bookmarkStart w:id="20" w:name="_Toc440630064"/>
      <w:r w:rsidRPr="00F87606">
        <w:t>3</w:t>
      </w:r>
      <w:r w:rsidR="00FC7D17" w:rsidRPr="00F87606">
        <w:t>.</w:t>
      </w:r>
      <w:r w:rsidR="001C0B7D" w:rsidRPr="00F87606">
        <w:t>5</w:t>
      </w:r>
      <w:r w:rsidR="00FC7D17" w:rsidRPr="00F87606">
        <w:t>.2</w:t>
      </w:r>
      <w:r w:rsidR="001E1A22" w:rsidRPr="00F87606">
        <w:t xml:space="preserve"> </w:t>
      </w:r>
      <w:r w:rsidR="00AF0F1E" w:rsidRPr="00F87606">
        <w:t>Business travel</w:t>
      </w:r>
      <w:bookmarkEnd w:id="20"/>
      <w:r w:rsidR="00AF0F1E" w:rsidRPr="00F87606">
        <w:t xml:space="preserve"> </w:t>
      </w:r>
    </w:p>
    <w:p w:rsidR="000E46EB" w:rsidRPr="000E46EB" w:rsidRDefault="00FC4F09" w:rsidP="00242E2E">
      <w:pPr>
        <w:rPr>
          <w:rFonts w:ascii="Times New Roman" w:eastAsia="Times New Roman" w:hAnsi="Times New Roman" w:cs="Times New Roman"/>
          <w:sz w:val="24"/>
          <w:szCs w:val="24"/>
        </w:rPr>
      </w:pPr>
      <w:r>
        <w:rPr>
          <w:rFonts w:ascii="Calibri" w:eastAsia="Times New Roman" w:hAnsi="Calibri" w:cs="Times New Roman"/>
          <w:color w:val="000000"/>
        </w:rPr>
        <w:t>Staff and faculty</w:t>
      </w:r>
      <w:r w:rsidR="000E46EB" w:rsidRPr="000E46EB">
        <w:rPr>
          <w:rFonts w:ascii="Calibri" w:eastAsia="Times New Roman" w:hAnsi="Calibri" w:cs="Times New Roman"/>
          <w:color w:val="000000"/>
        </w:rPr>
        <w:t xml:space="preserve"> of the higher education community</w:t>
      </w:r>
      <w:r>
        <w:rPr>
          <w:rFonts w:ascii="Calibri" w:eastAsia="Times New Roman" w:hAnsi="Calibri" w:cs="Times New Roman"/>
          <w:color w:val="000000"/>
        </w:rPr>
        <w:t xml:space="preserve"> at times, need to travel</w:t>
      </w:r>
      <w:r w:rsidR="000E46EB" w:rsidRPr="000E46EB">
        <w:rPr>
          <w:rFonts w:ascii="Calibri" w:eastAsia="Times New Roman" w:hAnsi="Calibri" w:cs="Times New Roman"/>
          <w:color w:val="000000"/>
        </w:rPr>
        <w:t xml:space="preserve"> for university sponsored business. </w:t>
      </w:r>
      <w:r>
        <w:rPr>
          <w:rFonts w:ascii="Calibri" w:eastAsia="Times New Roman" w:hAnsi="Calibri" w:cs="Times New Roman"/>
          <w:color w:val="000000"/>
        </w:rPr>
        <w:t>U</w:t>
      </w:r>
      <w:r w:rsidR="000E46EB" w:rsidRPr="000E46EB">
        <w:rPr>
          <w:rFonts w:ascii="Calibri" w:eastAsia="Times New Roman" w:hAnsi="Calibri" w:cs="Times New Roman"/>
          <w:color w:val="000000"/>
        </w:rPr>
        <w:t xml:space="preserve">niversity sponsored travel often relates to professional development as well as </w:t>
      </w:r>
      <w:r>
        <w:rPr>
          <w:rFonts w:ascii="Calibri" w:eastAsia="Times New Roman" w:hAnsi="Calibri" w:cs="Times New Roman"/>
          <w:color w:val="000000"/>
        </w:rPr>
        <w:t>sharing accomplishments and research</w:t>
      </w:r>
      <w:r w:rsidR="000E46EB" w:rsidRPr="000E46EB">
        <w:rPr>
          <w:rFonts w:ascii="Calibri" w:eastAsia="Times New Roman" w:hAnsi="Calibri" w:cs="Times New Roman"/>
          <w:color w:val="000000"/>
        </w:rPr>
        <w:t xml:space="preserve"> through conferences, meetings and </w:t>
      </w:r>
      <w:r>
        <w:rPr>
          <w:rFonts w:ascii="Calibri" w:eastAsia="Times New Roman" w:hAnsi="Calibri" w:cs="Times New Roman"/>
          <w:color w:val="000000"/>
        </w:rPr>
        <w:t>outreach</w:t>
      </w:r>
      <w:r w:rsidR="000E46EB" w:rsidRPr="000E46EB">
        <w:rPr>
          <w:rFonts w:ascii="Calibri" w:eastAsia="Times New Roman" w:hAnsi="Calibri" w:cs="Times New Roman"/>
          <w:color w:val="000000"/>
        </w:rPr>
        <w:t xml:space="preserve">. CSUN’s </w:t>
      </w:r>
      <w:r>
        <w:rPr>
          <w:rFonts w:ascii="Calibri" w:eastAsia="Times New Roman" w:hAnsi="Calibri" w:cs="Times New Roman"/>
          <w:color w:val="000000"/>
        </w:rPr>
        <w:lastRenderedPageBreak/>
        <w:t>GHG</w:t>
      </w:r>
      <w:r w:rsidR="000E46EB" w:rsidRPr="000E46EB">
        <w:rPr>
          <w:rFonts w:ascii="Calibri" w:eastAsia="Times New Roman" w:hAnsi="Calibri" w:cs="Times New Roman"/>
          <w:color w:val="000000"/>
        </w:rPr>
        <w:t xml:space="preserve"> Emissions Report revealed that university sponsored business travel contributes between 3,000 and 4,000 </w:t>
      </w:r>
      <w:proofErr w:type="spellStart"/>
      <w:r>
        <w:rPr>
          <w:rFonts w:ascii="Calibri" w:eastAsia="Times New Roman" w:hAnsi="Calibri" w:cs="Times New Roman"/>
          <w:color w:val="000000"/>
        </w:rPr>
        <w:t>tonnes</w:t>
      </w:r>
      <w:proofErr w:type="spellEnd"/>
      <w:r w:rsidR="000E46EB" w:rsidRPr="000E46EB">
        <w:rPr>
          <w:rFonts w:ascii="Calibri" w:eastAsia="Times New Roman" w:hAnsi="Calibri" w:cs="Times New Roman"/>
          <w:color w:val="000000"/>
        </w:rPr>
        <w:t xml:space="preserve"> eCO</w:t>
      </w:r>
      <w:r w:rsidR="000E46EB" w:rsidRPr="0057094E">
        <w:rPr>
          <w:rFonts w:ascii="Calibri" w:eastAsia="Times New Roman" w:hAnsi="Calibri" w:cs="Times New Roman"/>
          <w:color w:val="000000"/>
          <w:vertAlign w:val="subscript"/>
        </w:rPr>
        <w:t>2</w:t>
      </w:r>
      <w:r w:rsidR="000E46EB" w:rsidRPr="000E46EB">
        <w:rPr>
          <w:rFonts w:ascii="Calibri" w:eastAsia="Times New Roman" w:hAnsi="Calibri" w:cs="Times New Roman"/>
          <w:color w:val="000000"/>
        </w:rPr>
        <w:t xml:space="preserve"> annually, equivalent to 4-5% of the total campus emissions.</w:t>
      </w:r>
    </w:p>
    <w:p w:rsidR="000E46EB" w:rsidRDefault="000E46EB" w:rsidP="00242E2E">
      <w:pPr>
        <w:rPr>
          <w:rFonts w:ascii="Calibri" w:eastAsia="Times New Roman" w:hAnsi="Calibri" w:cs="Times New Roman"/>
          <w:color w:val="000000"/>
        </w:rPr>
      </w:pPr>
      <w:r w:rsidRPr="000E46EB">
        <w:rPr>
          <w:rFonts w:ascii="Calibri" w:eastAsia="Times New Roman" w:hAnsi="Calibri" w:cs="Times New Roman"/>
          <w:color w:val="000000"/>
        </w:rPr>
        <w:t xml:space="preserve">While CSUN </w:t>
      </w:r>
      <w:r w:rsidR="00FC4F09">
        <w:rPr>
          <w:rFonts w:ascii="Calibri" w:eastAsia="Times New Roman" w:hAnsi="Calibri" w:cs="Times New Roman"/>
          <w:color w:val="000000"/>
        </w:rPr>
        <w:t xml:space="preserve">has </w:t>
      </w:r>
      <w:r w:rsidRPr="000E46EB">
        <w:rPr>
          <w:rFonts w:ascii="Calibri" w:eastAsia="Times New Roman" w:hAnsi="Calibri" w:cs="Times New Roman"/>
          <w:color w:val="000000"/>
        </w:rPr>
        <w:t xml:space="preserve">maintained records of </w:t>
      </w:r>
      <w:r w:rsidR="00FC4F09">
        <w:rPr>
          <w:rFonts w:ascii="Calibri" w:eastAsia="Times New Roman" w:hAnsi="Calibri" w:cs="Times New Roman"/>
          <w:color w:val="000000"/>
        </w:rPr>
        <w:t xml:space="preserve">travel costs which include </w:t>
      </w:r>
      <w:r w:rsidRPr="000E46EB">
        <w:rPr>
          <w:rFonts w:ascii="Calibri" w:eastAsia="Times New Roman" w:hAnsi="Calibri" w:cs="Times New Roman"/>
          <w:color w:val="000000"/>
        </w:rPr>
        <w:t xml:space="preserve">the destination of the sponsored travel, the method of transport </w:t>
      </w:r>
      <w:r w:rsidR="00FC4F09">
        <w:rPr>
          <w:rFonts w:ascii="Calibri" w:eastAsia="Times New Roman" w:hAnsi="Calibri" w:cs="Times New Roman"/>
          <w:color w:val="000000"/>
        </w:rPr>
        <w:t>is not part of those records</w:t>
      </w:r>
      <w:r w:rsidRPr="000E46EB">
        <w:rPr>
          <w:rFonts w:ascii="Calibri" w:eastAsia="Times New Roman" w:hAnsi="Calibri" w:cs="Times New Roman"/>
          <w:color w:val="000000"/>
        </w:rPr>
        <w:t xml:space="preserve">. </w:t>
      </w:r>
      <w:r w:rsidR="00FC4F09">
        <w:rPr>
          <w:rFonts w:ascii="Calibri" w:eastAsia="Times New Roman" w:hAnsi="Calibri" w:cs="Times New Roman"/>
          <w:color w:val="000000"/>
        </w:rPr>
        <w:t>E</w:t>
      </w:r>
      <w:r w:rsidRPr="000E46EB">
        <w:rPr>
          <w:rFonts w:ascii="Calibri" w:eastAsia="Times New Roman" w:hAnsi="Calibri" w:cs="Times New Roman"/>
          <w:color w:val="000000"/>
        </w:rPr>
        <w:t xml:space="preserve">missions were estimated making the assumption that any travel within 200 miles of CSUN is </w:t>
      </w:r>
      <w:r w:rsidR="00FC4F09">
        <w:rPr>
          <w:rFonts w:ascii="Calibri" w:eastAsia="Times New Roman" w:hAnsi="Calibri" w:cs="Times New Roman"/>
          <w:color w:val="000000"/>
        </w:rPr>
        <w:t>by</w:t>
      </w:r>
      <w:r w:rsidRPr="000E46EB">
        <w:rPr>
          <w:rFonts w:ascii="Calibri" w:eastAsia="Times New Roman" w:hAnsi="Calibri" w:cs="Times New Roman"/>
          <w:color w:val="000000"/>
        </w:rPr>
        <w:t xml:space="preserve"> car, and travel beyond that distance is by plane. </w:t>
      </w:r>
      <w:r w:rsidR="00FC4F09">
        <w:rPr>
          <w:rFonts w:ascii="Calibri" w:eastAsia="Times New Roman" w:hAnsi="Calibri" w:cs="Times New Roman"/>
          <w:color w:val="000000"/>
        </w:rPr>
        <w:t>Based upon destination, d</w:t>
      </w:r>
      <w:r w:rsidRPr="000E46EB">
        <w:rPr>
          <w:rFonts w:ascii="Calibri" w:eastAsia="Times New Roman" w:hAnsi="Calibri" w:cs="Times New Roman"/>
          <w:color w:val="000000"/>
        </w:rPr>
        <w:t xml:space="preserve">riving and flight distances were recorded in </w:t>
      </w:r>
      <w:r w:rsidR="00FC4F09">
        <w:rPr>
          <w:rFonts w:ascii="Calibri" w:eastAsia="Times New Roman" w:hAnsi="Calibri" w:cs="Times New Roman"/>
          <w:color w:val="000000"/>
        </w:rPr>
        <w:t>a GHG calculator</w:t>
      </w:r>
      <w:r w:rsidRPr="000E46EB">
        <w:rPr>
          <w:rFonts w:ascii="Calibri" w:eastAsia="Times New Roman" w:hAnsi="Calibri" w:cs="Times New Roman"/>
          <w:color w:val="000000"/>
        </w:rPr>
        <w:t xml:space="preserve"> in which energy consumption and accompanying emissions were computed based on national energy efficiency data for vehicles and planes from the U.S. Department of Transportation, Bureau of Transportation Statistics. </w:t>
      </w:r>
      <w:r w:rsidR="00FC4F09">
        <w:rPr>
          <w:rFonts w:ascii="Calibri" w:eastAsia="Times New Roman" w:hAnsi="Calibri" w:cs="Times New Roman"/>
          <w:color w:val="000000"/>
        </w:rPr>
        <w:t>These calculations were performed for years 2010-2013.</w:t>
      </w:r>
    </w:p>
    <w:p w:rsidR="00FC4F09" w:rsidRPr="000E46EB" w:rsidRDefault="00FC4F09" w:rsidP="00242E2E">
      <w:pPr>
        <w:rPr>
          <w:rFonts w:ascii="Times New Roman" w:eastAsia="Times New Roman" w:hAnsi="Times New Roman" w:cs="Times New Roman"/>
          <w:sz w:val="24"/>
          <w:szCs w:val="24"/>
        </w:rPr>
      </w:pPr>
    </w:p>
    <w:p w:rsidR="000E46EB" w:rsidRPr="000E46EB" w:rsidRDefault="000E46EB" w:rsidP="00242E2E">
      <w:pPr>
        <w:rPr>
          <w:rFonts w:ascii="Times New Roman" w:eastAsia="Times New Roman" w:hAnsi="Times New Roman" w:cs="Times New Roman"/>
          <w:sz w:val="24"/>
          <w:szCs w:val="24"/>
        </w:rPr>
      </w:pPr>
      <w:r w:rsidRPr="000E46EB">
        <w:rPr>
          <w:rFonts w:ascii="Calibri" w:eastAsia="Times New Roman" w:hAnsi="Calibri" w:cs="Times New Roman"/>
          <w:color w:val="000000"/>
        </w:rPr>
        <w:t>To obtain an estimate of the business travel emissions for years prior to 2010, averages of flight miles per employee (faculty + staff) and miles driven per employee (faculty + staff) for the four years of record (2010 – 2013)</w:t>
      </w:r>
      <w:r w:rsidR="000B592C">
        <w:rPr>
          <w:rFonts w:ascii="Calibri" w:eastAsia="Times New Roman" w:hAnsi="Calibri" w:cs="Times New Roman"/>
          <w:color w:val="000000"/>
        </w:rPr>
        <w:t xml:space="preserve"> were utilized</w:t>
      </w:r>
      <w:r w:rsidRPr="000E46EB">
        <w:rPr>
          <w:rFonts w:ascii="Calibri" w:eastAsia="Times New Roman" w:hAnsi="Calibri" w:cs="Times New Roman"/>
          <w:color w:val="000000"/>
        </w:rPr>
        <w:t xml:space="preserve">. </w:t>
      </w:r>
      <w:r w:rsidR="000B592C">
        <w:rPr>
          <w:rFonts w:ascii="Calibri" w:eastAsia="Times New Roman" w:hAnsi="Calibri" w:cs="Times New Roman"/>
          <w:color w:val="000000"/>
        </w:rPr>
        <w:t xml:space="preserve"> These were</w:t>
      </w:r>
      <w:r w:rsidRPr="000E46EB">
        <w:rPr>
          <w:rFonts w:ascii="Calibri" w:eastAsia="Times New Roman" w:hAnsi="Calibri" w:cs="Times New Roman"/>
          <w:color w:val="000000"/>
        </w:rPr>
        <w:t xml:space="preserve"> </w:t>
      </w:r>
      <w:r w:rsidR="000B592C" w:rsidRPr="000E46EB">
        <w:rPr>
          <w:rFonts w:ascii="Calibri" w:eastAsia="Times New Roman" w:hAnsi="Calibri" w:cs="Times New Roman"/>
          <w:color w:val="000000"/>
        </w:rPr>
        <w:t xml:space="preserve">1,125 miles </w:t>
      </w:r>
      <w:r w:rsidR="000B592C">
        <w:rPr>
          <w:rFonts w:ascii="Calibri" w:eastAsia="Times New Roman" w:hAnsi="Calibri" w:cs="Times New Roman"/>
          <w:color w:val="000000"/>
        </w:rPr>
        <w:t xml:space="preserve">for </w:t>
      </w:r>
      <w:r w:rsidRPr="000E46EB">
        <w:rPr>
          <w:rFonts w:ascii="Calibri" w:eastAsia="Times New Roman" w:hAnsi="Calibri" w:cs="Times New Roman"/>
          <w:color w:val="000000"/>
        </w:rPr>
        <w:t>the average distance flown per employee</w:t>
      </w:r>
      <w:r w:rsidR="000B592C">
        <w:rPr>
          <w:rFonts w:ascii="Calibri" w:eastAsia="Times New Roman" w:hAnsi="Calibri" w:cs="Times New Roman"/>
          <w:color w:val="000000"/>
        </w:rPr>
        <w:t xml:space="preserve"> per year</w:t>
      </w:r>
      <w:r w:rsidRPr="000E46EB">
        <w:rPr>
          <w:rFonts w:ascii="Calibri" w:eastAsia="Times New Roman" w:hAnsi="Calibri" w:cs="Times New Roman"/>
          <w:color w:val="000000"/>
        </w:rPr>
        <w:t xml:space="preserve">, and </w:t>
      </w:r>
      <w:r w:rsidR="000B592C">
        <w:rPr>
          <w:rFonts w:ascii="Calibri" w:eastAsia="Times New Roman" w:hAnsi="Calibri" w:cs="Times New Roman"/>
          <w:color w:val="000000"/>
        </w:rPr>
        <w:t xml:space="preserve">111 miles </w:t>
      </w:r>
      <w:r w:rsidRPr="000E46EB">
        <w:rPr>
          <w:rFonts w:ascii="Calibri" w:eastAsia="Times New Roman" w:hAnsi="Calibri" w:cs="Times New Roman"/>
          <w:color w:val="000000"/>
        </w:rPr>
        <w:t xml:space="preserve">driven. These data were used to extrapolate years 1990 – 2009 using the actual number of employees (faculty + staff) for each year. For additional information on these calculations see </w:t>
      </w:r>
      <w:r w:rsidRPr="000E46EB">
        <w:rPr>
          <w:rFonts w:ascii="Calibri" w:eastAsia="Times New Roman" w:hAnsi="Calibri" w:cs="Times New Roman"/>
          <w:i/>
          <w:iCs/>
          <w:color w:val="000000"/>
        </w:rPr>
        <w:t>CSUN Greenhouse Gas Emissions Report, 1990-2013</w:t>
      </w:r>
      <w:r w:rsidRPr="000E46EB">
        <w:rPr>
          <w:rFonts w:ascii="Calibri" w:eastAsia="Times New Roman" w:hAnsi="Calibri" w:cs="Times New Roman"/>
          <w:color w:val="000000"/>
        </w:rPr>
        <w:t>.</w:t>
      </w:r>
    </w:p>
    <w:p w:rsidR="000E46EB" w:rsidRPr="000E46EB" w:rsidRDefault="000E46EB" w:rsidP="00242E2E">
      <w:pPr>
        <w:rPr>
          <w:rFonts w:ascii="Times New Roman" w:eastAsia="Times New Roman" w:hAnsi="Times New Roman" w:cs="Times New Roman"/>
          <w:sz w:val="24"/>
          <w:szCs w:val="24"/>
        </w:rPr>
      </w:pPr>
    </w:p>
    <w:p w:rsidR="000E46EB" w:rsidRPr="000E46EB" w:rsidRDefault="000E46EB" w:rsidP="00242E2E">
      <w:pPr>
        <w:rPr>
          <w:rFonts w:ascii="Times New Roman" w:eastAsia="Times New Roman" w:hAnsi="Times New Roman" w:cs="Times New Roman"/>
          <w:sz w:val="24"/>
          <w:szCs w:val="24"/>
        </w:rPr>
      </w:pPr>
      <w:r w:rsidRPr="000E46EB">
        <w:rPr>
          <w:rFonts w:ascii="Calibri" w:eastAsia="Times New Roman" w:hAnsi="Calibri" w:cs="Times New Roman"/>
          <w:color w:val="000000"/>
        </w:rPr>
        <w:t xml:space="preserve">In order to reduce the GHG emissions related to </w:t>
      </w:r>
      <w:r w:rsidR="00281B0D">
        <w:rPr>
          <w:rFonts w:ascii="Calibri" w:eastAsia="Times New Roman" w:hAnsi="Calibri" w:cs="Times New Roman"/>
          <w:color w:val="000000"/>
        </w:rPr>
        <w:t>business travel</w:t>
      </w:r>
      <w:r w:rsidRPr="000E46EB">
        <w:rPr>
          <w:rFonts w:ascii="Calibri" w:eastAsia="Times New Roman" w:hAnsi="Calibri" w:cs="Times New Roman"/>
          <w:color w:val="000000"/>
        </w:rPr>
        <w:t>, the University has identified the following strategies.</w:t>
      </w:r>
    </w:p>
    <w:p w:rsidR="000E46EB" w:rsidRPr="000E46EB" w:rsidRDefault="000E46EB" w:rsidP="00242E2E">
      <w:pPr>
        <w:rPr>
          <w:rFonts w:ascii="Times New Roman" w:eastAsia="Times New Roman" w:hAnsi="Times New Roman" w:cs="Times New Roman"/>
          <w:sz w:val="24"/>
          <w:szCs w:val="24"/>
        </w:rPr>
      </w:pPr>
    </w:p>
    <w:p w:rsidR="000E46EB" w:rsidRPr="000E46EB" w:rsidRDefault="000E46EB" w:rsidP="00DA0AC2">
      <w:pPr>
        <w:spacing w:line="240" w:lineRule="auto"/>
        <w:rPr>
          <w:rFonts w:ascii="Times New Roman" w:eastAsia="Times New Roman" w:hAnsi="Times New Roman" w:cs="Times New Roman"/>
          <w:sz w:val="24"/>
          <w:szCs w:val="24"/>
        </w:rPr>
      </w:pPr>
      <w:r w:rsidRPr="000E46EB">
        <w:rPr>
          <w:rFonts w:ascii="Calibri" w:eastAsia="Times New Roman" w:hAnsi="Calibri" w:cs="Times New Roman"/>
          <w:b/>
          <w:bCs/>
          <w:color w:val="000000"/>
        </w:rPr>
        <w:t xml:space="preserve">Strategies </w:t>
      </w:r>
    </w:p>
    <w:tbl>
      <w:tblPr>
        <w:tblW w:w="0" w:type="auto"/>
        <w:tblCellMar>
          <w:top w:w="15" w:type="dxa"/>
          <w:left w:w="15" w:type="dxa"/>
          <w:bottom w:w="15" w:type="dxa"/>
          <w:right w:w="15" w:type="dxa"/>
        </w:tblCellMar>
        <w:tblLook w:val="04A0" w:firstRow="1" w:lastRow="0" w:firstColumn="1" w:lastColumn="0" w:noHBand="0" w:noVBand="1"/>
      </w:tblPr>
      <w:tblGrid>
        <w:gridCol w:w="3305"/>
        <w:gridCol w:w="2341"/>
        <w:gridCol w:w="3338"/>
      </w:tblGrid>
      <w:tr w:rsidR="00605D55" w:rsidRPr="000E46EB" w:rsidTr="004E79C7">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605D55" w:rsidRPr="00605D55" w:rsidRDefault="00605D55" w:rsidP="00DA0AC2">
            <w:pPr>
              <w:spacing w:line="240" w:lineRule="auto"/>
              <w:rPr>
                <w:rFonts w:ascii="Times New Roman" w:eastAsia="Times New Roman" w:hAnsi="Times New Roman" w:cs="Times New Roman"/>
              </w:rPr>
            </w:pPr>
            <w:r w:rsidRPr="00605D55">
              <w:rPr>
                <w:rFonts w:ascii="Calibri" w:eastAsia="Times New Roman" w:hAnsi="Calibri" w:cs="Times New Roman"/>
                <w:b/>
                <w:bCs/>
                <w:color w:val="000000"/>
              </w:rPr>
              <w:t>Strategy</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605D55" w:rsidRPr="00605D55" w:rsidRDefault="00605D55" w:rsidP="00DA0AC2">
            <w:pPr>
              <w:spacing w:line="240" w:lineRule="auto"/>
              <w:rPr>
                <w:rFonts w:ascii="Times New Roman" w:eastAsia="Times New Roman" w:hAnsi="Times New Roman" w:cs="Times New Roman"/>
              </w:rPr>
            </w:pPr>
            <w:r w:rsidRPr="00605D55">
              <w:rPr>
                <w:rFonts w:ascii="Calibri" w:eastAsia="Times New Roman" w:hAnsi="Calibri" w:cs="Times New Roman"/>
                <w:b/>
                <w:bCs/>
                <w:color w:val="000000"/>
              </w:rPr>
              <w:t xml:space="preserve">Potential GHG Savings </w:t>
            </w:r>
            <w:r w:rsidR="00F87606">
              <w:rPr>
                <w:rFonts w:ascii="Calibri" w:eastAsia="Times New Roman" w:hAnsi="Calibri" w:cs="Times New Roman"/>
                <w:b/>
                <w:bCs/>
                <w:color w:val="000000"/>
              </w:rPr>
              <w:t>(</w:t>
            </w:r>
            <w:proofErr w:type="spellStart"/>
            <w:r w:rsidR="00F87606">
              <w:rPr>
                <w:rFonts w:ascii="Calibri" w:eastAsia="Times New Roman" w:hAnsi="Calibri" w:cs="Times New Roman"/>
                <w:b/>
                <w:bCs/>
                <w:color w:val="000000"/>
              </w:rPr>
              <w:t>tonnes</w:t>
            </w:r>
            <w:proofErr w:type="spellEnd"/>
            <w:r w:rsidR="00F87606">
              <w:rPr>
                <w:rFonts w:ascii="Calibri" w:eastAsia="Times New Roman" w:hAnsi="Calibri" w:cs="Times New Roman"/>
                <w:b/>
                <w:bCs/>
                <w:color w:val="000000"/>
              </w:rPr>
              <w:t>)</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center"/>
            <w:hideMark/>
          </w:tcPr>
          <w:p w:rsidR="00605D55" w:rsidRPr="00605D55" w:rsidRDefault="00605D55" w:rsidP="00DA0AC2">
            <w:pPr>
              <w:spacing w:line="240" w:lineRule="auto"/>
              <w:rPr>
                <w:rFonts w:ascii="Times New Roman" w:eastAsia="Times New Roman" w:hAnsi="Times New Roman" w:cs="Times New Roman"/>
              </w:rPr>
            </w:pPr>
            <w:r w:rsidRPr="00605D55">
              <w:rPr>
                <w:rFonts w:ascii="Calibri" w:eastAsia="Times New Roman" w:hAnsi="Calibri" w:cs="Times New Roman"/>
                <w:b/>
                <w:bCs/>
                <w:color w:val="000000"/>
              </w:rPr>
              <w:t>Estimated Project cost (one-time and ongoing)</w:t>
            </w:r>
          </w:p>
        </w:tc>
      </w:tr>
      <w:tr w:rsidR="00605D55" w:rsidRPr="000E46EB" w:rsidTr="004E79C7">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bCs/>
                <w:color w:val="000000"/>
              </w:rPr>
              <w:t>1. Utilize virtual meeting technologies</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hAnsi="Calibri"/>
                <w:color w:val="000000"/>
              </w:rPr>
              <w:t xml:space="preserve">                210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color w:val="000000"/>
              </w:rPr>
              <w:t>$10,000</w:t>
            </w:r>
          </w:p>
        </w:tc>
      </w:tr>
      <w:tr w:rsidR="00605D55" w:rsidRPr="000E46EB" w:rsidTr="004E79C7">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bCs/>
                <w:color w:val="000000"/>
              </w:rPr>
              <w:t>2. EV/Hybrid vehicles</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hAnsi="Calibri"/>
                <w:color w:val="000000"/>
              </w:rPr>
              <w:t xml:space="preserve">                141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color w:val="000000"/>
              </w:rPr>
              <w:t>n/a</w:t>
            </w:r>
          </w:p>
        </w:tc>
      </w:tr>
      <w:tr w:rsidR="00605D55" w:rsidRPr="000E46EB" w:rsidTr="004E79C7">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bCs/>
                <w:color w:val="000000"/>
              </w:rPr>
              <w:t>3. Shared EV for local travel</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hAnsi="Calibri"/>
                <w:color w:val="000000"/>
              </w:rPr>
              <w:t xml:space="preserve">                  80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color w:val="000000"/>
              </w:rPr>
              <w:t>$150,000</w:t>
            </w:r>
          </w:p>
        </w:tc>
      </w:tr>
      <w:tr w:rsidR="00605D55" w:rsidRPr="000E46EB" w:rsidTr="004E79C7">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bCs/>
                <w:color w:val="000000"/>
              </w:rPr>
              <w:t>4. Carbon Fund for unavoidable business travel</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vAlign w:val="bottom"/>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hAnsi="Calibri"/>
                <w:color w:val="000000"/>
              </w:rPr>
              <w:t xml:space="preserve">                   -   </w:t>
            </w:r>
          </w:p>
        </w:tc>
        <w:tc>
          <w:tcPr>
            <w:tcW w:w="0" w:type="auto"/>
            <w:tcBorders>
              <w:top w:val="single" w:sz="6" w:space="0" w:color="000000"/>
              <w:left w:val="single" w:sz="6" w:space="0" w:color="000000"/>
              <w:bottom w:val="single" w:sz="6" w:space="0" w:color="000000"/>
              <w:right w:val="single" w:sz="6" w:space="0" w:color="000000"/>
            </w:tcBorders>
            <w:tcMar>
              <w:top w:w="0" w:type="dxa"/>
              <w:left w:w="120" w:type="dxa"/>
              <w:bottom w:w="0" w:type="dxa"/>
              <w:right w:w="120" w:type="dxa"/>
            </w:tcMar>
            <w:hideMark/>
          </w:tcPr>
          <w:p w:rsidR="00605D55" w:rsidRPr="00605D55" w:rsidRDefault="00605D55" w:rsidP="00DA0AC2">
            <w:pPr>
              <w:spacing w:line="240" w:lineRule="auto"/>
              <w:rPr>
                <w:rFonts w:ascii="Times New Roman" w:eastAsia="Times New Roman" w:hAnsi="Times New Roman" w:cs="Times New Roman"/>
                <w:sz w:val="24"/>
                <w:szCs w:val="24"/>
              </w:rPr>
            </w:pPr>
            <w:r w:rsidRPr="00605D55">
              <w:rPr>
                <w:rFonts w:ascii="Calibri" w:eastAsia="Times New Roman" w:hAnsi="Calibri" w:cs="Times New Roman"/>
                <w:color w:val="000000"/>
              </w:rPr>
              <w:t>$23/MTeCO</w:t>
            </w:r>
            <w:r w:rsidRPr="0057094E">
              <w:rPr>
                <w:rFonts w:ascii="Calibri" w:eastAsia="Times New Roman" w:hAnsi="Calibri" w:cs="Times New Roman"/>
                <w:color w:val="000000"/>
                <w:vertAlign w:val="subscript"/>
              </w:rPr>
              <w:t>2</w:t>
            </w:r>
            <w:r w:rsidRPr="00605D55">
              <w:rPr>
                <w:rFonts w:ascii="Calibri" w:eastAsia="Times New Roman" w:hAnsi="Calibri" w:cs="Times New Roman"/>
                <w:color w:val="000000"/>
              </w:rPr>
              <w:t xml:space="preserve"> avoided</w:t>
            </w:r>
          </w:p>
        </w:tc>
      </w:tr>
    </w:tbl>
    <w:p w:rsidR="00605D55" w:rsidRDefault="00605D55" w:rsidP="00DA0AC2">
      <w:pPr>
        <w:spacing w:line="240" w:lineRule="auto"/>
        <w:textAlignment w:val="baseline"/>
        <w:rPr>
          <w:rFonts w:ascii="Calibri" w:eastAsia="Times New Roman" w:hAnsi="Calibri" w:cs="Times New Roman"/>
          <w:b/>
          <w:bCs/>
          <w:color w:val="000000"/>
        </w:rPr>
      </w:pPr>
    </w:p>
    <w:p w:rsidR="000E46EB" w:rsidRPr="000E46EB" w:rsidRDefault="000E46EB" w:rsidP="00242E2E">
      <w:pPr>
        <w:numPr>
          <w:ilvl w:val="0"/>
          <w:numId w:val="30"/>
        </w:numPr>
        <w:tabs>
          <w:tab w:val="clear" w:pos="720"/>
          <w:tab w:val="num" w:pos="360"/>
        </w:tabs>
        <w:ind w:left="360"/>
        <w:textAlignment w:val="baseline"/>
        <w:rPr>
          <w:rFonts w:ascii="Calibri" w:eastAsia="Times New Roman" w:hAnsi="Calibri" w:cs="Times New Roman"/>
          <w:b/>
          <w:bCs/>
          <w:color w:val="000000"/>
        </w:rPr>
      </w:pPr>
      <w:r w:rsidRPr="000E46EB">
        <w:rPr>
          <w:rFonts w:ascii="Calibri" w:eastAsia="Times New Roman" w:hAnsi="Calibri" w:cs="Times New Roman"/>
          <w:b/>
          <w:bCs/>
          <w:color w:val="000000"/>
        </w:rPr>
        <w:t>Utilize virtual meeting technologies</w:t>
      </w:r>
    </w:p>
    <w:p w:rsidR="000E46EB" w:rsidRPr="000E46EB" w:rsidRDefault="000E46EB" w:rsidP="00242E2E">
      <w:pPr>
        <w:rPr>
          <w:rFonts w:ascii="Times New Roman" w:eastAsia="Times New Roman" w:hAnsi="Times New Roman" w:cs="Times New Roman"/>
          <w:sz w:val="24"/>
          <w:szCs w:val="24"/>
        </w:rPr>
      </w:pPr>
      <w:r w:rsidRPr="000E46EB">
        <w:rPr>
          <w:rFonts w:ascii="Calibri" w:eastAsia="Times New Roman" w:hAnsi="Calibri" w:cs="Times New Roman"/>
          <w:color w:val="000000"/>
        </w:rPr>
        <w:t>The most effective way to reduce emissions related to business travel is to eliminate physical travel completely. While we recognize that this would not be feasible in all cases, in many cases virtual meeting technologies could be used with very little impact. With the current state of the technology, virtual meeting software is very suitable for meetings, trainings as well as initial interviews for positions. Many of the technologies available today allow for screen sharing, recording, and video as well as voice communication.</w:t>
      </w:r>
    </w:p>
    <w:p w:rsidR="000E46EB" w:rsidRPr="000E46EB" w:rsidRDefault="000E46EB" w:rsidP="00242E2E">
      <w:pPr>
        <w:numPr>
          <w:ilvl w:val="0"/>
          <w:numId w:val="31"/>
        </w:numPr>
        <w:textAlignment w:val="baseline"/>
        <w:rPr>
          <w:rFonts w:ascii="Calibri" w:eastAsia="Times New Roman" w:hAnsi="Calibri" w:cs="Times New Roman"/>
          <w:b/>
          <w:bCs/>
          <w:color w:val="000000"/>
        </w:rPr>
      </w:pPr>
      <w:r w:rsidRPr="000E46EB">
        <w:rPr>
          <w:rFonts w:ascii="Calibri" w:eastAsia="Times New Roman" w:hAnsi="Calibri" w:cs="Times New Roman"/>
          <w:b/>
          <w:bCs/>
          <w:color w:val="000000"/>
        </w:rPr>
        <w:t>EV/Hybrid vehicles</w:t>
      </w:r>
    </w:p>
    <w:p w:rsidR="000E46EB" w:rsidRDefault="000E46EB" w:rsidP="00242E2E">
      <w:pPr>
        <w:rPr>
          <w:rFonts w:ascii="Calibri" w:eastAsia="Times New Roman" w:hAnsi="Calibri" w:cs="Times New Roman"/>
          <w:color w:val="000000"/>
        </w:rPr>
      </w:pPr>
      <w:r w:rsidRPr="000E46EB">
        <w:rPr>
          <w:rFonts w:ascii="Calibri" w:eastAsia="Times New Roman" w:hAnsi="Calibri" w:cs="Times New Roman"/>
          <w:color w:val="000000"/>
        </w:rPr>
        <w:t xml:space="preserve">In the event business travel is required and unavoidable, the university will set a preference for EV or Hybrid vehicles. This could be done through our rental car agreement with Enterprise as well as through a policy if needed or determined more effective. While EV’s and Hybrids may not meet the </w:t>
      </w:r>
      <w:r w:rsidRPr="000E46EB">
        <w:rPr>
          <w:rFonts w:ascii="Calibri" w:eastAsia="Times New Roman" w:hAnsi="Calibri" w:cs="Times New Roman"/>
          <w:color w:val="000000"/>
        </w:rPr>
        <w:lastRenderedPageBreak/>
        <w:t>needs of every traveler, especially if carpooling in larger groups, there would need to be exceptions to this.  This policy is expected to be implemented by 2017/18 FY and once implement, full compliance should be seen.</w:t>
      </w:r>
    </w:p>
    <w:p w:rsidR="000E46EB" w:rsidRPr="000E46EB" w:rsidRDefault="000E46EB" w:rsidP="00242E2E">
      <w:pPr>
        <w:numPr>
          <w:ilvl w:val="0"/>
          <w:numId w:val="32"/>
        </w:numPr>
        <w:textAlignment w:val="baseline"/>
        <w:rPr>
          <w:rFonts w:ascii="Calibri" w:eastAsia="Times New Roman" w:hAnsi="Calibri" w:cs="Times New Roman"/>
          <w:b/>
          <w:bCs/>
          <w:color w:val="000000"/>
        </w:rPr>
      </w:pPr>
      <w:r w:rsidRPr="000E46EB">
        <w:rPr>
          <w:rFonts w:ascii="Calibri" w:eastAsia="Times New Roman" w:hAnsi="Calibri" w:cs="Times New Roman"/>
          <w:b/>
          <w:bCs/>
          <w:color w:val="000000"/>
        </w:rPr>
        <w:t>Shared EV for Local Travel</w:t>
      </w:r>
    </w:p>
    <w:p w:rsidR="000E46EB" w:rsidRPr="000E46EB" w:rsidRDefault="000E46EB" w:rsidP="00242E2E">
      <w:pPr>
        <w:rPr>
          <w:rFonts w:ascii="Times New Roman" w:eastAsia="Times New Roman" w:hAnsi="Times New Roman" w:cs="Times New Roman"/>
          <w:sz w:val="24"/>
          <w:szCs w:val="24"/>
        </w:rPr>
      </w:pPr>
      <w:r w:rsidRPr="000E46EB">
        <w:rPr>
          <w:rFonts w:ascii="Calibri" w:eastAsia="Times New Roman" w:hAnsi="Calibri" w:cs="Times New Roman"/>
          <w:color w:val="000000"/>
        </w:rPr>
        <w:t xml:space="preserve">The shared EV concept would allow the campus to house several (5) EV’s for use by departments for travel from the university to a destination. This concept would eliminate employees using their personal vehicles as well as any vehicles that the departments may already have which would likely be fossil fuel powered and not as efficient as these EV’s. </w:t>
      </w:r>
    </w:p>
    <w:p w:rsidR="000E46EB" w:rsidRPr="000E46EB" w:rsidRDefault="000E46EB" w:rsidP="00242E2E">
      <w:pPr>
        <w:numPr>
          <w:ilvl w:val="0"/>
          <w:numId w:val="33"/>
        </w:numPr>
        <w:textAlignment w:val="baseline"/>
        <w:rPr>
          <w:rFonts w:ascii="Calibri" w:eastAsia="Times New Roman" w:hAnsi="Calibri" w:cs="Times New Roman"/>
          <w:b/>
          <w:bCs/>
          <w:color w:val="000000"/>
        </w:rPr>
      </w:pPr>
      <w:r w:rsidRPr="000E46EB">
        <w:rPr>
          <w:rFonts w:ascii="Calibri" w:eastAsia="Times New Roman" w:hAnsi="Calibri" w:cs="Times New Roman"/>
          <w:b/>
          <w:bCs/>
          <w:color w:val="000000"/>
        </w:rPr>
        <w:t>Carbon Fund for unavoidable business travel</w:t>
      </w:r>
    </w:p>
    <w:p w:rsidR="000E46EB" w:rsidRPr="000E46EB" w:rsidRDefault="000E46EB" w:rsidP="00242E2E">
      <w:pPr>
        <w:rPr>
          <w:rFonts w:ascii="Times New Roman" w:eastAsia="Times New Roman" w:hAnsi="Times New Roman" w:cs="Times New Roman"/>
          <w:sz w:val="24"/>
          <w:szCs w:val="24"/>
        </w:rPr>
      </w:pPr>
      <w:r w:rsidRPr="000E46EB">
        <w:rPr>
          <w:rFonts w:ascii="Calibri" w:eastAsia="Times New Roman" w:hAnsi="Calibri" w:cs="Times New Roman"/>
          <w:color w:val="000000"/>
        </w:rPr>
        <w:t xml:space="preserve">While not all business travel is avoidable, carbon offsets will help reduce these additional emissions. The university requires employees to fill out travel authorization forms for any university sponsored business travel. This is the same system that is used to track travel mileage, reimbursements, etc. By adding a required carbon offset field to this online travel authorization process, each traveler/department would make contributions towards offsetting their travel emissions. </w:t>
      </w:r>
      <w:r w:rsidR="006A77BB">
        <w:rPr>
          <w:rFonts w:ascii="Calibri" w:eastAsia="Times New Roman" w:hAnsi="Calibri" w:cs="Times New Roman"/>
          <w:color w:val="000000"/>
        </w:rPr>
        <w:t>Funds</w:t>
      </w:r>
      <w:r w:rsidRPr="000E46EB">
        <w:rPr>
          <w:rFonts w:ascii="Calibri" w:eastAsia="Times New Roman" w:hAnsi="Calibri" w:cs="Times New Roman"/>
          <w:color w:val="000000"/>
        </w:rPr>
        <w:t xml:space="preserve"> from this could be used </w:t>
      </w:r>
      <w:r w:rsidR="006A77BB">
        <w:rPr>
          <w:rFonts w:ascii="Calibri" w:eastAsia="Times New Roman" w:hAnsi="Calibri" w:cs="Times New Roman"/>
          <w:color w:val="000000"/>
        </w:rPr>
        <w:t>towards</w:t>
      </w:r>
      <w:r w:rsidRPr="000E46EB">
        <w:rPr>
          <w:rFonts w:ascii="Calibri" w:eastAsia="Times New Roman" w:hAnsi="Calibri" w:cs="Times New Roman"/>
          <w:color w:val="000000"/>
        </w:rPr>
        <w:t xml:space="preserve"> internal carbon offset and reduction strategies, for example solar installations, energy efficiency, etc. </w:t>
      </w:r>
    </w:p>
    <w:p w:rsidR="001E1A22" w:rsidRPr="00AF0F1E" w:rsidRDefault="00F87606" w:rsidP="00242E2E">
      <w:pPr>
        <w:pStyle w:val="Heading3"/>
      </w:pPr>
      <w:bookmarkStart w:id="21" w:name="_Toc440630065"/>
      <w:r>
        <w:t>3</w:t>
      </w:r>
      <w:r w:rsidR="00FC7D17">
        <w:t>.</w:t>
      </w:r>
      <w:r w:rsidR="001C0B7D">
        <w:t>5</w:t>
      </w:r>
      <w:r w:rsidR="00FC7D17">
        <w:t>.</w:t>
      </w:r>
      <w:r w:rsidR="001E1A22" w:rsidRPr="00AF0F1E">
        <w:t>3 T</w:t>
      </w:r>
      <w:r>
        <w:t>ransmission and Distribution</w:t>
      </w:r>
      <w:r w:rsidR="001E1A22" w:rsidRPr="00AF0F1E">
        <w:t xml:space="preserve"> Losses</w:t>
      </w:r>
      <w:r w:rsidR="00151B47">
        <w:t xml:space="preserve"> (</w:t>
      </w:r>
      <w:r>
        <w:t>T&amp;D</w:t>
      </w:r>
      <w:r w:rsidR="00151B47">
        <w:t>)</w:t>
      </w:r>
      <w:bookmarkEnd w:id="21"/>
    </w:p>
    <w:p w:rsidR="00772EB9" w:rsidRPr="00AF0F1E" w:rsidRDefault="006A77BB" w:rsidP="00242E2E">
      <w:r>
        <w:t xml:space="preserve">Electricity transmission and distribution losses are a function of amount of electricity pulled from the utility company’s grid and the distance that power travels from the power generating station to the campus. </w:t>
      </w:r>
      <w:r w:rsidR="00644A4C">
        <w:t xml:space="preserve">The nominal energy </w:t>
      </w:r>
      <w:r w:rsidR="00522E9F">
        <w:t xml:space="preserve">loss rate applied here is that </w:t>
      </w:r>
      <w:r w:rsidR="00644A4C">
        <w:t>9% of</w:t>
      </w:r>
      <w:r w:rsidR="00522E9F">
        <w:t xml:space="preserve"> delivered electricity has been lost in T&amp;D.</w:t>
      </w:r>
      <w:r w:rsidR="00522E9F" w:rsidRPr="00522E9F">
        <w:t xml:space="preserve"> </w:t>
      </w:r>
      <w:r w:rsidR="00522E9F">
        <w:t>As the campus migrates to an increasing amount of self-generation and reduces its demand on the grid, these losses will lessen proportionally, and ultimately fall to zero.</w:t>
      </w:r>
    </w:p>
    <w:p w:rsidR="009C6845" w:rsidRPr="00F87606" w:rsidRDefault="00F87606" w:rsidP="00BD1748">
      <w:pPr>
        <w:pStyle w:val="Heading1"/>
      </w:pPr>
      <w:bookmarkStart w:id="22" w:name="_Toc440630066"/>
      <w:r w:rsidRPr="00F87606">
        <w:t>4</w:t>
      </w:r>
      <w:r w:rsidR="008833C9" w:rsidRPr="00F87606">
        <w:t xml:space="preserve">.  </w:t>
      </w:r>
      <w:r w:rsidR="001E7B16" w:rsidRPr="00F87606">
        <w:t>Model Projections and Strategies to Reach Carbon</w:t>
      </w:r>
      <w:r w:rsidR="008833C9" w:rsidRPr="00F87606">
        <w:t xml:space="preserve"> </w:t>
      </w:r>
      <w:r w:rsidR="001E7B16" w:rsidRPr="00F87606">
        <w:t>N</w:t>
      </w:r>
      <w:r w:rsidR="008833C9" w:rsidRPr="00F87606">
        <w:t>eutrality</w:t>
      </w:r>
      <w:bookmarkEnd w:id="22"/>
      <w:r w:rsidR="008833C9" w:rsidRPr="00F87606">
        <w:t xml:space="preserve"> </w:t>
      </w:r>
    </w:p>
    <w:p w:rsidR="00BB0A1C" w:rsidRDefault="00964885" w:rsidP="00BD1748">
      <w:pPr>
        <w:ind w:left="54"/>
      </w:pPr>
      <w:r>
        <w:t xml:space="preserve">A number of energy and carbon reduction strategies have been identified </w:t>
      </w:r>
      <w:r w:rsidR="00655F53">
        <w:t xml:space="preserve">in Section </w:t>
      </w:r>
      <w:r w:rsidR="00F87606">
        <w:t>3</w:t>
      </w:r>
      <w:r w:rsidR="00655F53">
        <w:t xml:space="preserve"> above. The impact of these on emissions has been evaluated through comparison with the BAU case presented </w:t>
      </w:r>
      <w:r w:rsidR="00655F53" w:rsidRPr="00126380">
        <w:t xml:space="preserve">in Section </w:t>
      </w:r>
      <w:r w:rsidR="00126380" w:rsidRPr="00126380">
        <w:t>2.2</w:t>
      </w:r>
      <w:r w:rsidR="00655F53" w:rsidRPr="00126380">
        <w:t>.</w:t>
      </w:r>
      <w:r w:rsidR="00655F53">
        <w:t xml:space="preserve">  Most Scope 1 and 2 energy reduction estimates were taken from a recent Strategic Energy Plan (SEP) commissioned by the campus, mobile energy reductions were estimated based on current and projected vehicle composition and use, and Scope 3 reductions were estimated based on mode mix changes resulting from the employment of strategies identified </w:t>
      </w:r>
      <w:r w:rsidR="00655F53" w:rsidRPr="00126380">
        <w:t xml:space="preserve">in </w:t>
      </w:r>
      <w:r w:rsidR="00126380">
        <w:t>Section 3.5.1</w:t>
      </w:r>
      <w:r w:rsidR="00655F53">
        <w:t xml:space="preserve">.  Although the timeline of energy and emissions savings will ultimately be sensitive to project timing, projections here are based on an even deployment of strategies over time.  Actual implementation schedules will be based on resources, </w:t>
      </w:r>
      <w:r w:rsidR="00C039C7">
        <w:t>opportunities for funding and incentives, and the cost-benefit of each project.</w:t>
      </w:r>
    </w:p>
    <w:p w:rsidR="00C039C7" w:rsidRDefault="00C039C7" w:rsidP="00BD1748">
      <w:pPr>
        <w:ind w:left="54"/>
      </w:pPr>
    </w:p>
    <w:p w:rsidR="005D536C" w:rsidRDefault="0066736B" w:rsidP="00BD1748">
      <w:pPr>
        <w:ind w:left="58"/>
      </w:pPr>
      <w:r>
        <w:t>Based on BAU</w:t>
      </w:r>
      <w:r w:rsidR="005D536C">
        <w:t xml:space="preserve"> (with associated growth</w:t>
      </w:r>
      <w:r w:rsidR="005D536C" w:rsidRPr="00126380">
        <w:t xml:space="preserve">) as described in Section </w:t>
      </w:r>
      <w:r w:rsidR="00126380">
        <w:t>2.2</w:t>
      </w:r>
      <w:r w:rsidR="005D536C" w:rsidRPr="00126380">
        <w:t xml:space="preserve"> and the</w:t>
      </w:r>
      <w:r w:rsidRPr="00126380">
        <w:t xml:space="preserve"> </w:t>
      </w:r>
      <w:r w:rsidR="005D536C" w:rsidRPr="00126380">
        <w:t xml:space="preserve">projected energy savings of each strategy identified above, </w:t>
      </w:r>
      <w:r w:rsidR="00422C89" w:rsidRPr="00126380">
        <w:t>solar energy generation was adjusted</w:t>
      </w:r>
      <w:r w:rsidR="00422C89">
        <w:t xml:space="preserve"> to achieve net zero GHG emissions from Scope 1 and 2 sources by 2040.  This requires 38 MW of solar power to be installed.  Approximately half of this, 19 MW, is required to achieve zero Scope 2 (electricity) emissions, and </w:t>
      </w:r>
      <w:r w:rsidR="00422C89">
        <w:lastRenderedPageBreak/>
        <w:t>the remaining 19 MW is required to offset emissions from gas use.  The associated energy use projecti</w:t>
      </w:r>
      <w:r w:rsidR="00724167">
        <w:t>ons are shown in Figure 18</w:t>
      </w:r>
      <w:r w:rsidR="00422C89">
        <w:t>.</w:t>
      </w:r>
    </w:p>
    <w:p w:rsidR="003C2623" w:rsidRDefault="003C2623" w:rsidP="00BD1748">
      <w:pPr>
        <w:ind w:left="58"/>
      </w:pPr>
    </w:p>
    <w:p w:rsidR="00BD1748" w:rsidRDefault="00BD1748" w:rsidP="00BD1748">
      <w:pPr>
        <w:ind w:left="58"/>
      </w:pPr>
      <w:r>
        <w:t>Even without the installation of solar PV, electricity consumption is significantly (approx. 45%) reduced by the energy conservation projects outlined earlier, whereas natural gas consumption only shows a small (approx. 9%) reduction.  This is because many of the projects reduce lighting and other electrical loads and only a few projects save on heating costs.</w:t>
      </w:r>
    </w:p>
    <w:p w:rsidR="00BD1748" w:rsidRDefault="00BD1748" w:rsidP="00BD1748">
      <w:pPr>
        <w:ind w:left="58"/>
      </w:pPr>
    </w:p>
    <w:p w:rsidR="00BD1748" w:rsidRDefault="00BD1748" w:rsidP="00622A6A">
      <w:pPr>
        <w:ind w:left="58"/>
      </w:pPr>
      <w:r>
        <w:t>The resulting emissions based on BAU energy use, implementation of all projects, and utilizing the projected emissions factor for purchased electricity are shown in Figure 19.  In terms of eCO</w:t>
      </w:r>
      <w:r>
        <w:rPr>
          <w:vertAlign w:val="subscript"/>
        </w:rPr>
        <w:t>2</w:t>
      </w:r>
      <w:r>
        <w:t xml:space="preserve"> emissions, savings are dominated by reductions in electricity demand from the grid.</w:t>
      </w:r>
    </w:p>
    <w:tbl>
      <w:tblPr>
        <w:tblStyle w:val="TableGrid"/>
        <w:tblW w:w="0" w:type="auto"/>
        <w:tblInd w:w="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line graphs. One depicts projected energy useage under a business as usual case and with all energy-saving strategies employed.&#10;The second shows greenhouse gas emissions resulting from natural gas and electricity use."/>
      </w:tblPr>
      <w:tblGrid>
        <w:gridCol w:w="8946"/>
      </w:tblGrid>
      <w:tr w:rsidR="00422C89" w:rsidTr="00211F33">
        <w:trPr>
          <w:tblHeader/>
        </w:trPr>
        <w:tc>
          <w:tcPr>
            <w:tcW w:w="9162" w:type="dxa"/>
          </w:tcPr>
          <w:p w:rsidR="00422C89" w:rsidRDefault="003C2623" w:rsidP="00DA0AC2">
            <w:r>
              <w:rPr>
                <w:noProof/>
              </w:rPr>
              <w:drawing>
                <wp:inline distT="0" distB="0" distL="0" distR="0" wp14:anchorId="3EADF519" wp14:editId="32A0A264">
                  <wp:extent cx="5943600" cy="3048000"/>
                  <wp:effectExtent l="0" t="0" r="0" b="0"/>
                  <wp:docPr id="49" name="Chart 49" descr="A line graph depicting projected energy use under a business as usual scenario as well as in scenarios when energy-saving strategies are employed."/>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8B5051" w:rsidTr="009860AD">
        <w:tc>
          <w:tcPr>
            <w:tcW w:w="9162" w:type="dxa"/>
          </w:tcPr>
          <w:p w:rsidR="008B5051" w:rsidRDefault="004038A6" w:rsidP="00DA0AC2">
            <w:pPr>
              <w:rPr>
                <w:b/>
                <w:noProof/>
              </w:rPr>
            </w:pPr>
            <w:r w:rsidRPr="004038A6">
              <w:rPr>
                <w:b/>
                <w:noProof/>
              </w:rPr>
              <w:t>Figure 18</w:t>
            </w:r>
            <w:r w:rsidR="008B5051" w:rsidRPr="004038A6">
              <w:rPr>
                <w:b/>
                <w:noProof/>
              </w:rPr>
              <w:t>. Pro</w:t>
            </w:r>
            <w:r w:rsidR="008A4E8B" w:rsidRPr="004038A6">
              <w:rPr>
                <w:b/>
                <w:noProof/>
              </w:rPr>
              <w:t>je</w:t>
            </w:r>
            <w:r w:rsidR="008B5051" w:rsidRPr="004038A6">
              <w:rPr>
                <w:b/>
                <w:noProof/>
              </w:rPr>
              <w:t>cted energy use (BAU and with all energy-saving strategies employed)</w:t>
            </w:r>
          </w:p>
          <w:p w:rsidR="00E979F3" w:rsidRPr="004038A6" w:rsidRDefault="00E979F3" w:rsidP="00DA0AC2">
            <w:pPr>
              <w:rPr>
                <w:b/>
                <w:noProof/>
              </w:rPr>
            </w:pPr>
          </w:p>
        </w:tc>
      </w:tr>
      <w:tr w:rsidR="009064BA" w:rsidTr="009860AD">
        <w:tc>
          <w:tcPr>
            <w:tcW w:w="9162" w:type="dxa"/>
          </w:tcPr>
          <w:p w:rsidR="009064BA" w:rsidRDefault="009064BA" w:rsidP="00DA0AC2">
            <w:r>
              <w:rPr>
                <w:noProof/>
              </w:rPr>
              <w:lastRenderedPageBreak/>
              <w:drawing>
                <wp:inline distT="0" distB="0" distL="0" distR="0" wp14:anchorId="2DC40420" wp14:editId="53DEFD11">
                  <wp:extent cx="5943600" cy="3181350"/>
                  <wp:effectExtent l="0" t="0" r="0" b="0"/>
                  <wp:docPr id="46" name="Chart 46" descr="A line graph projecting greenhouse gas emissions from natural gas and electricity use under a business as usual scenario and with various energy-saving strategies used."/>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tc>
      </w:tr>
      <w:tr w:rsidR="009860AD" w:rsidTr="009860AD">
        <w:tc>
          <w:tcPr>
            <w:tcW w:w="9162" w:type="dxa"/>
          </w:tcPr>
          <w:p w:rsidR="009860AD" w:rsidRDefault="009860AD" w:rsidP="00DA0AC2">
            <w:pPr>
              <w:rPr>
                <w:noProof/>
              </w:rPr>
            </w:pPr>
            <w:r w:rsidRPr="004038A6">
              <w:rPr>
                <w:b/>
                <w:noProof/>
              </w:rPr>
              <w:t>Figure 19. eCO</w:t>
            </w:r>
            <w:r w:rsidRPr="004038A6">
              <w:rPr>
                <w:b/>
                <w:noProof/>
                <w:vertAlign w:val="subscript"/>
              </w:rPr>
              <w:t>2</w:t>
            </w:r>
            <w:r w:rsidRPr="004038A6">
              <w:rPr>
                <w:b/>
                <w:noProof/>
              </w:rPr>
              <w:t xml:space="preserve"> emissions (tonnes) resulting from natural gas and electricity use (BAU) and with project implementation</w:t>
            </w:r>
            <w:r>
              <w:rPr>
                <w:b/>
                <w:noProof/>
              </w:rPr>
              <w:t>. Also shown is</w:t>
            </w:r>
            <w:r w:rsidRPr="004038A6">
              <w:rPr>
                <w:b/>
                <w:noProof/>
              </w:rPr>
              <w:t xml:space="preserve"> building gross area (GSF).</w:t>
            </w:r>
          </w:p>
        </w:tc>
      </w:tr>
    </w:tbl>
    <w:p w:rsidR="009064BA" w:rsidRDefault="009064BA" w:rsidP="00DA0AC2">
      <w:pPr>
        <w:spacing w:line="240" w:lineRule="auto"/>
      </w:pPr>
    </w:p>
    <w:tbl>
      <w:tblPr>
        <w:tblStyle w:val="TableGrid"/>
        <w:tblW w:w="0" w:type="auto"/>
        <w:tblInd w:w="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graph showing projected Scope 1 and 2 GHG emissions for a business as usual scenario, for some individual projects, and for the sum of all projects.  "/>
      </w:tblPr>
      <w:tblGrid>
        <w:gridCol w:w="8946"/>
      </w:tblGrid>
      <w:tr w:rsidR="00025C11" w:rsidTr="00211F33">
        <w:trPr>
          <w:tblHeader/>
        </w:trPr>
        <w:tc>
          <w:tcPr>
            <w:tcW w:w="9162" w:type="dxa"/>
          </w:tcPr>
          <w:p w:rsidR="00025C11" w:rsidRDefault="00025C11" w:rsidP="00DA0AC2">
            <w:r>
              <w:rPr>
                <w:noProof/>
              </w:rPr>
              <w:lastRenderedPageBreak/>
              <w:drawing>
                <wp:inline distT="0" distB="0" distL="0" distR="0" wp14:anchorId="3FBBA2A0" wp14:editId="1C5AA952">
                  <wp:extent cx="5800725" cy="3371850"/>
                  <wp:effectExtent l="0" t="0" r="0" b="0"/>
                  <wp:docPr id="44" name="Chart 44" descr="A graph showing projected Scope 1 and 2 GHG emissions for a business as usual scenario, for some individual projects, and for the sum of all projects.  "/>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tc>
      </w:tr>
      <w:tr w:rsidR="00025C11" w:rsidTr="009860AD">
        <w:tc>
          <w:tcPr>
            <w:tcW w:w="9162" w:type="dxa"/>
          </w:tcPr>
          <w:p w:rsidR="00025C11" w:rsidRPr="004038A6" w:rsidRDefault="004038A6" w:rsidP="008C42EA">
            <w:pPr>
              <w:rPr>
                <w:b/>
                <w:noProof/>
              </w:rPr>
            </w:pPr>
            <w:r w:rsidRPr="004038A6">
              <w:rPr>
                <w:b/>
                <w:noProof/>
              </w:rPr>
              <w:t>Figure 20</w:t>
            </w:r>
            <w:r w:rsidR="00025C11" w:rsidRPr="004038A6">
              <w:rPr>
                <w:b/>
                <w:noProof/>
              </w:rPr>
              <w:t xml:space="preserve">. Projected Scope 1 and 2 GHG emissions for BAU, for </w:t>
            </w:r>
            <w:r w:rsidR="007A0343">
              <w:rPr>
                <w:b/>
                <w:noProof/>
              </w:rPr>
              <w:t xml:space="preserve">some </w:t>
            </w:r>
            <w:r w:rsidR="00025C11" w:rsidRPr="004038A6">
              <w:rPr>
                <w:b/>
                <w:noProof/>
              </w:rPr>
              <w:t xml:space="preserve">individual projects, and for the sum of all projects.  </w:t>
            </w:r>
            <w:r w:rsidR="00791DA5">
              <w:rPr>
                <w:b/>
                <w:noProof/>
              </w:rPr>
              <w:t>(Gap between BAU and project</w:t>
            </w:r>
            <w:r w:rsidR="008C42EA">
              <w:rPr>
                <w:b/>
                <w:noProof/>
              </w:rPr>
              <w:t xml:space="preserve"> wedges</w:t>
            </w:r>
            <w:r w:rsidR="00791DA5">
              <w:rPr>
                <w:b/>
                <w:noProof/>
              </w:rPr>
              <w:t xml:space="preserve"> represen</w:t>
            </w:r>
            <w:r w:rsidR="008C42EA">
              <w:rPr>
                <w:b/>
                <w:noProof/>
              </w:rPr>
              <w:t>ts</w:t>
            </w:r>
            <w:r w:rsidR="00791DA5">
              <w:rPr>
                <w:b/>
                <w:noProof/>
              </w:rPr>
              <w:t xml:space="preserve"> sum of all other projects.) </w:t>
            </w:r>
            <w:r w:rsidR="007A0343">
              <w:rPr>
                <w:b/>
                <w:noProof/>
              </w:rPr>
              <w:t>Chart shows p</w:t>
            </w:r>
            <w:r w:rsidR="00025C11" w:rsidRPr="004038A6">
              <w:rPr>
                <w:b/>
                <w:noProof/>
              </w:rPr>
              <w:t>ath to zero emissions by 2040.</w:t>
            </w:r>
          </w:p>
        </w:tc>
      </w:tr>
    </w:tbl>
    <w:p w:rsidR="00BD1748" w:rsidRDefault="00BD1748" w:rsidP="00DA0AC2">
      <w:pPr>
        <w:spacing w:line="240" w:lineRule="auto"/>
        <w:ind w:left="54"/>
      </w:pPr>
    </w:p>
    <w:p w:rsidR="009860AD" w:rsidRDefault="009860AD" w:rsidP="00BD1748">
      <w:pPr>
        <w:ind w:left="58"/>
      </w:pPr>
      <w:r>
        <w:t xml:space="preserve">Contributions to GHG savings from individual projects are compared in Figure 20, which shows the BAU projection, the contributions from major projects individually, and the sum of all project contributions to Scope 1 and 2 emissions. It is clear that with the exception of large scale solar, overall savings are accomplished by the combination of a significant number of individual strategies.  </w:t>
      </w:r>
    </w:p>
    <w:p w:rsidR="009860AD" w:rsidRDefault="009860AD" w:rsidP="00BD1748">
      <w:pPr>
        <w:ind w:left="58"/>
      </w:pPr>
    </w:p>
    <w:p w:rsidR="005D536C" w:rsidRDefault="003C2623" w:rsidP="00BD1748">
      <w:pPr>
        <w:ind w:left="58"/>
      </w:pPr>
      <w:r w:rsidRPr="004E79C7">
        <w:t xml:space="preserve">Scope 3 emissions arise primarily from commuting. In addition there are </w:t>
      </w:r>
      <w:r w:rsidR="004E79C7">
        <w:t xml:space="preserve">roughly equal </w:t>
      </w:r>
      <w:r w:rsidR="007A0343">
        <w:t xml:space="preserve">but small </w:t>
      </w:r>
      <w:r w:rsidRPr="004E79C7">
        <w:t>con</w:t>
      </w:r>
      <w:r w:rsidR="004E79C7">
        <w:t xml:space="preserve">tributions from business travel, </w:t>
      </w:r>
      <w:r w:rsidRPr="004E79C7">
        <w:t xml:space="preserve">and </w:t>
      </w:r>
      <w:r w:rsidR="007A0343">
        <w:t>T&amp;D</w:t>
      </w:r>
      <w:r w:rsidR="00256F8B" w:rsidRPr="004E79C7">
        <w:t xml:space="preserve"> losses from utility supplied</w:t>
      </w:r>
      <w:r w:rsidR="004E79C7">
        <w:t xml:space="preserve"> electricity.  In modelling emissions reductions due to business travel, </w:t>
      </w:r>
      <w:r w:rsidR="007A0343">
        <w:t>the</w:t>
      </w:r>
      <w:r w:rsidR="004E79C7">
        <w:t xml:space="preserve"> BAU </w:t>
      </w:r>
      <w:r w:rsidR="007A0343">
        <w:t>exhibits</w:t>
      </w:r>
      <w:r w:rsidR="004E79C7">
        <w:t xml:space="preserve"> a small increase due to an increasing number of faculty and staff. By implementing the </w:t>
      </w:r>
      <w:r w:rsidR="004E79C7" w:rsidRPr="00126380">
        <w:t xml:space="preserve">strategies identified in Section </w:t>
      </w:r>
      <w:r w:rsidR="00126380">
        <w:t>3.5.2,</w:t>
      </w:r>
      <w:r w:rsidR="004E79C7" w:rsidRPr="00126380">
        <w:t xml:space="preserve"> reductions</w:t>
      </w:r>
      <w:r w:rsidR="004E79C7">
        <w:t xml:space="preserve"> </w:t>
      </w:r>
      <w:r w:rsidR="009728E6">
        <w:t>of 1</w:t>
      </w:r>
      <w:r w:rsidR="004E79C7">
        <w:t xml:space="preserve">% per year in </w:t>
      </w:r>
      <w:r w:rsidR="003423EA">
        <w:t xml:space="preserve">emissions associated with </w:t>
      </w:r>
      <w:r w:rsidR="004E79C7">
        <w:t xml:space="preserve">air miles beginning in 2017 for five years are projected, and reductions </w:t>
      </w:r>
      <w:r w:rsidR="003423EA">
        <w:t>associated with vehicle miles at 5% per year for seven years are assumed.  The use of EVs and hybrid vehicles, coupled with the increasing fuel efficiency of vehicles</w:t>
      </w:r>
      <w:r w:rsidR="007A0343">
        <w:t>, will generate</w:t>
      </w:r>
      <w:r w:rsidR="003423EA">
        <w:t xml:space="preserve"> these reductions.</w:t>
      </w:r>
    </w:p>
    <w:p w:rsidR="007F5C5D" w:rsidRDefault="007F5C5D" w:rsidP="00BD1748">
      <w:pPr>
        <w:ind w:left="58"/>
      </w:pPr>
    </w:p>
    <w:p w:rsidR="007F5C5D" w:rsidRDefault="007F5C5D" w:rsidP="00BD1748">
      <w:pPr>
        <w:ind w:left="58"/>
      </w:pPr>
      <w:r>
        <w:t>T&amp;D losses from electricity distribution are modelled based on changes to grid-supplied electricity resulting from project implementation.</w:t>
      </w:r>
      <w:r w:rsidR="00231AD6">
        <w:t xml:space="preserve">  As the campus moves towards more self-generation using renewables, T&amp;D emissions decrease, and eventually reach zero when electricity is no longer purchased from the grid.</w:t>
      </w:r>
    </w:p>
    <w:p w:rsidR="003423EA" w:rsidRDefault="003423EA" w:rsidP="00BD1748">
      <w:pPr>
        <w:ind w:left="58"/>
      </w:pPr>
    </w:p>
    <w:p w:rsidR="003423EA" w:rsidRDefault="003423EA" w:rsidP="00BD1748">
      <w:pPr>
        <w:ind w:left="58"/>
      </w:pPr>
      <w:r>
        <w:t>Commuting is the largest single contributor to GHG emissions and is anticipated</w:t>
      </w:r>
      <w:r w:rsidR="007F5C5D">
        <w:t xml:space="preserve"> to remain so in a BAU scenario, although it is anticipated that these emissions will start to fall as a result of improvements in vehicle fuel economy.  As the efficiency of new vehicles improves and older vehicles are retired, and as EVs and hybrids gain increased market penetration the average mpg of </w:t>
      </w:r>
      <w:r w:rsidR="007A0343">
        <w:t xml:space="preserve">vehicles driven by </w:t>
      </w:r>
      <w:r w:rsidR="007F5C5D">
        <w:t>CSUN’s community</w:t>
      </w:r>
      <w:r w:rsidR="007A0343">
        <w:t xml:space="preserve"> will rise</w:t>
      </w:r>
      <w:r w:rsidR="007F5C5D">
        <w:t xml:space="preserve">.  These expected changes are reflected in the BAU case presented. </w:t>
      </w:r>
      <w:r w:rsidR="00151302">
        <w:t xml:space="preserve">Over and above these changes, there are a large number of strategies that the campus will employ to reduce emissions from commuting.  Most of these are designed to promote a mode mix shift from single occupancy vehicles to more sustainable forms of transportation such as walking, bicycling, ridesharing, and use of public transit.  In order to understand the impact of these strategies on carbon emissions, a mode shift </w:t>
      </w:r>
      <w:r w:rsidR="007A0343">
        <w:t>was</w:t>
      </w:r>
      <w:r w:rsidR="00151302">
        <w:t xml:space="preserve"> modelled.  The BAU case shown is based on the mode mix determined from the 2010 commuting survey</w:t>
      </w:r>
      <w:r w:rsidR="00513213">
        <w:t>; future projections a</w:t>
      </w:r>
      <w:r w:rsidR="00456CC0">
        <w:t xml:space="preserve">re modelled </w:t>
      </w:r>
      <w:r w:rsidR="007A0343">
        <w:t xml:space="preserve">based </w:t>
      </w:r>
      <w:r w:rsidR="00456CC0">
        <w:t xml:space="preserve">on a steady </w:t>
      </w:r>
      <w:r w:rsidR="00513213">
        <w:t xml:space="preserve">transition to </w:t>
      </w:r>
      <w:r w:rsidR="00456CC0">
        <w:t xml:space="preserve">a cleaner mode mix by 2040. The future mix, accomplished through implementation of the strategies </w:t>
      </w:r>
      <w:r w:rsidR="00456CC0" w:rsidRPr="00126380">
        <w:t>outline in Section</w:t>
      </w:r>
      <w:r w:rsidR="00126380">
        <w:t xml:space="preserve"> 3.5.1</w:t>
      </w:r>
      <w:r w:rsidR="00456CC0" w:rsidRPr="00126380">
        <w:t>, assumes</w:t>
      </w:r>
      <w:r w:rsidR="00456CC0">
        <w:t xml:space="preserve"> that by 2040 three times as many faculty, staff and students will be using public transit (bus and rail) as now, three times as many faculty and staff will be carpooling/ridesharing and five times as many students will be ridesharing.</w:t>
      </w:r>
    </w:p>
    <w:p w:rsidR="00456CC0" w:rsidRDefault="00456CC0" w:rsidP="00BD1748">
      <w:pPr>
        <w:ind w:left="58"/>
      </w:pPr>
    </w:p>
    <w:p w:rsidR="002510E7" w:rsidRDefault="00456CC0" w:rsidP="00BD1748">
      <w:pPr>
        <w:ind w:left="58"/>
      </w:pPr>
      <w:r>
        <w:t xml:space="preserve">The </w:t>
      </w:r>
      <w:r w:rsidR="002510E7">
        <w:t>impact</w:t>
      </w:r>
      <w:r>
        <w:t xml:space="preserve"> of these Scope 3 s</w:t>
      </w:r>
      <w:r w:rsidR="002510E7">
        <w:t>trategies on GHG</w:t>
      </w:r>
      <w:r w:rsidR="0001211D">
        <w:t xml:space="preserve"> emissions is shown in Figure 21</w:t>
      </w:r>
      <w:r w:rsidR="002510E7">
        <w:t>.</w:t>
      </w:r>
      <w:r w:rsidR="00BD1748" w:rsidRPr="00BD1748">
        <w:t xml:space="preserve"> </w:t>
      </w:r>
      <w:r w:rsidR="00BD1748">
        <w:t xml:space="preserve">With all strategies implemented, net zero emissions are projected for Scope 1 and 2, but there are remaining emissions of a little under 20,000 </w:t>
      </w:r>
      <w:proofErr w:type="spellStart"/>
      <w:r w:rsidR="00BD1748">
        <w:t>tonnes</w:t>
      </w:r>
      <w:proofErr w:type="spellEnd"/>
      <w:r w:rsidR="00BD1748">
        <w:t xml:space="preserve"> in the Scope 3 category from commuting and business travel.  In Figure 22 a comparison is made between the BAU scenario and one predicated on the implementation of the proposed strategies.</w:t>
      </w:r>
    </w:p>
    <w:p w:rsidR="00176D4C" w:rsidRDefault="00176D4C" w:rsidP="00BD1748">
      <w:pPr>
        <w:ind w:left="58"/>
      </w:pPr>
      <w:r>
        <w:rPr>
          <w:noProof/>
        </w:rPr>
        <w:drawing>
          <wp:inline distT="0" distB="0" distL="0" distR="0" wp14:anchorId="12700299" wp14:editId="6E205596">
            <wp:extent cx="5943600" cy="3028950"/>
            <wp:effectExtent l="0" t="0" r="0" b="0"/>
            <wp:docPr id="5" name="Chart 5" descr="A graph showing the impacts of proposed emission reduction strategies on CSUN's scope 3 greenhouse gas emissions from 1990 to 2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tbl>
      <w:tblPr>
        <w:tblStyle w:val="TableGrid"/>
        <w:tblW w:w="0" w:type="auto"/>
        <w:tblInd w:w="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A graph showing the impacts of proposed emission reduction strategies on CSUN's scope 3 greenhouse gas emissions from 1990 to 2050."/>
      </w:tblPr>
      <w:tblGrid>
        <w:gridCol w:w="8946"/>
      </w:tblGrid>
      <w:tr w:rsidR="002510E7" w:rsidTr="00211F33">
        <w:trPr>
          <w:tblHeader/>
        </w:trPr>
        <w:tc>
          <w:tcPr>
            <w:tcW w:w="9162" w:type="dxa"/>
          </w:tcPr>
          <w:p w:rsidR="002510E7" w:rsidRPr="004038A6" w:rsidRDefault="004038A6" w:rsidP="00622A6A">
            <w:pPr>
              <w:spacing w:before="120"/>
              <w:rPr>
                <w:b/>
                <w:noProof/>
              </w:rPr>
            </w:pPr>
            <w:r w:rsidRPr="004038A6">
              <w:rPr>
                <w:b/>
                <w:noProof/>
              </w:rPr>
              <w:t>Figure 21</w:t>
            </w:r>
            <w:r w:rsidR="002510E7" w:rsidRPr="004038A6">
              <w:rPr>
                <w:b/>
                <w:noProof/>
              </w:rPr>
              <w:t>. Impact of proposed emission reduction strategies on GHG Scope 3 emissions.</w:t>
            </w:r>
          </w:p>
        </w:tc>
      </w:tr>
    </w:tbl>
    <w:p w:rsidR="00456CC0" w:rsidRDefault="00456CC0" w:rsidP="00DA0AC2">
      <w:pPr>
        <w:spacing w:line="240" w:lineRule="auto"/>
        <w:ind w:left="54"/>
      </w:pPr>
    </w:p>
    <w:tbl>
      <w:tblPr>
        <w:tblStyle w:val="TableGrid"/>
        <w:tblW w:w="0" w:type="auto"/>
        <w:tblInd w:w="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Description w:val="Two wedge graphs of CSUN's scope 1, scope 2 and scope 3 greenhouse gas emissions. The top graph shows emissions from 1990 to 2050 under a business as usual scenario. The lower graph shows emissions from the same time period with greenhouse gas reduction strategies implemented."/>
      </w:tblPr>
      <w:tblGrid>
        <w:gridCol w:w="8946"/>
      </w:tblGrid>
      <w:tr w:rsidR="00E70A6C" w:rsidTr="00211F33">
        <w:trPr>
          <w:tblHeader/>
        </w:trPr>
        <w:tc>
          <w:tcPr>
            <w:tcW w:w="9162" w:type="dxa"/>
            <w:shd w:val="clear" w:color="auto" w:fill="auto"/>
          </w:tcPr>
          <w:p w:rsidR="00E70A6C" w:rsidRDefault="00B53550" w:rsidP="00DA0AC2">
            <w:r>
              <w:rPr>
                <w:noProof/>
              </w:rPr>
              <w:drawing>
                <wp:inline distT="0" distB="0" distL="0" distR="0" wp14:anchorId="50A08250" wp14:editId="38B41B64">
                  <wp:extent cx="5943600" cy="3505200"/>
                  <wp:effectExtent l="0" t="0" r="0" b="0"/>
                  <wp:docPr id="15" name="Chart 15" descr="A wedge graph of CSUN's scope 1, 2 and 3 greenhouse gas emissions from 1990 to 2050 under a business as usual scenario."/>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tc>
      </w:tr>
      <w:tr w:rsidR="002C096B" w:rsidTr="00B53550">
        <w:tc>
          <w:tcPr>
            <w:tcW w:w="9162" w:type="dxa"/>
          </w:tcPr>
          <w:p w:rsidR="002C096B" w:rsidRDefault="00B53550" w:rsidP="00DA0AC2">
            <w:pPr>
              <w:rPr>
                <w:noProof/>
              </w:rPr>
            </w:pPr>
            <w:r>
              <w:rPr>
                <w:noProof/>
              </w:rPr>
              <w:drawing>
                <wp:inline distT="0" distB="0" distL="0" distR="0" wp14:anchorId="006C2559" wp14:editId="44D88C41">
                  <wp:extent cx="5943600" cy="3905250"/>
                  <wp:effectExtent l="0" t="0" r="0" b="0"/>
                  <wp:docPr id="35" name="Chart 35" descr="A wedge graph of CSUN's scope 1, 2 and 3 greenhouse gas emissions from 1990 to 2050 with greenhouse gas reduction strategies implemented."/>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tc>
      </w:tr>
      <w:tr w:rsidR="00E70A6C" w:rsidTr="009860AD">
        <w:tc>
          <w:tcPr>
            <w:tcW w:w="9162" w:type="dxa"/>
          </w:tcPr>
          <w:p w:rsidR="002C096B" w:rsidRPr="004038A6" w:rsidRDefault="004038A6" w:rsidP="00DA0AC2">
            <w:pPr>
              <w:rPr>
                <w:b/>
              </w:rPr>
            </w:pPr>
            <w:r w:rsidRPr="004038A6">
              <w:rPr>
                <w:b/>
              </w:rPr>
              <w:t>Figure 22</w:t>
            </w:r>
            <w:r w:rsidR="002C096B" w:rsidRPr="004038A6">
              <w:rPr>
                <w:b/>
              </w:rPr>
              <w:t>. Comparison between projected BAU and BAU with implementation of strategies.</w:t>
            </w:r>
          </w:p>
        </w:tc>
      </w:tr>
    </w:tbl>
    <w:p w:rsidR="00B53550" w:rsidRDefault="00B53550" w:rsidP="00BD1748">
      <w:pPr>
        <w:ind w:left="54"/>
      </w:pPr>
    </w:p>
    <w:p w:rsidR="005D536C" w:rsidRDefault="00E70A6C" w:rsidP="00BD1748">
      <w:pPr>
        <w:ind w:left="54"/>
      </w:pPr>
      <w:r>
        <w:t xml:space="preserve">As 2040 approaches carbon offsets </w:t>
      </w:r>
      <w:r w:rsidR="00DF439C">
        <w:t>will</w:t>
      </w:r>
      <w:r>
        <w:t xml:space="preserve"> be purchased to </w:t>
      </w:r>
      <w:r w:rsidR="003F4FD1">
        <w:t>offset</w:t>
      </w:r>
      <w:r>
        <w:t xml:space="preserve"> </w:t>
      </w:r>
      <w:r w:rsidR="00DF439C">
        <w:t>any</w:t>
      </w:r>
      <w:r w:rsidR="003F4FD1">
        <w:t xml:space="preserve"> emissions that remain</w:t>
      </w:r>
      <w:r>
        <w:t>.  Regional transportation is an area with great uncertainty and one where CSUN has little control.</w:t>
      </w:r>
      <w:r w:rsidR="003F4FD1">
        <w:t xml:space="preserve">  Future transportation may look very different to </w:t>
      </w:r>
      <w:r w:rsidR="00DF439C">
        <w:t>current,</w:t>
      </w:r>
      <w:r w:rsidR="003F4FD1">
        <w:t xml:space="preserve"> particularly with the advent of zero-emission cars, the promise of </w:t>
      </w:r>
      <w:r w:rsidR="00494715">
        <w:t>zero and low emission electric and hybrid buses in the near future and the impending arrival of driverless vehicles.  Driverless vehicles could virtually eliminate the need for local mass transit if deployed on a massive scale with smart technology used to connect riders to vehicles.  In addition new light rail may reach CSUN in the future and drive significant shifts to more sustainable modes of transport.</w:t>
      </w:r>
    </w:p>
    <w:p w:rsidR="00BA2848" w:rsidRDefault="00BA2848" w:rsidP="00BD1748">
      <w:pPr>
        <w:pStyle w:val="Heading1"/>
      </w:pPr>
      <w:bookmarkStart w:id="23" w:name="_Toc440630067"/>
      <w:r>
        <w:t>5.  Implementation Plan</w:t>
      </w:r>
      <w:bookmarkEnd w:id="23"/>
    </w:p>
    <w:p w:rsidR="002E4A24" w:rsidRDefault="002E4A24" w:rsidP="00BD1748">
      <w:pPr>
        <w:pStyle w:val="Heading2"/>
      </w:pPr>
      <w:bookmarkStart w:id="24" w:name="_Toc440630068"/>
      <w:r>
        <w:t>5.1 Cost-Benefit Analysis</w:t>
      </w:r>
      <w:bookmarkEnd w:id="24"/>
    </w:p>
    <w:p w:rsidR="00D5340A" w:rsidRDefault="00C84BBA" w:rsidP="00BD1748">
      <w:r>
        <w:t xml:space="preserve">The priority given to each strategy in this plan depends on their cost-benefit, available resources and a number of external factors.  To aid in decision-making </w:t>
      </w:r>
      <w:r w:rsidR="00D5340A">
        <w:t>the</w:t>
      </w:r>
      <w:r>
        <w:t xml:space="preserve"> net cost</w:t>
      </w:r>
      <w:r w:rsidR="00D5340A">
        <w:t>-</w:t>
      </w:r>
      <w:r>
        <w:t xml:space="preserve">savings was modelled for each project based on the following: </w:t>
      </w:r>
    </w:p>
    <w:p w:rsidR="00D5340A" w:rsidRDefault="00C84BBA" w:rsidP="00BD1748">
      <w:pPr>
        <w:pStyle w:val="ListParagraph"/>
        <w:numPr>
          <w:ilvl w:val="0"/>
          <w:numId w:val="42"/>
        </w:numPr>
      </w:pPr>
      <w:r>
        <w:t>cost estimates are in 2015 dollars</w:t>
      </w:r>
    </w:p>
    <w:p w:rsidR="00D5340A" w:rsidRDefault="00C84BBA" w:rsidP="00BD1748">
      <w:pPr>
        <w:pStyle w:val="ListParagraph"/>
        <w:numPr>
          <w:ilvl w:val="0"/>
          <w:numId w:val="42"/>
        </w:numPr>
      </w:pPr>
      <w:r>
        <w:t>carbon emission savings are estimated for each</w:t>
      </w:r>
      <w:r w:rsidR="00D5340A">
        <w:t xml:space="preserve"> project</w:t>
      </w:r>
      <w:r>
        <w:t xml:space="preserve"> based on implementation at 2015 emission factors</w:t>
      </w:r>
    </w:p>
    <w:p w:rsidR="00D5340A" w:rsidRDefault="00C84BBA" w:rsidP="00BD1748">
      <w:pPr>
        <w:pStyle w:val="ListParagraph"/>
        <w:numPr>
          <w:ilvl w:val="0"/>
          <w:numId w:val="42"/>
        </w:numPr>
      </w:pPr>
      <w:r>
        <w:t>the value of energy savings is computed at current energy costs</w:t>
      </w:r>
    </w:p>
    <w:p w:rsidR="00D5340A" w:rsidRDefault="00C84BBA" w:rsidP="00BD1748">
      <w:pPr>
        <w:pStyle w:val="ListParagraph"/>
        <w:numPr>
          <w:ilvl w:val="0"/>
          <w:numId w:val="42"/>
        </w:numPr>
      </w:pPr>
      <w:r>
        <w:t>project lifetimes are assumed to be 25 years</w:t>
      </w:r>
    </w:p>
    <w:p w:rsidR="00C84BBA" w:rsidRDefault="00C84BBA" w:rsidP="00BD1748">
      <w:r>
        <w:t xml:space="preserve">The results of this analysis are </w:t>
      </w:r>
      <w:r w:rsidRPr="002E4A24">
        <w:t xml:space="preserve">shown in Figure </w:t>
      </w:r>
      <w:r w:rsidR="002E4A24" w:rsidRPr="002E4A24">
        <w:t>23</w:t>
      </w:r>
      <w:r w:rsidRPr="002E4A24">
        <w:t>.</w:t>
      </w:r>
    </w:p>
    <w:p w:rsidR="00C84BBA" w:rsidRDefault="00C84BBA" w:rsidP="00BD1748"/>
    <w:p w:rsidR="00C84BBA" w:rsidRDefault="00BD5BFF" w:rsidP="00BD1748">
      <w:r>
        <w:t xml:space="preserve">Of note is that the majority of projects have a net financial as well as carbon benefit.  Thus the challenge </w:t>
      </w:r>
      <w:r w:rsidR="00D5340A">
        <w:t>becomes</w:t>
      </w:r>
      <w:r>
        <w:t xml:space="preserve"> primarily one of securing funds </w:t>
      </w:r>
      <w:r w:rsidR="00D5340A">
        <w:t>for</w:t>
      </w:r>
      <w:r>
        <w:t xml:space="preserve"> implement</w:t>
      </w:r>
      <w:r w:rsidR="00D5340A">
        <w:t>ation</w:t>
      </w:r>
      <w:r>
        <w:t xml:space="preserve"> with the understanding that they will pay for themselves over time. </w:t>
      </w:r>
      <w:r w:rsidR="00C84BBA">
        <w:t xml:space="preserve">The role of solar in meeting these goals is clear.  </w:t>
      </w:r>
    </w:p>
    <w:p w:rsidR="00D5340A" w:rsidRDefault="00D5340A" w:rsidP="00BD1748"/>
    <w:p w:rsidR="002A22A0" w:rsidRDefault="00D5340A" w:rsidP="00BD1748">
      <w:pPr>
        <w:sectPr w:rsidR="002A22A0" w:rsidSect="007752C1">
          <w:footerReference w:type="even" r:id="rId57"/>
          <w:footerReference w:type="default" r:id="rId58"/>
          <w:headerReference w:type="first" r:id="rId59"/>
          <w:endnotePr>
            <w:numFmt w:val="decimal"/>
          </w:endnotePr>
          <w:pgSz w:w="12240" w:h="15840"/>
          <w:pgMar w:top="1440" w:right="1440" w:bottom="1440" w:left="1800" w:header="720" w:footer="720" w:gutter="0"/>
          <w:cols w:space="720"/>
          <w:docGrid w:linePitch="360"/>
        </w:sectPr>
      </w:pPr>
      <w:r>
        <w:t xml:space="preserve">Although project timing will affect costs, savings and carbon benefits, calculations performed for future implementation yielded similar savings, thus the timing is not critical. </w:t>
      </w:r>
      <w:r w:rsidR="00011762">
        <w:t>The carbon benefits from electricity savings will diminish over time as the utility company migrates to a cleaner fuel mix. However, a</w:t>
      </w:r>
      <w:r>
        <w:t xml:space="preserve">lthough costs will rise due to inflation, utility rates are projected to rise at higher rates.  </w:t>
      </w:r>
      <w:r w:rsidR="00011762">
        <w:t>Thus there are financial benefits (as well as environmental benefits) to starting sooner rather than later</w:t>
      </w:r>
      <w:r w:rsidR="00036FC3">
        <w:t xml:space="preserve">. </w:t>
      </w:r>
    </w:p>
    <w:p w:rsidR="0039093C" w:rsidRDefault="0039093C" w:rsidP="00DA0AC2">
      <w:pPr>
        <w:spacing w:line="240" w:lineRule="auto"/>
      </w:pPr>
    </w:p>
    <w:tbl>
      <w:tblPr>
        <w:tblStyle w:val="TableGrid"/>
        <w:tblW w:w="0" w:type="auto"/>
        <w:tblLook w:val="04A0" w:firstRow="1" w:lastRow="0" w:firstColumn="1" w:lastColumn="0" w:noHBand="0" w:noVBand="1"/>
        <w:tblDescription w:val="A bar graph showing the net cost in dollars per tonne of eCO2 of proposed energy projects."/>
      </w:tblPr>
      <w:tblGrid>
        <w:gridCol w:w="12950"/>
      </w:tblGrid>
      <w:tr w:rsidR="00BD4F3F" w:rsidTr="00211F33">
        <w:trPr>
          <w:tblHeader/>
        </w:trPr>
        <w:tc>
          <w:tcPr>
            <w:tcW w:w="13176" w:type="dxa"/>
          </w:tcPr>
          <w:p w:rsidR="00BD4F3F" w:rsidRDefault="00BD4F3F" w:rsidP="00DA0AC2">
            <w:r>
              <w:rPr>
                <w:noProof/>
              </w:rPr>
              <w:drawing>
                <wp:inline distT="0" distB="0" distL="0" distR="0" wp14:anchorId="1086CC17" wp14:editId="087034C1">
                  <wp:extent cx="8143875" cy="4124325"/>
                  <wp:effectExtent l="0" t="0" r="0" b="0"/>
                  <wp:docPr id="89" name="Chart 89" descr="A bar graph showing the net cost in dollars per tonne of eCO2 of proposed energy projects."/>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BD4F3F" w:rsidRPr="00BD4F3F" w:rsidRDefault="00BD4F3F" w:rsidP="00BD4F3F">
            <w:pPr>
              <w:pStyle w:val="Caption"/>
              <w:rPr>
                <w:noProof/>
                <w:color w:val="auto"/>
                <w:sz w:val="22"/>
              </w:rPr>
            </w:pPr>
            <w:r w:rsidRPr="002A22A0">
              <w:rPr>
                <w:color w:val="auto"/>
                <w:sz w:val="22"/>
              </w:rPr>
              <w:t xml:space="preserve">Figure </w:t>
            </w:r>
            <w:r>
              <w:rPr>
                <w:color w:val="auto"/>
                <w:sz w:val="22"/>
              </w:rPr>
              <w:t>23</w:t>
            </w:r>
            <w:r w:rsidRPr="002A22A0">
              <w:rPr>
                <w:color w:val="auto"/>
                <w:sz w:val="22"/>
              </w:rPr>
              <w:t xml:space="preserve">. </w:t>
            </w:r>
            <w:r w:rsidRPr="002A22A0">
              <w:rPr>
                <w:noProof/>
                <w:color w:val="auto"/>
                <w:sz w:val="22"/>
              </w:rPr>
              <w:t>Net cost (cost minus energy savings) per annual tonne of eCO</w:t>
            </w:r>
            <w:r w:rsidRPr="00981C22">
              <w:rPr>
                <w:noProof/>
                <w:color w:val="auto"/>
                <w:sz w:val="22"/>
                <w:vertAlign w:val="subscript"/>
              </w:rPr>
              <w:t>2</w:t>
            </w:r>
            <w:r w:rsidRPr="002A22A0">
              <w:rPr>
                <w:noProof/>
                <w:color w:val="auto"/>
                <w:sz w:val="22"/>
              </w:rPr>
              <w:t xml:space="preserve"> emissions saved for proposed Scope 1 and 2 projects. Column width represents total annual emissions savings for each project.</w:t>
            </w:r>
            <w:r>
              <w:rPr>
                <w:noProof/>
                <w:color w:val="auto"/>
                <w:sz w:val="22"/>
              </w:rPr>
              <w:t xml:space="preserve"> (To match colored blocks from left to right, the legend should be read </w:t>
            </w:r>
            <w:r w:rsidRPr="00855725">
              <w:rPr>
                <w:i/>
                <w:noProof/>
                <w:color w:val="auto"/>
                <w:sz w:val="22"/>
              </w:rPr>
              <w:t>row by row</w:t>
            </w:r>
            <w:r>
              <w:rPr>
                <w:noProof/>
                <w:color w:val="auto"/>
                <w:sz w:val="22"/>
              </w:rPr>
              <w:t xml:space="preserve"> left to right.)</w:t>
            </w:r>
          </w:p>
        </w:tc>
      </w:tr>
    </w:tbl>
    <w:p w:rsidR="002A22A0" w:rsidRDefault="002A22A0">
      <w:r>
        <w:br w:type="page"/>
      </w:r>
    </w:p>
    <w:p w:rsidR="002A22A0" w:rsidRDefault="002A22A0">
      <w:pPr>
        <w:sectPr w:rsidR="002A22A0" w:rsidSect="002A22A0">
          <w:headerReference w:type="even" r:id="rId61"/>
          <w:headerReference w:type="default" r:id="rId62"/>
          <w:footerReference w:type="even" r:id="rId63"/>
          <w:footerReference w:type="default" r:id="rId64"/>
          <w:headerReference w:type="first" r:id="rId65"/>
          <w:endnotePr>
            <w:numFmt w:val="decimal"/>
          </w:endnotePr>
          <w:pgSz w:w="15840" w:h="12240" w:orient="landscape"/>
          <w:pgMar w:top="1800" w:right="1440" w:bottom="1440" w:left="1440" w:header="720" w:footer="720" w:gutter="0"/>
          <w:cols w:space="720"/>
          <w:docGrid w:linePitch="360"/>
        </w:sectPr>
      </w:pPr>
    </w:p>
    <w:p w:rsidR="00BD1748" w:rsidRDefault="00BD1748" w:rsidP="00BD1748">
      <w:pPr>
        <w:pStyle w:val="Heading2"/>
      </w:pPr>
      <w:bookmarkStart w:id="25" w:name="_Toc440630069"/>
      <w:r>
        <w:lastRenderedPageBreak/>
        <w:t>5.2 Schedule and Tracking</w:t>
      </w:r>
      <w:bookmarkEnd w:id="25"/>
    </w:p>
    <w:p w:rsidR="00BD1748" w:rsidRDefault="00BD1748" w:rsidP="00BD1748">
      <w:r>
        <w:t>The implementation of a Climate Action Plan of the breadth, size and scale proposed must be a University wide movement and inclusive of personnel from all departments.  CSUN’s Facilities Planning department is developing an implementation schedule for each project with the assistance of the stakeholders primarily responsible for each. The overall cost of implementing this Climate Action Plan will require an investment of approximately $</w:t>
      </w:r>
      <w:r w:rsidR="00DC14EF">
        <w:t>291 million</w:t>
      </w:r>
      <w:r>
        <w:t xml:space="preserve"> of which </w:t>
      </w:r>
      <w:r w:rsidR="00DC14EF">
        <w:t>approx. half</w:t>
      </w:r>
      <w:r>
        <w:t xml:space="preserve"> is attributed to solar installations</w:t>
      </w:r>
      <w:r w:rsidR="00DC14EF">
        <w:t>, and almost a third is from one large project to replace a significant component of building HVAC systems</w:t>
      </w:r>
      <w:r>
        <w:t>. While the CAP schedule that was created is an ideal rollout of these initiatives, at this point in time no funds have been specifically set aside to fund the strategies in the CAP.  While some of these strategies have the potential to receive funding through annual operational budgets, a vast majority of these initiatives will need to secure special funding through alternative sources.  While the University is committed to executing this CAP, funding restraints will likely cause rearrangement of these initiatives over time</w:t>
      </w:r>
    </w:p>
    <w:p w:rsidR="00BD1748" w:rsidRDefault="00BD1748" w:rsidP="00BD1748"/>
    <w:p w:rsidR="002E4A24" w:rsidRDefault="00001AEB" w:rsidP="00BD1748">
      <w:r>
        <w:t>Having developed</w:t>
      </w:r>
      <w:r w:rsidR="002E4A24">
        <w:t xml:space="preserve"> a Climate Action Plan</w:t>
      </w:r>
      <w:r>
        <w:t xml:space="preserve"> it is critical to</w:t>
      </w:r>
      <w:r w:rsidR="002E4A24">
        <w:t xml:space="preserve"> ensur</w:t>
      </w:r>
      <w:r>
        <w:t>e</w:t>
      </w:r>
      <w:r w:rsidR="002E4A24">
        <w:t xml:space="preserve"> that progress is made. </w:t>
      </w:r>
      <w:r w:rsidR="00BF1009">
        <w:t xml:space="preserve"> </w:t>
      </w:r>
      <w:r w:rsidR="002E4A24">
        <w:t>Tracking CSUN’s progress towards c</w:t>
      </w:r>
      <w:r>
        <w:t>arbon</w:t>
      </w:r>
      <w:r w:rsidR="002E4A24">
        <w:t xml:space="preserve"> neutrality will ultimately be </w:t>
      </w:r>
      <w:r>
        <w:t>achieved through e</w:t>
      </w:r>
      <w:r w:rsidR="002E4A24">
        <w:t>valuati</w:t>
      </w:r>
      <w:r>
        <w:t>on of</w:t>
      </w:r>
      <w:r w:rsidR="002E4A24">
        <w:t xml:space="preserve"> our greenhouse gas inventory </w:t>
      </w:r>
      <w:r>
        <w:t>annually</w:t>
      </w:r>
      <w:r w:rsidR="002E4A24">
        <w:t xml:space="preserve">. Staff responsible for sustainability at CSUN will update the University’s GHG Inventory and provide progress reports on </w:t>
      </w:r>
      <w:r w:rsidR="00BF1009">
        <w:t>the</w:t>
      </w:r>
      <w:r w:rsidR="002E4A24">
        <w:t xml:space="preserve"> Sustainability and Climate Action Plans on an annual basis. The</w:t>
      </w:r>
      <w:r>
        <w:t>se will be reviewed by</w:t>
      </w:r>
      <w:r w:rsidR="002E4A24">
        <w:t xml:space="preserve"> </w:t>
      </w:r>
      <w:r>
        <w:t>our</w:t>
      </w:r>
      <w:r w:rsidR="002E4A24">
        <w:t xml:space="preserve"> Climate </w:t>
      </w:r>
      <w:r>
        <w:t xml:space="preserve">Leadership Task Force and </w:t>
      </w:r>
      <w:r w:rsidR="00B63E69">
        <w:t>our sustainability</w:t>
      </w:r>
      <w:r>
        <w:t xml:space="preserve"> Working Group</w:t>
      </w:r>
      <w:r w:rsidR="00B63E69">
        <w:t>s</w:t>
      </w:r>
      <w:r>
        <w:t xml:space="preserve">, </w:t>
      </w:r>
      <w:r w:rsidR="00BF1009">
        <w:t>who will also help to</w:t>
      </w:r>
      <w:r w:rsidR="002E4A24">
        <w:t xml:space="preserve"> secure funding for initiatives, promot</w:t>
      </w:r>
      <w:r w:rsidR="00BF1009">
        <w:t>e</w:t>
      </w:r>
      <w:r>
        <w:t xml:space="preserve"> the </w:t>
      </w:r>
      <w:r w:rsidR="002E4A24">
        <w:t xml:space="preserve">programs </w:t>
      </w:r>
      <w:r>
        <w:t>identified here,</w:t>
      </w:r>
      <w:r w:rsidR="002E4A24">
        <w:t xml:space="preserve"> and </w:t>
      </w:r>
      <w:r>
        <w:t>develop</w:t>
      </w:r>
      <w:r w:rsidR="002E4A24">
        <w:t xml:space="preserve"> any </w:t>
      </w:r>
      <w:r>
        <w:t>required</w:t>
      </w:r>
      <w:r w:rsidR="002E4A24">
        <w:t xml:space="preserve"> polic</w:t>
      </w:r>
      <w:r w:rsidR="00BF1009">
        <w:t>y changes</w:t>
      </w:r>
      <w:r w:rsidR="002E4A24">
        <w:t>.</w:t>
      </w:r>
    </w:p>
    <w:p w:rsidR="008833C9" w:rsidRPr="00BA2848" w:rsidRDefault="00DF439C" w:rsidP="00BD1748">
      <w:pPr>
        <w:pStyle w:val="Heading1"/>
      </w:pPr>
      <w:bookmarkStart w:id="26" w:name="_Toc440630070"/>
      <w:r w:rsidRPr="00BA2848">
        <w:t>6</w:t>
      </w:r>
      <w:r w:rsidR="00114BC5" w:rsidRPr="00BA2848">
        <w:t>.  Incorporating Climate Neutrality and Sustainability into th</w:t>
      </w:r>
      <w:r w:rsidR="001A7B94" w:rsidRPr="00BA2848">
        <w:t>e</w:t>
      </w:r>
      <w:r w:rsidR="00114BC5" w:rsidRPr="00BA2848">
        <w:t xml:space="preserve"> Educational Experience</w:t>
      </w:r>
      <w:bookmarkEnd w:id="26"/>
    </w:p>
    <w:p w:rsidR="00ED4A1C" w:rsidRDefault="00ED4A1C" w:rsidP="00BD1748">
      <w:pPr>
        <w:contextualSpacing/>
        <w:rPr>
          <w:rFonts w:cstheme="minorHAnsi"/>
        </w:rPr>
      </w:pPr>
      <w:r>
        <w:rPr>
          <w:rFonts w:cstheme="minorHAnsi"/>
        </w:rPr>
        <w:t xml:space="preserve">CSUN strives to reduce its own footprint on the environment and to educate its students and the broader campus population on sustainable practices. The campus is a living-learning community where students can gain knowledge in sustainability and put that knowledge into practice.  </w:t>
      </w:r>
      <w:r w:rsidR="00B63E69">
        <w:rPr>
          <w:rFonts w:cstheme="minorHAnsi"/>
        </w:rPr>
        <w:t>CSUN’s</w:t>
      </w:r>
      <w:r>
        <w:rPr>
          <w:rFonts w:cstheme="minorHAnsi"/>
        </w:rPr>
        <w:t xml:space="preserve"> education plan in sustainability incorporates both informal education, which includes events, signage and employee training, and formal education, which includes sustainability </w:t>
      </w:r>
      <w:r w:rsidR="00A01470">
        <w:rPr>
          <w:rFonts w:cstheme="minorHAnsi"/>
        </w:rPr>
        <w:t>courses and embedded content within</w:t>
      </w:r>
      <w:r>
        <w:rPr>
          <w:rFonts w:cstheme="minorHAnsi"/>
        </w:rPr>
        <w:t xml:space="preserve"> the curriculum. The university </w:t>
      </w:r>
      <w:r w:rsidR="00A01470">
        <w:rPr>
          <w:rFonts w:cstheme="minorHAnsi"/>
        </w:rPr>
        <w:t>will</w:t>
      </w:r>
      <w:r>
        <w:rPr>
          <w:rFonts w:cstheme="minorHAnsi"/>
        </w:rPr>
        <w:t xml:space="preserve"> expand partnerships to provide additional opportunities for students to actively participate in sustainability practices whilst helping the campus achieve its own sustainability goals. </w:t>
      </w:r>
    </w:p>
    <w:p w:rsidR="00ED4A1C" w:rsidRPr="00BA2848" w:rsidRDefault="00BA2848" w:rsidP="00BD1748">
      <w:pPr>
        <w:pStyle w:val="Heading2"/>
      </w:pPr>
      <w:bookmarkStart w:id="27" w:name="_Toc440630071"/>
      <w:r w:rsidRPr="00BA2848">
        <w:t>6</w:t>
      </w:r>
      <w:r w:rsidR="00ED4A1C" w:rsidRPr="00BA2848">
        <w:t>.1</w:t>
      </w:r>
      <w:r w:rsidR="00CB60C3" w:rsidRPr="00BA2848">
        <w:t xml:space="preserve"> </w:t>
      </w:r>
      <w:r w:rsidR="00ED4A1C" w:rsidRPr="00BA2848">
        <w:t>Goals and Objectives</w:t>
      </w:r>
      <w:bookmarkEnd w:id="27"/>
    </w:p>
    <w:p w:rsidR="00DD77AE" w:rsidRPr="00DF7CE1" w:rsidRDefault="00DD77AE" w:rsidP="00BD1748">
      <w:pPr>
        <w:contextualSpacing/>
        <w:rPr>
          <w:rFonts w:cstheme="minorHAnsi"/>
        </w:rPr>
      </w:pPr>
      <w:r>
        <w:rPr>
          <w:rFonts w:cstheme="minorHAnsi"/>
        </w:rPr>
        <w:t>In 2012 the university developed a campus sustainability plan which include</w:t>
      </w:r>
      <w:r w:rsidR="00A01470">
        <w:rPr>
          <w:rFonts w:cstheme="minorHAnsi"/>
        </w:rPr>
        <w:t>s</w:t>
      </w:r>
      <w:r>
        <w:rPr>
          <w:rFonts w:cstheme="minorHAnsi"/>
        </w:rPr>
        <w:t xml:space="preserve"> goals and objectives for sustainability education.  They are listed below.</w:t>
      </w:r>
    </w:p>
    <w:p w:rsidR="00ED4A1C" w:rsidRPr="00CB60C3" w:rsidRDefault="00ED4A1C" w:rsidP="00BD1748">
      <w:pPr>
        <w:rPr>
          <w:b/>
        </w:rPr>
      </w:pPr>
      <w:r w:rsidRPr="00CB60C3">
        <w:rPr>
          <w:b/>
        </w:rPr>
        <w:t>Goals</w:t>
      </w:r>
    </w:p>
    <w:p w:rsidR="00ED4A1C" w:rsidRPr="00750BC0" w:rsidRDefault="00ED4A1C" w:rsidP="00BD1748">
      <w:pPr>
        <w:pStyle w:val="ListParagraph"/>
        <w:numPr>
          <w:ilvl w:val="0"/>
          <w:numId w:val="5"/>
        </w:numPr>
        <w:rPr>
          <w:rFonts w:cstheme="minorHAnsi"/>
        </w:rPr>
      </w:pPr>
      <w:r w:rsidRPr="00750BC0">
        <w:rPr>
          <w:rFonts w:cstheme="minorHAnsi"/>
        </w:rPr>
        <w:t>Expand education on sustainability principles and practices to entire campus population</w:t>
      </w:r>
    </w:p>
    <w:p w:rsidR="00ED4A1C" w:rsidRPr="00750BC0" w:rsidRDefault="00ED4A1C" w:rsidP="00BD1748">
      <w:pPr>
        <w:pStyle w:val="ListParagraph"/>
        <w:numPr>
          <w:ilvl w:val="0"/>
          <w:numId w:val="5"/>
        </w:numPr>
        <w:rPr>
          <w:rFonts w:cstheme="minorHAnsi"/>
        </w:rPr>
      </w:pPr>
      <w:r w:rsidRPr="00750BC0">
        <w:rPr>
          <w:rFonts w:cstheme="minorHAnsi"/>
        </w:rPr>
        <w:lastRenderedPageBreak/>
        <w:t>Increase formal educational offerings in sustainability</w:t>
      </w:r>
    </w:p>
    <w:p w:rsidR="00ED4A1C" w:rsidRPr="00750BC0" w:rsidRDefault="00ED4A1C" w:rsidP="00BD1748">
      <w:pPr>
        <w:pStyle w:val="ListParagraph"/>
        <w:numPr>
          <w:ilvl w:val="0"/>
          <w:numId w:val="5"/>
        </w:numPr>
        <w:rPr>
          <w:rFonts w:cstheme="minorHAnsi"/>
        </w:rPr>
      </w:pPr>
      <w:r w:rsidRPr="00750BC0">
        <w:rPr>
          <w:rFonts w:cstheme="minorHAnsi"/>
        </w:rPr>
        <w:t>Increase opportunities for hands-on student learning in sustainability</w:t>
      </w:r>
    </w:p>
    <w:p w:rsidR="00ED4A1C" w:rsidRPr="00CB60C3" w:rsidRDefault="00ED4A1C" w:rsidP="00BD1748">
      <w:pPr>
        <w:rPr>
          <w:b/>
        </w:rPr>
      </w:pPr>
      <w:r w:rsidRPr="00CB60C3">
        <w:rPr>
          <w:b/>
        </w:rPr>
        <w:t>Objectives</w:t>
      </w:r>
    </w:p>
    <w:p w:rsidR="00ED4A1C" w:rsidRDefault="00ED4A1C" w:rsidP="00BD1748">
      <w:pPr>
        <w:pStyle w:val="ListParagraph"/>
        <w:numPr>
          <w:ilvl w:val="0"/>
          <w:numId w:val="3"/>
        </w:numPr>
        <w:rPr>
          <w:rFonts w:cstheme="minorHAnsi"/>
        </w:rPr>
      </w:pPr>
      <w:r w:rsidRPr="00737897">
        <w:rPr>
          <w:rFonts w:cstheme="minorHAnsi"/>
        </w:rPr>
        <w:t>Participation in sustainability office program by all campus offices/units by 2015</w:t>
      </w:r>
      <w:r w:rsidR="00753A1A">
        <w:rPr>
          <w:rFonts w:cstheme="minorHAnsi"/>
        </w:rPr>
        <w:t>-16</w:t>
      </w:r>
      <w:r w:rsidRPr="00737897">
        <w:rPr>
          <w:rFonts w:cstheme="minorHAnsi"/>
        </w:rPr>
        <w:t xml:space="preserve"> </w:t>
      </w:r>
    </w:p>
    <w:p w:rsidR="00ED4A1C" w:rsidRPr="00737897" w:rsidRDefault="00ED4A1C" w:rsidP="00BD1748">
      <w:pPr>
        <w:pStyle w:val="ListParagraph"/>
        <w:numPr>
          <w:ilvl w:val="0"/>
          <w:numId w:val="3"/>
        </w:numPr>
        <w:rPr>
          <w:rFonts w:cstheme="minorHAnsi"/>
        </w:rPr>
      </w:pPr>
      <w:r>
        <w:rPr>
          <w:rFonts w:cstheme="minorHAnsi"/>
        </w:rPr>
        <w:t>Implement u</w:t>
      </w:r>
      <w:r w:rsidRPr="00737897">
        <w:rPr>
          <w:rFonts w:cstheme="minorHAnsi"/>
        </w:rPr>
        <w:t>niversity-wide sustainability education for all students by 2018</w:t>
      </w:r>
      <w:r w:rsidR="00753A1A">
        <w:rPr>
          <w:rFonts w:cstheme="minorHAnsi"/>
        </w:rPr>
        <w:t>-19</w:t>
      </w:r>
    </w:p>
    <w:p w:rsidR="00ED4A1C" w:rsidRDefault="00ED4A1C" w:rsidP="00BD1748">
      <w:pPr>
        <w:pStyle w:val="ListParagraph"/>
        <w:numPr>
          <w:ilvl w:val="0"/>
          <w:numId w:val="3"/>
        </w:numPr>
        <w:rPr>
          <w:rFonts w:cstheme="minorHAnsi"/>
        </w:rPr>
      </w:pPr>
      <w:r>
        <w:rPr>
          <w:rFonts w:cstheme="minorHAnsi"/>
        </w:rPr>
        <w:t>Offer</w:t>
      </w:r>
      <w:r w:rsidRPr="00784911">
        <w:rPr>
          <w:rFonts w:cstheme="minorHAnsi"/>
        </w:rPr>
        <w:t xml:space="preserve"> M.A. </w:t>
      </w:r>
      <w:r>
        <w:rPr>
          <w:rFonts w:cstheme="minorHAnsi"/>
        </w:rPr>
        <w:t>degree</w:t>
      </w:r>
      <w:r w:rsidRPr="00784911">
        <w:rPr>
          <w:rFonts w:cstheme="minorHAnsi"/>
        </w:rPr>
        <w:t xml:space="preserve"> in sustainability practices </w:t>
      </w:r>
      <w:r>
        <w:rPr>
          <w:rFonts w:cstheme="minorHAnsi"/>
        </w:rPr>
        <w:t>by 2018</w:t>
      </w:r>
      <w:r w:rsidR="00DD77AE">
        <w:rPr>
          <w:rFonts w:cstheme="minorHAnsi"/>
        </w:rPr>
        <w:t>-19</w:t>
      </w:r>
    </w:p>
    <w:p w:rsidR="00ED4A1C" w:rsidRPr="00DF7CE1" w:rsidRDefault="00ED4A1C" w:rsidP="00BD1748">
      <w:pPr>
        <w:pStyle w:val="ListParagraph"/>
        <w:numPr>
          <w:ilvl w:val="0"/>
          <w:numId w:val="6"/>
        </w:numPr>
        <w:rPr>
          <w:rFonts w:cstheme="minorHAnsi"/>
        </w:rPr>
      </w:pPr>
      <w:r>
        <w:rPr>
          <w:rFonts w:cstheme="minorHAnsi"/>
        </w:rPr>
        <w:t>Expand</w:t>
      </w:r>
      <w:r w:rsidRPr="00DF7CE1">
        <w:rPr>
          <w:rFonts w:cstheme="minorHAnsi"/>
        </w:rPr>
        <w:t xml:space="preserve"> service learning and internship opportunities </w:t>
      </w:r>
      <w:r>
        <w:rPr>
          <w:rFonts w:cstheme="minorHAnsi"/>
        </w:rPr>
        <w:t>in</w:t>
      </w:r>
      <w:r w:rsidRPr="00DF7CE1">
        <w:rPr>
          <w:rFonts w:cstheme="minorHAnsi"/>
        </w:rPr>
        <w:t xml:space="preserve"> </w:t>
      </w:r>
      <w:r w:rsidR="00BA2848">
        <w:rPr>
          <w:rFonts w:cstheme="minorHAnsi"/>
        </w:rPr>
        <w:t>s</w:t>
      </w:r>
      <w:r w:rsidRPr="00DF7CE1">
        <w:rPr>
          <w:rFonts w:cstheme="minorHAnsi"/>
        </w:rPr>
        <w:t>ustainability</w:t>
      </w:r>
    </w:p>
    <w:p w:rsidR="00ED4A1C" w:rsidRPr="006F7665" w:rsidRDefault="00ED4A1C" w:rsidP="00BD1748">
      <w:pPr>
        <w:pStyle w:val="ListParagraph"/>
        <w:numPr>
          <w:ilvl w:val="0"/>
          <w:numId w:val="4"/>
        </w:numPr>
        <w:rPr>
          <w:rFonts w:cstheme="minorHAnsi"/>
        </w:rPr>
      </w:pPr>
      <w:r>
        <w:rPr>
          <w:rFonts w:cstheme="minorHAnsi"/>
        </w:rPr>
        <w:t>Expand network of</w:t>
      </w:r>
      <w:r w:rsidRPr="006F7665">
        <w:rPr>
          <w:rFonts w:cstheme="minorHAnsi"/>
        </w:rPr>
        <w:t xml:space="preserve"> faculty engaging in sustainability-related research</w:t>
      </w:r>
    </w:p>
    <w:p w:rsidR="00AC0157" w:rsidRPr="00BA2848" w:rsidRDefault="00BA2848" w:rsidP="00BD1748">
      <w:pPr>
        <w:pStyle w:val="Heading2"/>
      </w:pPr>
      <w:bookmarkStart w:id="28" w:name="_Toc440630072"/>
      <w:r w:rsidRPr="00BA2848">
        <w:t>6</w:t>
      </w:r>
      <w:r w:rsidR="00AC0157" w:rsidRPr="00BA2848">
        <w:t>.</w:t>
      </w:r>
      <w:r w:rsidR="00DD77AE" w:rsidRPr="00BA2848">
        <w:t>2</w:t>
      </w:r>
      <w:r w:rsidR="00CB60C3" w:rsidRPr="00BA2848">
        <w:t xml:space="preserve"> </w:t>
      </w:r>
      <w:r w:rsidR="00AC0157" w:rsidRPr="00BA2848">
        <w:t>Curriculum</w:t>
      </w:r>
      <w:bookmarkEnd w:id="28"/>
    </w:p>
    <w:p w:rsidR="00E43C76" w:rsidRDefault="00ED4A1C" w:rsidP="00BD1748">
      <w:pPr>
        <w:tabs>
          <w:tab w:val="left" w:pos="-1980"/>
          <w:tab w:val="left" w:pos="720"/>
        </w:tabs>
        <w:contextualSpacing/>
      </w:pPr>
      <w:r w:rsidRPr="00E039B3">
        <w:rPr>
          <w:rFonts w:ascii="Calibri" w:hAnsi="Calibri" w:cs="Calibri"/>
          <w:szCs w:val="24"/>
        </w:rPr>
        <w:t xml:space="preserve">In June 2009, a university </w:t>
      </w:r>
      <w:r w:rsidRPr="00E039B3">
        <w:rPr>
          <w:rFonts w:ascii="Calibri" w:eastAsia="Calibri" w:hAnsi="Calibri" w:cs="Calibri"/>
          <w:szCs w:val="24"/>
        </w:rPr>
        <w:t xml:space="preserve">Sustainability Curriculum Committee </w:t>
      </w:r>
      <w:r>
        <w:rPr>
          <w:rFonts w:ascii="Calibri" w:eastAsia="Calibri" w:hAnsi="Calibri" w:cs="Calibri"/>
          <w:szCs w:val="24"/>
        </w:rPr>
        <w:t xml:space="preserve">was formed and </w:t>
      </w:r>
      <w:r w:rsidRPr="00E039B3">
        <w:rPr>
          <w:rFonts w:ascii="Calibri" w:hAnsi="Calibri" w:cs="Calibri"/>
          <w:szCs w:val="24"/>
        </w:rPr>
        <w:t xml:space="preserve">tasked with </w:t>
      </w:r>
      <w:r w:rsidRPr="00E039B3">
        <w:rPr>
          <w:rFonts w:ascii="Calibri" w:eastAsia="Calibri" w:hAnsi="Calibri" w:cs="Calibri"/>
          <w:szCs w:val="24"/>
        </w:rPr>
        <w:t>infusing sustainability concepts into the university curriculum</w:t>
      </w:r>
      <w:r w:rsidRPr="00E039B3">
        <w:rPr>
          <w:rFonts w:ascii="Calibri" w:hAnsi="Calibri" w:cs="Calibri"/>
          <w:szCs w:val="24"/>
        </w:rPr>
        <w:t xml:space="preserve">. </w:t>
      </w:r>
      <w:r>
        <w:rPr>
          <w:rFonts w:ascii="Calibri" w:hAnsi="Calibri" w:cs="Calibri"/>
          <w:szCs w:val="24"/>
        </w:rPr>
        <w:t xml:space="preserve">Beginning in </w:t>
      </w:r>
      <w:proofErr w:type="gramStart"/>
      <w:r>
        <w:rPr>
          <w:rFonts w:ascii="Calibri" w:hAnsi="Calibri" w:cs="Calibri"/>
          <w:szCs w:val="24"/>
        </w:rPr>
        <w:t>Fall</w:t>
      </w:r>
      <w:proofErr w:type="gramEnd"/>
      <w:r>
        <w:rPr>
          <w:rFonts w:ascii="Calibri" w:hAnsi="Calibri" w:cs="Calibri"/>
          <w:szCs w:val="24"/>
        </w:rPr>
        <w:t xml:space="preserve"> 2009, </w:t>
      </w:r>
      <w:r w:rsidR="00E43C76">
        <w:t xml:space="preserve">CSUN began to expand its climate change and sustainability curriculum offerings with the introduction of a new course, “Interdisciplinary Perspectives on Sustainability” team-taught by six faculty from different departments.  This course, in which students are introduced to the concept of sustainability and the interconnectedness of </w:t>
      </w:r>
      <w:r w:rsidR="00A6629D">
        <w:t xml:space="preserve">systems, </w:t>
      </w:r>
      <w:r w:rsidR="00E43C76">
        <w:t>has now become the lynchpin of our undergraduate sustainability program</w:t>
      </w:r>
      <w:r w:rsidR="00A6629D">
        <w:t xml:space="preserve">.  </w:t>
      </w:r>
      <w:r w:rsidR="008B3A68">
        <w:t>O</w:t>
      </w:r>
      <w:r w:rsidR="00A6629D">
        <w:t xml:space="preserve">ur sustainability program </w:t>
      </w:r>
      <w:r w:rsidR="008B3A68">
        <w:t xml:space="preserve">has grown since this time and continues to expand. Currently </w:t>
      </w:r>
      <w:r w:rsidR="00336D08">
        <w:t>CSUN</w:t>
      </w:r>
      <w:r w:rsidR="008B3A68">
        <w:t xml:space="preserve"> offer</w:t>
      </w:r>
      <w:r w:rsidR="00336D08">
        <w:t>s</w:t>
      </w:r>
      <w:r w:rsidR="00A6629D">
        <w:t xml:space="preserve">: </w:t>
      </w:r>
    </w:p>
    <w:p w:rsidR="008B3A68" w:rsidRDefault="008B3A68" w:rsidP="00BD1748">
      <w:pPr>
        <w:pStyle w:val="ListParagraph"/>
        <w:numPr>
          <w:ilvl w:val="0"/>
          <w:numId w:val="1"/>
        </w:numPr>
      </w:pPr>
      <w:r>
        <w:t>Three core courses in sustainability:</w:t>
      </w:r>
    </w:p>
    <w:p w:rsidR="008B3A68" w:rsidRDefault="008B3A68" w:rsidP="00BD1748">
      <w:pPr>
        <w:pStyle w:val="ListParagraph"/>
        <w:numPr>
          <w:ilvl w:val="1"/>
          <w:numId w:val="1"/>
        </w:numPr>
      </w:pPr>
      <w:r>
        <w:t>SUST 300: Interdisciplinary Perspectives in Sustainability (team-taught by faculty from six different disciplines, satisfies General Education requirements in Social Sciences, currently offer</w:t>
      </w:r>
      <w:r w:rsidR="00336D08">
        <w:t>ing</w:t>
      </w:r>
      <w:r>
        <w:t xml:space="preserve"> four sections per year)</w:t>
      </w:r>
    </w:p>
    <w:p w:rsidR="008B3A68" w:rsidRDefault="008B3A68" w:rsidP="00BD1748">
      <w:pPr>
        <w:pStyle w:val="ListParagraph"/>
        <w:numPr>
          <w:ilvl w:val="1"/>
          <w:numId w:val="1"/>
        </w:numPr>
      </w:pPr>
      <w:r>
        <w:t>SUST 310: Best Practices in Sustainability (Satisfies General Education requirements in Lifelong learning, currently offer</w:t>
      </w:r>
      <w:r w:rsidR="00336D08">
        <w:t>ing</w:t>
      </w:r>
      <w:r>
        <w:t xml:space="preserve"> six sections per year)</w:t>
      </w:r>
    </w:p>
    <w:p w:rsidR="008B3A68" w:rsidRDefault="008B3A68" w:rsidP="00BD1748">
      <w:pPr>
        <w:pStyle w:val="ListParagraph"/>
        <w:numPr>
          <w:ilvl w:val="1"/>
          <w:numId w:val="1"/>
        </w:numPr>
      </w:pPr>
      <w:r>
        <w:t>SUST 401: Applied Sustainability (Includes a service-learning component, currently offer</w:t>
      </w:r>
      <w:r w:rsidR="00336D08">
        <w:t>ing</w:t>
      </w:r>
      <w:r>
        <w:t xml:space="preserve"> one to two sections per year)</w:t>
      </w:r>
    </w:p>
    <w:p w:rsidR="00DD7F52" w:rsidRDefault="008B3A68" w:rsidP="00BD1748">
      <w:pPr>
        <w:pStyle w:val="ListParagraph"/>
        <w:numPr>
          <w:ilvl w:val="0"/>
          <w:numId w:val="1"/>
        </w:numPr>
      </w:pPr>
      <w:r>
        <w:t xml:space="preserve">Minor in Sustainability (began </w:t>
      </w:r>
      <w:proofErr w:type="gramStart"/>
      <w:r>
        <w:t>Fall</w:t>
      </w:r>
      <w:proofErr w:type="gramEnd"/>
      <w:r>
        <w:t xml:space="preserve"> 2011)</w:t>
      </w:r>
      <w:r w:rsidR="00DD7F52">
        <w:t xml:space="preserve"> includes three core courses listed above plus three others chosen from list of approved sustainability-focused courses from eighteen different departments.</w:t>
      </w:r>
      <w:r>
        <w:t xml:space="preserve"> </w:t>
      </w:r>
    </w:p>
    <w:p w:rsidR="00A6629D" w:rsidRDefault="00DD7F52" w:rsidP="00BD1748">
      <w:pPr>
        <w:pStyle w:val="ListParagraph"/>
        <w:numPr>
          <w:ilvl w:val="0"/>
          <w:numId w:val="1"/>
        </w:numPr>
      </w:pPr>
      <w:r w:rsidRPr="00DD7F52">
        <w:t xml:space="preserve">42 students have graduated </w:t>
      </w:r>
      <w:r w:rsidR="00B35ECE">
        <w:t xml:space="preserve">with a Sustainability Minor </w:t>
      </w:r>
      <w:r w:rsidRPr="00DD7F52">
        <w:t xml:space="preserve">since the program started in </w:t>
      </w:r>
      <w:proofErr w:type="gramStart"/>
      <w:r w:rsidRPr="00DD7F52">
        <w:t>Fall</w:t>
      </w:r>
      <w:proofErr w:type="gramEnd"/>
      <w:r w:rsidRPr="00DD7F52">
        <w:t xml:space="preserve"> 2011</w:t>
      </w:r>
      <w:r w:rsidR="00B35ECE">
        <w:t>, and</w:t>
      </w:r>
      <w:r w:rsidRPr="00DD7F52">
        <w:t xml:space="preserve"> 90 current students have declared the minor </w:t>
      </w:r>
      <w:r w:rsidR="00B35ECE">
        <w:t>(Spring 2015).</w:t>
      </w:r>
    </w:p>
    <w:p w:rsidR="00B35ECE" w:rsidRDefault="00A01470" w:rsidP="00BD1748">
      <w:pPr>
        <w:pStyle w:val="ListParagraph"/>
        <w:numPr>
          <w:ilvl w:val="0"/>
          <w:numId w:val="1"/>
        </w:numPr>
      </w:pPr>
      <w:r>
        <w:t xml:space="preserve">A </w:t>
      </w:r>
      <w:r w:rsidRPr="00351880">
        <w:t>specialization track</w:t>
      </w:r>
      <w:r>
        <w:t xml:space="preserve"> in Sustainability</w:t>
      </w:r>
      <w:r w:rsidR="00336D08">
        <w:t xml:space="preserve"> was</w:t>
      </w:r>
      <w:r>
        <w:t xml:space="preserve"> added to the</w:t>
      </w:r>
      <w:r w:rsidR="00351880">
        <w:t xml:space="preserve"> </w:t>
      </w:r>
      <w:r w:rsidR="00351880" w:rsidRPr="00351880">
        <w:t xml:space="preserve">Interdisciplinary Studies </w:t>
      </w:r>
      <w:r w:rsidR="00F84D6C">
        <w:t>degree</w:t>
      </w:r>
      <w:r w:rsidR="00351880" w:rsidRPr="00351880">
        <w:t xml:space="preserve"> </w:t>
      </w:r>
      <w:r w:rsidR="00F84D6C">
        <w:t>to provide a sustainability focus for</w:t>
      </w:r>
      <w:r w:rsidR="00351880" w:rsidRPr="00351880">
        <w:t xml:space="preserve"> students interested in a broad liberal arts education</w:t>
      </w:r>
      <w:r w:rsidR="00351880">
        <w:t>.</w:t>
      </w:r>
    </w:p>
    <w:p w:rsidR="00DF336B" w:rsidRDefault="00351880" w:rsidP="00BD1748">
      <w:pPr>
        <w:pStyle w:val="ListParagraph"/>
        <w:numPr>
          <w:ilvl w:val="0"/>
          <w:numId w:val="1"/>
        </w:numPr>
      </w:pPr>
      <w:r>
        <w:t>A General Education Path in Principles of Sustainability, which offers students a connected path through their general education requirements with courses addressing sustainability principles and practices.</w:t>
      </w:r>
      <w:r w:rsidR="00DF336B" w:rsidRPr="00DF336B">
        <w:t xml:space="preserve"> </w:t>
      </w:r>
      <w:r w:rsidR="00DF336B">
        <w:t>Students take 4 lower division GE courses (12 units) and 2 upper division GE courses (6 units) associated with the path to obtain a GE Path Certificate in Sustainability.</w:t>
      </w:r>
    </w:p>
    <w:p w:rsidR="00351880" w:rsidRDefault="00351880" w:rsidP="00BD1748">
      <w:pPr>
        <w:pStyle w:val="ListParagraph"/>
        <w:numPr>
          <w:ilvl w:val="0"/>
          <w:numId w:val="1"/>
        </w:numPr>
      </w:pPr>
      <w:r>
        <w:t xml:space="preserve">A </w:t>
      </w:r>
      <w:r w:rsidRPr="00351880">
        <w:t>Climate Science Program</w:t>
      </w:r>
      <w:r w:rsidR="00F84D6C">
        <w:t>,</w:t>
      </w:r>
      <w:r w:rsidRPr="00351880">
        <w:t xml:space="preserve"> created with funding from NASA and with support from CSUN’s</w:t>
      </w:r>
      <w:r w:rsidR="006E17B3">
        <w:t xml:space="preserve"> </w:t>
      </w:r>
      <w:r w:rsidRPr="00351880">
        <w:t>Interdisciplinary Research Institute for the Sciences (IRIS) and the Institute for Sust</w:t>
      </w:r>
      <w:r w:rsidR="006E17B3">
        <w:t xml:space="preserve">ainability. Qualified students </w:t>
      </w:r>
      <w:r w:rsidRPr="00351880">
        <w:t xml:space="preserve">from all disciplines are encouraged to enroll in climate science courses </w:t>
      </w:r>
      <w:r w:rsidRPr="00351880">
        <w:lastRenderedPageBreak/>
        <w:t xml:space="preserve">offered through this program, </w:t>
      </w:r>
      <w:r w:rsidR="006E17B3">
        <w:t xml:space="preserve">which is </w:t>
      </w:r>
      <w:r w:rsidRPr="00351880">
        <w:t>housed within the Departments of Mathematics, Physics and Astronomy, and Geography.</w:t>
      </w:r>
    </w:p>
    <w:p w:rsidR="006E17B3" w:rsidRDefault="006E17B3" w:rsidP="00BD1748">
      <w:pPr>
        <w:pStyle w:val="ListParagraph"/>
        <w:numPr>
          <w:ilvl w:val="0"/>
          <w:numId w:val="1"/>
        </w:numPr>
      </w:pPr>
      <w:r>
        <w:t>An interdisciplinary Certifi</w:t>
      </w:r>
      <w:r w:rsidR="00F84D6C">
        <w:t>cate in Sustainable Engineering,</w:t>
      </w:r>
      <w:r>
        <w:t xml:space="preserve"> offered through the College of Engineering and Computer Science, </w:t>
      </w:r>
      <w:r w:rsidR="00F84D6C">
        <w:t>which</w:t>
      </w:r>
      <w:r>
        <w:t xml:space="preserve"> includes courses in environmental engineering, alternative energy, product design, waste and environmental policy.</w:t>
      </w:r>
    </w:p>
    <w:p w:rsidR="00322107" w:rsidRDefault="00322107" w:rsidP="00BD1748">
      <w:pPr>
        <w:pStyle w:val="ListParagraph"/>
        <w:numPr>
          <w:ilvl w:val="0"/>
          <w:numId w:val="1"/>
        </w:numPr>
      </w:pPr>
      <w:r>
        <w:t>A new freshman-level course in “Understanding Climate Change”</w:t>
      </w:r>
      <w:r w:rsidR="00F84D6C">
        <w:t>,</w:t>
      </w:r>
      <w:r>
        <w:t xml:space="preserve"> developed and </w:t>
      </w:r>
      <w:r w:rsidR="00F84D6C">
        <w:t>team-</w:t>
      </w:r>
      <w:r>
        <w:t>taught</w:t>
      </w:r>
      <w:r w:rsidR="00F84D6C">
        <w:t xml:space="preserve"> in </w:t>
      </w:r>
      <w:proofErr w:type="gramStart"/>
      <w:r w:rsidR="00F84D6C">
        <w:t>Spring</w:t>
      </w:r>
      <w:proofErr w:type="gramEnd"/>
      <w:r w:rsidR="00F84D6C">
        <w:t xml:space="preserve"> 2015. A</w:t>
      </w:r>
      <w:r>
        <w:t>pproved for General Education credit in Natural Sciences.</w:t>
      </w:r>
    </w:p>
    <w:p w:rsidR="00394141" w:rsidRDefault="00394141" w:rsidP="00BD1748"/>
    <w:p w:rsidR="00322107" w:rsidRDefault="00322107" w:rsidP="00BD1748">
      <w:r>
        <w:t xml:space="preserve">Our plan is to expand formal education offerings in climate change and sustainability through a number of </w:t>
      </w:r>
      <w:r w:rsidR="00C978A8">
        <w:t>mechanisms</w:t>
      </w:r>
      <w:r w:rsidR="00F84D6C">
        <w:t xml:space="preserve">, with </w:t>
      </w:r>
      <w:r w:rsidR="00E16F8B">
        <w:t>the objective of</w:t>
      </w:r>
      <w:r w:rsidR="00F84D6C">
        <w:t xml:space="preserve"> greatly increas</w:t>
      </w:r>
      <w:r w:rsidR="00E16F8B">
        <w:t>ing</w:t>
      </w:r>
      <w:r w:rsidR="00F84D6C">
        <w:t xml:space="preserve"> the number of students rec</w:t>
      </w:r>
      <w:r w:rsidR="00E16F8B">
        <w:t>eiving sustainability education, and a goal of reaching all students by 2025.</w:t>
      </w:r>
    </w:p>
    <w:p w:rsidR="00322107" w:rsidRDefault="00322107" w:rsidP="00BD1748">
      <w:pPr>
        <w:pStyle w:val="ListParagraph"/>
        <w:numPr>
          <w:ilvl w:val="0"/>
          <w:numId w:val="2"/>
        </w:numPr>
      </w:pPr>
      <w:r>
        <w:t>Develop a new undergraduate internship course in Sustainability, SUST 494, to be available for 1, 2 or 3 units of credit.  This course w</w:t>
      </w:r>
      <w:r w:rsidR="00F84D6C">
        <w:t>ill</w:t>
      </w:r>
      <w:r>
        <w:t xml:space="preserve"> allow students to </w:t>
      </w:r>
      <w:r w:rsidR="00F84D6C">
        <w:t>earn</w:t>
      </w:r>
      <w:r>
        <w:t xml:space="preserve"> credit for carrying out campus or off campus work which provides hands-on experience in sustainability practices. (</w:t>
      </w:r>
      <w:r w:rsidR="00C978A8">
        <w:t xml:space="preserve">Target dates: </w:t>
      </w:r>
      <w:r>
        <w:t>Course development and curriculum review</w:t>
      </w:r>
      <w:r w:rsidR="00A72FF1">
        <w:t xml:space="preserve"> process</w:t>
      </w:r>
      <w:r>
        <w:t xml:space="preserve">: 2015-16. Implementation: </w:t>
      </w:r>
      <w:r w:rsidR="0063253B">
        <w:t>Fall</w:t>
      </w:r>
      <w:r w:rsidR="00A72FF1">
        <w:t xml:space="preserve"> </w:t>
      </w:r>
      <w:r>
        <w:t>20</w:t>
      </w:r>
      <w:r w:rsidR="00C978A8">
        <w:t>17)</w:t>
      </w:r>
    </w:p>
    <w:p w:rsidR="00C978A8" w:rsidRDefault="00C978A8" w:rsidP="00BD1748">
      <w:pPr>
        <w:pStyle w:val="ListParagraph"/>
        <w:numPr>
          <w:ilvl w:val="0"/>
          <w:numId w:val="2"/>
        </w:numPr>
      </w:pPr>
      <w:r>
        <w:t>Develop a new 1-unit General Education (Social Science) course in Sustainability Awareness</w:t>
      </w:r>
      <w:r w:rsidR="00F84D6C">
        <w:t>/Introduction to Sustainability</w:t>
      </w:r>
      <w:r>
        <w:t xml:space="preserve"> to be available at the 100-level to all students.</w:t>
      </w:r>
      <w:r w:rsidRPr="00C978A8">
        <w:t xml:space="preserve"> </w:t>
      </w:r>
      <w:r>
        <w:t>(Target dates: Course development and curriculum review</w:t>
      </w:r>
      <w:r w:rsidR="00A72FF1">
        <w:t xml:space="preserve"> process</w:t>
      </w:r>
      <w:r>
        <w:t xml:space="preserve">: 2015-16. Implementation: </w:t>
      </w:r>
      <w:r w:rsidR="0063253B">
        <w:t>Fall</w:t>
      </w:r>
      <w:r w:rsidR="00A72FF1">
        <w:t xml:space="preserve"> </w:t>
      </w:r>
      <w:r>
        <w:t>2017)</w:t>
      </w:r>
    </w:p>
    <w:p w:rsidR="00C978A8" w:rsidRDefault="00C978A8" w:rsidP="00BD1748">
      <w:pPr>
        <w:pStyle w:val="ListParagraph"/>
        <w:numPr>
          <w:ilvl w:val="0"/>
          <w:numId w:val="2"/>
        </w:numPr>
      </w:pPr>
      <w:r>
        <w:t xml:space="preserve">Develop a new 1-unit General Education </w:t>
      </w:r>
      <w:r w:rsidR="0063253B">
        <w:t>laboratory in Natural Sciences,</w:t>
      </w:r>
      <w:r>
        <w:t xml:space="preserve"> </w:t>
      </w:r>
      <w:r w:rsidR="00F84D6C">
        <w:t xml:space="preserve">Introduction to </w:t>
      </w:r>
      <w:r>
        <w:t>Sustainability Practices</w:t>
      </w:r>
      <w:r w:rsidR="0063253B">
        <w:t>,</w:t>
      </w:r>
      <w:r w:rsidRPr="00C978A8">
        <w:t xml:space="preserve"> </w:t>
      </w:r>
      <w:r>
        <w:t>to be available at the 100-level to all students.</w:t>
      </w:r>
      <w:r w:rsidRPr="00C978A8">
        <w:t xml:space="preserve"> </w:t>
      </w:r>
      <w:r>
        <w:t>(Target dates: Course development and curriculum review</w:t>
      </w:r>
      <w:r w:rsidR="00A72FF1">
        <w:t xml:space="preserve"> process</w:t>
      </w:r>
      <w:r>
        <w:t>: 201</w:t>
      </w:r>
      <w:r w:rsidR="00E16F8B">
        <w:t>6</w:t>
      </w:r>
      <w:r>
        <w:t>-1</w:t>
      </w:r>
      <w:r w:rsidR="00E16F8B">
        <w:t>7</w:t>
      </w:r>
      <w:r>
        <w:t xml:space="preserve">. Implementation: </w:t>
      </w:r>
      <w:r w:rsidR="00A72FF1">
        <w:t xml:space="preserve">Fall </w:t>
      </w:r>
      <w:r>
        <w:t>201</w:t>
      </w:r>
      <w:r w:rsidR="00E16F8B">
        <w:t>8</w:t>
      </w:r>
      <w:r>
        <w:t>)</w:t>
      </w:r>
    </w:p>
    <w:p w:rsidR="00C978A8" w:rsidRDefault="00C978A8" w:rsidP="00BD1748">
      <w:pPr>
        <w:pStyle w:val="ListParagraph"/>
        <w:numPr>
          <w:ilvl w:val="0"/>
          <w:numId w:val="2"/>
        </w:numPr>
      </w:pPr>
      <w:r>
        <w:t xml:space="preserve">Incorporate sustainability education into specific existing General Education classes that are required of all students. </w:t>
      </w:r>
      <w:r w:rsidR="00772ED0">
        <w:t>Oral communications classes (COMS 151 and equivalent) will be targeted for initial consideration.</w:t>
      </w:r>
      <w:r w:rsidR="00FC20B2" w:rsidRPr="00FC20B2">
        <w:t xml:space="preserve"> </w:t>
      </w:r>
      <w:r w:rsidR="00FC20B2">
        <w:t>(Target dates: Course development and curriculum review process: 201</w:t>
      </w:r>
      <w:r w:rsidR="0063253B">
        <w:t>6</w:t>
      </w:r>
      <w:r w:rsidR="00FC20B2">
        <w:t>-1</w:t>
      </w:r>
      <w:r w:rsidR="0063253B">
        <w:t>7</w:t>
      </w:r>
      <w:r w:rsidR="00FC20B2">
        <w:t xml:space="preserve">. Implementation: </w:t>
      </w:r>
      <w:r w:rsidR="00A72FF1">
        <w:t xml:space="preserve">Spring </w:t>
      </w:r>
      <w:r w:rsidR="00FC20B2">
        <w:t>201</w:t>
      </w:r>
      <w:r w:rsidR="0063253B">
        <w:t>8</w:t>
      </w:r>
      <w:r w:rsidR="00FC20B2">
        <w:t>)</w:t>
      </w:r>
    </w:p>
    <w:p w:rsidR="00C978A8" w:rsidRDefault="00FC20B2" w:rsidP="00BD1748">
      <w:pPr>
        <w:pStyle w:val="ListParagraph"/>
        <w:numPr>
          <w:ilvl w:val="0"/>
          <w:numId w:val="2"/>
        </w:numPr>
      </w:pPr>
      <w:r>
        <w:t>Increase the number of sustainability-content courses identified as electives for the Sustainability Minor through a complete catalog review, beginning with those courses in the GE Principles of Sustainability path.</w:t>
      </w:r>
      <w:r w:rsidRPr="00FC20B2">
        <w:t xml:space="preserve"> </w:t>
      </w:r>
      <w:r>
        <w:t>(Target dates: Course review 2015-16, curriculum review process 2016-17. Implementation: Fall 2017)</w:t>
      </w:r>
    </w:p>
    <w:p w:rsidR="00E16F8B" w:rsidRDefault="00E16F8B" w:rsidP="00BD1748">
      <w:pPr>
        <w:pStyle w:val="ListParagraph"/>
        <w:numPr>
          <w:ilvl w:val="0"/>
          <w:numId w:val="2"/>
        </w:numPr>
      </w:pPr>
      <w:r>
        <w:t>Increase the number of sustainability-content courses included in the GE Principles of Sustainability path. (Ongoing)</w:t>
      </w:r>
    </w:p>
    <w:p w:rsidR="00FC20B2" w:rsidRDefault="005C6CF5" w:rsidP="00BD1748">
      <w:pPr>
        <w:pStyle w:val="ListParagraph"/>
        <w:numPr>
          <w:ilvl w:val="0"/>
          <w:numId w:val="2"/>
        </w:numPr>
      </w:pPr>
      <w:r>
        <w:t>Identify and flag all Sustainability-content courses in CSUN catalog and require all students to take a Sustainability overlay within G.E.</w:t>
      </w:r>
      <w:r w:rsidR="00F84D6C">
        <w:t xml:space="preserve"> </w:t>
      </w:r>
      <w:r>
        <w:t xml:space="preserve">(No target date. Will be employed as a strategy if #s 1-5 prove </w:t>
      </w:r>
      <w:r w:rsidR="00F84D6C">
        <w:t>insufficient to meet our</w:t>
      </w:r>
      <w:r>
        <w:t xml:space="preserve"> objective</w:t>
      </w:r>
      <w:r w:rsidR="00F84D6C">
        <w:t>s</w:t>
      </w:r>
      <w:r>
        <w:t>.)</w:t>
      </w:r>
    </w:p>
    <w:p w:rsidR="00D54443" w:rsidRDefault="00D54443" w:rsidP="00BD1748">
      <w:pPr>
        <w:pStyle w:val="ListParagraph"/>
        <w:numPr>
          <w:ilvl w:val="0"/>
          <w:numId w:val="2"/>
        </w:numPr>
      </w:pPr>
      <w:r>
        <w:t xml:space="preserve">Develop an MA in Sustainability Practices that utilizes the </w:t>
      </w:r>
      <w:r w:rsidR="00222DEB">
        <w:t>sustainability</w:t>
      </w:r>
      <w:r>
        <w:t xml:space="preserve"> graduate core courses already on the books. (Target dates: Course development and curriculum review process: 2015-16. Implementation: Fall 201</w:t>
      </w:r>
      <w:r w:rsidR="00E979F3">
        <w:t>8</w:t>
      </w:r>
      <w:r>
        <w:t>)</w:t>
      </w:r>
    </w:p>
    <w:p w:rsidR="00B63E69" w:rsidRPr="00322107" w:rsidRDefault="00B63E69" w:rsidP="00B63E69">
      <w:pPr>
        <w:pStyle w:val="ListParagraph"/>
        <w:numPr>
          <w:ilvl w:val="1"/>
          <w:numId w:val="44"/>
        </w:numPr>
        <w:tabs>
          <w:tab w:val="left" w:pos="-1980"/>
          <w:tab w:val="left" w:pos="720"/>
        </w:tabs>
        <w:rPr>
          <w:rFonts w:ascii="Calibri" w:hAnsi="Calibri" w:cs="Calibri"/>
        </w:rPr>
      </w:pPr>
      <w:r w:rsidRPr="00322107">
        <w:rPr>
          <w:rFonts w:ascii="Calibri" w:hAnsi="Calibri" w:cs="Calibri"/>
        </w:rPr>
        <w:t>SUST 500:</w:t>
      </w:r>
      <w:r w:rsidRPr="00322107">
        <w:rPr>
          <w:rFonts w:ascii="Calibri" w:hAnsi="Calibri" w:cs="Calibri"/>
        </w:rPr>
        <w:tab/>
        <w:t>Foundations of Sustainable Systems</w:t>
      </w:r>
    </w:p>
    <w:p w:rsidR="00B63E69" w:rsidRPr="00322107" w:rsidRDefault="00B63E69" w:rsidP="00B63E69">
      <w:pPr>
        <w:pStyle w:val="ListParagraph"/>
        <w:numPr>
          <w:ilvl w:val="1"/>
          <w:numId w:val="44"/>
        </w:numPr>
        <w:tabs>
          <w:tab w:val="left" w:pos="-1980"/>
          <w:tab w:val="left" w:pos="720"/>
        </w:tabs>
        <w:rPr>
          <w:rFonts w:ascii="Calibri" w:hAnsi="Calibri" w:cs="Calibri"/>
        </w:rPr>
      </w:pPr>
      <w:r w:rsidRPr="00322107">
        <w:rPr>
          <w:rFonts w:ascii="Calibri" w:hAnsi="Calibri" w:cs="Calibri"/>
        </w:rPr>
        <w:t>SUST 510:</w:t>
      </w:r>
      <w:r w:rsidRPr="00322107">
        <w:rPr>
          <w:rFonts w:ascii="Calibri" w:hAnsi="Calibri" w:cs="Calibri"/>
        </w:rPr>
        <w:tab/>
        <w:t>Resource Use and Management</w:t>
      </w:r>
    </w:p>
    <w:p w:rsidR="00B63E69" w:rsidRPr="00322107" w:rsidRDefault="00B63E69" w:rsidP="00B63E69">
      <w:pPr>
        <w:pStyle w:val="ListParagraph"/>
        <w:numPr>
          <w:ilvl w:val="1"/>
          <w:numId w:val="44"/>
        </w:numPr>
        <w:tabs>
          <w:tab w:val="left" w:pos="-1980"/>
          <w:tab w:val="left" w:pos="720"/>
        </w:tabs>
        <w:rPr>
          <w:rFonts w:ascii="Calibri" w:hAnsi="Calibri" w:cs="Calibri"/>
        </w:rPr>
      </w:pPr>
      <w:r w:rsidRPr="00322107">
        <w:rPr>
          <w:rFonts w:ascii="Calibri" w:hAnsi="Calibri" w:cs="Calibri"/>
        </w:rPr>
        <w:t>SUST 520:</w:t>
      </w:r>
      <w:r w:rsidRPr="00322107">
        <w:rPr>
          <w:rFonts w:ascii="Calibri" w:hAnsi="Calibri" w:cs="Calibri"/>
        </w:rPr>
        <w:tab/>
        <w:t>Regulatory Framework for Sustainability</w:t>
      </w:r>
    </w:p>
    <w:p w:rsidR="00B63E69" w:rsidRPr="00322107" w:rsidRDefault="00B63E69" w:rsidP="00B63E69">
      <w:pPr>
        <w:pStyle w:val="ListParagraph"/>
        <w:numPr>
          <w:ilvl w:val="1"/>
          <w:numId w:val="44"/>
        </w:numPr>
        <w:tabs>
          <w:tab w:val="left" w:pos="-1980"/>
          <w:tab w:val="left" w:pos="720"/>
        </w:tabs>
        <w:rPr>
          <w:rFonts w:ascii="Calibri" w:hAnsi="Calibri" w:cs="Calibri"/>
        </w:rPr>
      </w:pPr>
      <w:r w:rsidRPr="00322107">
        <w:rPr>
          <w:rFonts w:ascii="Calibri" w:hAnsi="Calibri" w:cs="Calibri"/>
        </w:rPr>
        <w:lastRenderedPageBreak/>
        <w:t>SUST 540:</w:t>
      </w:r>
      <w:r w:rsidRPr="00322107">
        <w:rPr>
          <w:rFonts w:ascii="Calibri" w:hAnsi="Calibri" w:cs="Calibri"/>
        </w:rPr>
        <w:tab/>
        <w:t>Sustainable Business Practices</w:t>
      </w:r>
    </w:p>
    <w:p w:rsidR="00B63E69" w:rsidRPr="00322107" w:rsidRDefault="00B63E69" w:rsidP="00B63E69">
      <w:pPr>
        <w:pStyle w:val="ListParagraph"/>
        <w:ind w:left="360"/>
      </w:pPr>
      <w:r w:rsidRPr="00322107">
        <w:t>These courses are included in the MBA Sustainability Option.</w:t>
      </w:r>
    </w:p>
    <w:p w:rsidR="00AC0157" w:rsidRPr="0063253B" w:rsidRDefault="0063253B" w:rsidP="00BD1748">
      <w:pPr>
        <w:pStyle w:val="Heading2"/>
      </w:pPr>
      <w:bookmarkStart w:id="29" w:name="_Toc440630073"/>
      <w:r w:rsidRPr="0063253B">
        <w:t>6</w:t>
      </w:r>
      <w:r w:rsidR="00AC0157" w:rsidRPr="0063253B">
        <w:t>.</w:t>
      </w:r>
      <w:r w:rsidR="00394141">
        <w:t>3</w:t>
      </w:r>
      <w:r w:rsidR="00CB60C3" w:rsidRPr="0063253B">
        <w:t xml:space="preserve"> </w:t>
      </w:r>
      <w:r w:rsidR="00AC0157" w:rsidRPr="0063253B">
        <w:t>Informal Education in Sustainability and Climate Change</w:t>
      </w:r>
      <w:bookmarkEnd w:id="29"/>
    </w:p>
    <w:p w:rsidR="00DD77AE" w:rsidRDefault="00AC0157" w:rsidP="00BD1748">
      <w:pPr>
        <w:rPr>
          <w:rFonts w:cstheme="minorHAnsi"/>
        </w:rPr>
      </w:pPr>
      <w:r>
        <w:t xml:space="preserve">In addition to formal curriculum offerings, there exist many opportunities for students to learn about sustainability through informal programs.  </w:t>
      </w:r>
      <w:r w:rsidR="00ED4A1C">
        <w:rPr>
          <w:rFonts w:cstheme="minorHAnsi"/>
        </w:rPr>
        <w:t>The Institute for Sustainability</w:t>
      </w:r>
      <w:r w:rsidR="00DD77AE">
        <w:rPr>
          <w:rFonts w:cstheme="minorHAnsi"/>
        </w:rPr>
        <w:t xml:space="preserve">, Associated Students, and other campus </w:t>
      </w:r>
      <w:r w:rsidR="00222DEB">
        <w:rPr>
          <w:rFonts w:cstheme="minorHAnsi"/>
        </w:rPr>
        <w:t>programs</w:t>
      </w:r>
      <w:r w:rsidR="00DD77AE">
        <w:rPr>
          <w:rFonts w:cstheme="minorHAnsi"/>
        </w:rPr>
        <w:t xml:space="preserve"> such as the </w:t>
      </w:r>
      <w:r w:rsidR="00DD77AE" w:rsidRPr="00DD77AE">
        <w:rPr>
          <w:rFonts w:cstheme="minorHAnsi"/>
        </w:rPr>
        <w:t>Office of Research and Graduate Studies Distinguished Visiting Speakers Program</w:t>
      </w:r>
      <w:r w:rsidR="00ED4A1C">
        <w:rPr>
          <w:rFonts w:cstheme="minorHAnsi"/>
        </w:rPr>
        <w:t xml:space="preserve"> </w:t>
      </w:r>
      <w:r w:rsidR="0015397E">
        <w:rPr>
          <w:rFonts w:cstheme="minorHAnsi"/>
        </w:rPr>
        <w:t xml:space="preserve">provide </w:t>
      </w:r>
      <w:r w:rsidR="00ED4A1C">
        <w:rPr>
          <w:rFonts w:cstheme="minorHAnsi"/>
        </w:rPr>
        <w:t xml:space="preserve">informal education </w:t>
      </w:r>
      <w:r w:rsidR="0015397E">
        <w:rPr>
          <w:rFonts w:cstheme="minorHAnsi"/>
        </w:rPr>
        <w:t xml:space="preserve">in sustainability </w:t>
      </w:r>
      <w:r w:rsidR="00ED4A1C">
        <w:rPr>
          <w:rFonts w:cstheme="minorHAnsi"/>
        </w:rPr>
        <w:t>by hosting campus-wide edu</w:t>
      </w:r>
      <w:r w:rsidR="0015397E">
        <w:rPr>
          <w:rFonts w:cstheme="minorHAnsi"/>
        </w:rPr>
        <w:t xml:space="preserve">cational events </w:t>
      </w:r>
      <w:r w:rsidR="00222DEB">
        <w:rPr>
          <w:rFonts w:cstheme="minorHAnsi"/>
        </w:rPr>
        <w:t xml:space="preserve">and opportunities </w:t>
      </w:r>
      <w:r w:rsidR="0015397E">
        <w:rPr>
          <w:rFonts w:cstheme="minorHAnsi"/>
        </w:rPr>
        <w:t>during the year</w:t>
      </w:r>
      <w:r w:rsidR="00ED4A1C">
        <w:rPr>
          <w:rFonts w:cstheme="minorHAnsi"/>
        </w:rPr>
        <w:t xml:space="preserve">. </w:t>
      </w:r>
      <w:r w:rsidR="0015397E">
        <w:rPr>
          <w:rFonts w:cstheme="minorHAnsi"/>
        </w:rPr>
        <w:t xml:space="preserve"> </w:t>
      </w:r>
      <w:r w:rsidR="00ED4A1C">
        <w:rPr>
          <w:rFonts w:cstheme="minorHAnsi"/>
        </w:rPr>
        <w:t>Regular events include</w:t>
      </w:r>
      <w:r w:rsidR="00DD77AE">
        <w:rPr>
          <w:rFonts w:cstheme="minorHAnsi"/>
        </w:rPr>
        <w:t>:</w:t>
      </w:r>
    </w:p>
    <w:p w:rsidR="00DD77AE" w:rsidRPr="00222DEB" w:rsidRDefault="00ED4A1C" w:rsidP="00BD1748">
      <w:pPr>
        <w:pStyle w:val="ListParagraph"/>
        <w:numPr>
          <w:ilvl w:val="0"/>
          <w:numId w:val="7"/>
        </w:numPr>
      </w:pPr>
      <w:r w:rsidRPr="00DD77AE">
        <w:rPr>
          <w:rFonts w:cstheme="minorHAnsi"/>
        </w:rPr>
        <w:t xml:space="preserve">Campus Sustainability Day </w:t>
      </w:r>
      <w:r w:rsidR="00DD77AE">
        <w:rPr>
          <w:rFonts w:cstheme="minorHAnsi"/>
        </w:rPr>
        <w:t>(every F</w:t>
      </w:r>
      <w:r w:rsidRPr="00DD77AE">
        <w:rPr>
          <w:rFonts w:cstheme="minorHAnsi"/>
        </w:rPr>
        <w:t>all</w:t>
      </w:r>
      <w:r w:rsidR="00DD77AE">
        <w:rPr>
          <w:rFonts w:cstheme="minorHAnsi"/>
        </w:rPr>
        <w:t>)</w:t>
      </w:r>
    </w:p>
    <w:p w:rsidR="00222DEB" w:rsidRPr="00DD77AE" w:rsidRDefault="00222DEB" w:rsidP="00BD1748">
      <w:pPr>
        <w:pStyle w:val="ListParagraph"/>
        <w:numPr>
          <w:ilvl w:val="0"/>
          <w:numId w:val="7"/>
        </w:numPr>
      </w:pPr>
      <w:r>
        <w:rPr>
          <w:rFonts w:cstheme="minorHAnsi"/>
        </w:rPr>
        <w:t>Orange Pick (every Fall and Spring)</w:t>
      </w:r>
    </w:p>
    <w:p w:rsidR="00DD77AE" w:rsidRPr="00DD77AE" w:rsidRDefault="00ED4A1C" w:rsidP="00BD1748">
      <w:pPr>
        <w:pStyle w:val="ListParagraph"/>
        <w:numPr>
          <w:ilvl w:val="0"/>
          <w:numId w:val="7"/>
        </w:numPr>
      </w:pPr>
      <w:r w:rsidRPr="00DD77AE">
        <w:rPr>
          <w:rFonts w:cstheme="minorHAnsi"/>
        </w:rPr>
        <w:t xml:space="preserve">Water Day </w:t>
      </w:r>
      <w:r w:rsidR="00DD77AE">
        <w:rPr>
          <w:rFonts w:cstheme="minorHAnsi"/>
        </w:rPr>
        <w:t>(every Spring)</w:t>
      </w:r>
    </w:p>
    <w:p w:rsidR="0015397E" w:rsidRPr="0015397E" w:rsidRDefault="00ED4A1C" w:rsidP="00BD1748">
      <w:pPr>
        <w:pStyle w:val="ListParagraph"/>
        <w:numPr>
          <w:ilvl w:val="0"/>
          <w:numId w:val="7"/>
        </w:numPr>
      </w:pPr>
      <w:r w:rsidRPr="00DD77AE">
        <w:rPr>
          <w:rFonts w:cstheme="minorHAnsi"/>
        </w:rPr>
        <w:t xml:space="preserve">Earth Day </w:t>
      </w:r>
      <w:r w:rsidR="0015397E">
        <w:rPr>
          <w:rFonts w:cstheme="minorHAnsi"/>
        </w:rPr>
        <w:t>(every Spring)</w:t>
      </w:r>
    </w:p>
    <w:p w:rsidR="0015397E" w:rsidRPr="001F4236" w:rsidRDefault="00ED4A1C" w:rsidP="00BD1748">
      <w:pPr>
        <w:pStyle w:val="ListParagraph"/>
        <w:numPr>
          <w:ilvl w:val="0"/>
          <w:numId w:val="7"/>
        </w:numPr>
      </w:pPr>
      <w:r w:rsidRPr="00DD77AE">
        <w:rPr>
          <w:rFonts w:cstheme="minorHAnsi"/>
        </w:rPr>
        <w:t>America Recycles Day</w:t>
      </w:r>
      <w:r w:rsidR="0015397E">
        <w:rPr>
          <w:rFonts w:cstheme="minorHAnsi"/>
        </w:rPr>
        <w:t xml:space="preserve"> (every Fall)</w:t>
      </w:r>
    </w:p>
    <w:p w:rsidR="001F4236" w:rsidRPr="0015397E" w:rsidRDefault="001F4236" w:rsidP="00BD1748">
      <w:pPr>
        <w:pStyle w:val="ListParagraph"/>
        <w:numPr>
          <w:ilvl w:val="0"/>
          <w:numId w:val="7"/>
        </w:numPr>
      </w:pPr>
      <w:proofErr w:type="spellStart"/>
      <w:r>
        <w:rPr>
          <w:rFonts w:cstheme="minorHAnsi"/>
        </w:rPr>
        <w:t>Recyclemania</w:t>
      </w:r>
      <w:proofErr w:type="spellEnd"/>
      <w:r w:rsidR="00C13F6B">
        <w:rPr>
          <w:rFonts w:cstheme="minorHAnsi"/>
        </w:rPr>
        <w:t xml:space="preserve"> (annually)</w:t>
      </w:r>
    </w:p>
    <w:p w:rsidR="0015397E" w:rsidRPr="0015397E" w:rsidRDefault="0015397E" w:rsidP="00BD1748">
      <w:pPr>
        <w:pStyle w:val="ListParagraph"/>
        <w:numPr>
          <w:ilvl w:val="0"/>
          <w:numId w:val="7"/>
        </w:numPr>
      </w:pPr>
      <w:r>
        <w:rPr>
          <w:rFonts w:cstheme="minorHAnsi"/>
        </w:rPr>
        <w:t>Documentary film screenings with panel discussions</w:t>
      </w:r>
    </w:p>
    <w:p w:rsidR="0015397E" w:rsidRPr="0015397E" w:rsidRDefault="0015397E" w:rsidP="00BD1748">
      <w:pPr>
        <w:pStyle w:val="ListParagraph"/>
        <w:numPr>
          <w:ilvl w:val="0"/>
          <w:numId w:val="7"/>
        </w:numPr>
      </w:pPr>
      <w:r w:rsidRPr="0015397E">
        <w:rPr>
          <w:rFonts w:cstheme="minorHAnsi"/>
        </w:rPr>
        <w:t>California Renewable Energy and Storage Technology Conference</w:t>
      </w:r>
      <w:r>
        <w:rPr>
          <w:rFonts w:cstheme="minorHAnsi"/>
        </w:rPr>
        <w:t xml:space="preserve"> (every Spring)</w:t>
      </w:r>
    </w:p>
    <w:p w:rsidR="0015397E" w:rsidRDefault="0015397E" w:rsidP="00BD1748">
      <w:r>
        <w:t xml:space="preserve"> </w:t>
      </w:r>
    </w:p>
    <w:p w:rsidR="0015397E" w:rsidRDefault="0015397E" w:rsidP="00BD1748">
      <w:pPr>
        <w:rPr>
          <w:rFonts w:cstheme="minorHAnsi"/>
        </w:rPr>
      </w:pPr>
      <w:r>
        <w:t>In addition s</w:t>
      </w:r>
      <w:r w:rsidR="00ED4A1C" w:rsidRPr="00DD77AE">
        <w:rPr>
          <w:rFonts w:cstheme="minorHAnsi"/>
        </w:rPr>
        <w:t xml:space="preserve">tudents take part in active-learning through </w:t>
      </w:r>
      <w:r>
        <w:rPr>
          <w:rFonts w:cstheme="minorHAnsi"/>
        </w:rPr>
        <w:t xml:space="preserve">service-learning and internship programs with </w:t>
      </w:r>
      <w:r w:rsidR="00ED4A1C" w:rsidRPr="00DD77AE">
        <w:rPr>
          <w:rFonts w:cstheme="minorHAnsi"/>
        </w:rPr>
        <w:t xml:space="preserve">the Institute </w:t>
      </w:r>
      <w:r>
        <w:rPr>
          <w:rFonts w:cstheme="minorHAnsi"/>
        </w:rPr>
        <w:t>for Sustainability</w:t>
      </w:r>
      <w:r w:rsidRPr="0015397E">
        <w:rPr>
          <w:rFonts w:cstheme="minorHAnsi"/>
        </w:rPr>
        <w:t xml:space="preserve"> </w:t>
      </w:r>
      <w:r w:rsidR="00ED4A1C" w:rsidRPr="00DD77AE">
        <w:rPr>
          <w:rFonts w:cstheme="minorHAnsi"/>
        </w:rPr>
        <w:t>including</w:t>
      </w:r>
      <w:r>
        <w:rPr>
          <w:rFonts w:cstheme="minorHAnsi"/>
        </w:rPr>
        <w:t>:</w:t>
      </w:r>
    </w:p>
    <w:p w:rsidR="0015397E" w:rsidRPr="0015397E" w:rsidRDefault="00ED4A1C" w:rsidP="00BD1748">
      <w:pPr>
        <w:pStyle w:val="ListParagraph"/>
        <w:numPr>
          <w:ilvl w:val="0"/>
          <w:numId w:val="8"/>
        </w:numPr>
      </w:pPr>
      <w:r w:rsidRPr="0015397E">
        <w:rPr>
          <w:rFonts w:cstheme="minorHAnsi"/>
        </w:rPr>
        <w:t>development of the</w:t>
      </w:r>
      <w:r w:rsidR="0015397E">
        <w:rPr>
          <w:rFonts w:cstheme="minorHAnsi"/>
        </w:rPr>
        <w:t xml:space="preserve"> organic</w:t>
      </w:r>
      <w:r w:rsidRPr="0015397E">
        <w:rPr>
          <w:rFonts w:cstheme="minorHAnsi"/>
        </w:rPr>
        <w:t xml:space="preserve"> campus food garden</w:t>
      </w:r>
    </w:p>
    <w:p w:rsidR="0015397E" w:rsidRPr="0015397E" w:rsidRDefault="0015397E" w:rsidP="00BD1748">
      <w:pPr>
        <w:pStyle w:val="ListParagraph"/>
        <w:numPr>
          <w:ilvl w:val="0"/>
          <w:numId w:val="8"/>
        </w:numPr>
      </w:pPr>
      <w:r>
        <w:rPr>
          <w:rFonts w:cstheme="minorHAnsi"/>
        </w:rPr>
        <w:t>organic waste reduction and</w:t>
      </w:r>
      <w:r w:rsidR="00ED4A1C" w:rsidRPr="0015397E">
        <w:rPr>
          <w:rFonts w:cstheme="minorHAnsi"/>
        </w:rPr>
        <w:t xml:space="preserve"> composting </w:t>
      </w:r>
      <w:r>
        <w:rPr>
          <w:rFonts w:cstheme="minorHAnsi"/>
        </w:rPr>
        <w:t>program</w:t>
      </w:r>
    </w:p>
    <w:p w:rsidR="001E7148" w:rsidRPr="001E7148" w:rsidRDefault="00714215" w:rsidP="00BD1748">
      <w:pPr>
        <w:pStyle w:val="ListParagraph"/>
        <w:numPr>
          <w:ilvl w:val="0"/>
          <w:numId w:val="8"/>
        </w:numPr>
      </w:pPr>
      <w:r w:rsidRPr="00222DEB">
        <w:rPr>
          <w:rFonts w:cstheme="minorHAnsi"/>
        </w:rPr>
        <w:t>resource use analysis</w:t>
      </w:r>
      <w:r w:rsidR="00222DEB" w:rsidRPr="00222DEB">
        <w:rPr>
          <w:rFonts w:cstheme="minorHAnsi"/>
        </w:rPr>
        <w:t xml:space="preserve"> and</w:t>
      </w:r>
      <w:r w:rsidR="00222DEB">
        <w:rPr>
          <w:rFonts w:cstheme="minorHAnsi"/>
        </w:rPr>
        <w:t xml:space="preserve"> </w:t>
      </w:r>
      <w:r w:rsidR="00ED4A1C" w:rsidRPr="00222DEB">
        <w:rPr>
          <w:rFonts w:cstheme="minorHAnsi"/>
        </w:rPr>
        <w:t>carbon foot</w:t>
      </w:r>
      <w:r w:rsidR="00E44C90" w:rsidRPr="00222DEB">
        <w:rPr>
          <w:rFonts w:cstheme="minorHAnsi"/>
        </w:rPr>
        <w:t>-</w:t>
      </w:r>
      <w:r w:rsidR="00ED4A1C" w:rsidRPr="00222DEB">
        <w:rPr>
          <w:rFonts w:cstheme="minorHAnsi"/>
        </w:rPr>
        <w:t>printing</w:t>
      </w:r>
    </w:p>
    <w:p w:rsidR="00470042" w:rsidRPr="00222DEB" w:rsidRDefault="0015397E" w:rsidP="00BD1748">
      <w:pPr>
        <w:pStyle w:val="ListParagraph"/>
        <w:numPr>
          <w:ilvl w:val="0"/>
          <w:numId w:val="8"/>
        </w:numPr>
      </w:pPr>
      <w:r w:rsidRPr="0015397E">
        <w:rPr>
          <w:rFonts w:cstheme="minorHAnsi"/>
        </w:rPr>
        <w:t>resource mapping using Geographic Information Systems</w:t>
      </w:r>
    </w:p>
    <w:p w:rsidR="00222DEB" w:rsidRPr="00470042" w:rsidRDefault="00222DEB" w:rsidP="00BD1748">
      <w:pPr>
        <w:pStyle w:val="ListParagraph"/>
        <w:numPr>
          <w:ilvl w:val="0"/>
          <w:numId w:val="8"/>
        </w:numPr>
      </w:pPr>
      <w:r>
        <w:rPr>
          <w:rFonts w:cstheme="minorHAnsi"/>
        </w:rPr>
        <w:t>development of sustainability guides, student resources and newsletter</w:t>
      </w:r>
    </w:p>
    <w:p w:rsidR="003825C8" w:rsidRDefault="0015397E" w:rsidP="00BD1748">
      <w:pPr>
        <w:pStyle w:val="ListParagraph"/>
        <w:numPr>
          <w:ilvl w:val="0"/>
          <w:numId w:val="8"/>
        </w:numPr>
      </w:pPr>
      <w:r>
        <w:t>campus-wide exterior and interior lighting surveys</w:t>
      </w:r>
    </w:p>
    <w:p w:rsidR="003825C8" w:rsidRDefault="00222DEB" w:rsidP="00BD1748">
      <w:pPr>
        <w:pStyle w:val="ListParagraph"/>
        <w:numPr>
          <w:ilvl w:val="0"/>
          <w:numId w:val="8"/>
        </w:numPr>
      </w:pPr>
      <w:r>
        <w:t>participation and research associated with</w:t>
      </w:r>
      <w:r w:rsidR="0015397E">
        <w:t xml:space="preserve"> the Real Food Challenge</w:t>
      </w:r>
    </w:p>
    <w:p w:rsidR="003825C8" w:rsidRDefault="0015397E" w:rsidP="00BD1748">
      <w:pPr>
        <w:pStyle w:val="ListParagraph"/>
        <w:numPr>
          <w:ilvl w:val="0"/>
          <w:numId w:val="8"/>
        </w:numPr>
      </w:pPr>
      <w:r>
        <w:t>assess</w:t>
      </w:r>
      <w:r w:rsidR="00222DEB">
        <w:t>ment of</w:t>
      </w:r>
      <w:r>
        <w:t xml:space="preserve"> sustainability practices in employee offices</w:t>
      </w:r>
      <w:r w:rsidR="00222DEB">
        <w:t xml:space="preserve"> through the Sustainable Office Program</w:t>
      </w:r>
    </w:p>
    <w:p w:rsidR="003825C8" w:rsidRDefault="0015397E" w:rsidP="00BD1748">
      <w:pPr>
        <w:pStyle w:val="ListParagraph"/>
        <w:numPr>
          <w:ilvl w:val="0"/>
          <w:numId w:val="8"/>
        </w:numPr>
      </w:pPr>
      <w:r>
        <w:t>analy</w:t>
      </w:r>
      <w:r w:rsidR="00222DEB">
        <w:t>sis of</w:t>
      </w:r>
      <w:r>
        <w:t xml:space="preserve"> commuting practices</w:t>
      </w:r>
      <w:r w:rsidR="00222DEB">
        <w:t xml:space="preserve"> through campus-wide survey and analysis</w:t>
      </w:r>
    </w:p>
    <w:p w:rsidR="003825C8" w:rsidRDefault="003825C8" w:rsidP="00BD1748">
      <w:pPr>
        <w:pStyle w:val="ListParagraph"/>
        <w:numPr>
          <w:ilvl w:val="0"/>
          <w:numId w:val="8"/>
        </w:numPr>
      </w:pPr>
      <w:r>
        <w:t xml:space="preserve">event </w:t>
      </w:r>
      <w:r w:rsidR="0015397E">
        <w:t>coordinat</w:t>
      </w:r>
      <w:r>
        <w:t>ion</w:t>
      </w:r>
    </w:p>
    <w:p w:rsidR="003825C8" w:rsidRDefault="00222DEB" w:rsidP="00BD1748">
      <w:pPr>
        <w:pStyle w:val="ListParagraph"/>
        <w:numPr>
          <w:ilvl w:val="0"/>
          <w:numId w:val="8"/>
        </w:numPr>
      </w:pPr>
      <w:r>
        <w:t>participation in</w:t>
      </w:r>
      <w:r w:rsidR="0015397E">
        <w:t xml:space="preserve"> </w:t>
      </w:r>
      <w:r w:rsidR="003825C8">
        <w:t>university</w:t>
      </w:r>
      <w:r>
        <w:t>’s</w:t>
      </w:r>
      <w:r w:rsidR="0015397E">
        <w:t xml:space="preserve"> Farmers’ Market</w:t>
      </w:r>
    </w:p>
    <w:p w:rsidR="003825C8" w:rsidRDefault="003825C8" w:rsidP="00BD1748">
      <w:pPr>
        <w:pStyle w:val="ListParagraph"/>
        <w:numPr>
          <w:ilvl w:val="0"/>
          <w:numId w:val="8"/>
        </w:numPr>
      </w:pPr>
      <w:r>
        <w:t>participat</w:t>
      </w:r>
      <w:r w:rsidR="00222DEB">
        <w:t>ion</w:t>
      </w:r>
      <w:r>
        <w:t xml:space="preserve"> in</w:t>
      </w:r>
      <w:r w:rsidR="0015397E">
        <w:t xml:space="preserve"> Climate Action Plan</w:t>
      </w:r>
      <w:r>
        <w:t>ning</w:t>
      </w:r>
    </w:p>
    <w:p w:rsidR="003825C8" w:rsidRDefault="003825C8" w:rsidP="00BD1748"/>
    <w:p w:rsidR="00D56BB6" w:rsidRDefault="003825C8" w:rsidP="00BD1748">
      <w:pPr>
        <w:contextualSpacing/>
        <w:rPr>
          <w:rFonts w:cstheme="minorHAnsi"/>
        </w:rPr>
      </w:pPr>
      <w:r>
        <w:rPr>
          <w:rFonts w:cstheme="minorHAnsi"/>
        </w:rPr>
        <w:t>Students manage the university’s</w:t>
      </w:r>
      <w:r w:rsidR="00ED4A1C">
        <w:rPr>
          <w:rFonts w:cstheme="minorHAnsi"/>
        </w:rPr>
        <w:t xml:space="preserve"> Sustainable Office Program (SOP)</w:t>
      </w:r>
      <w:r>
        <w:rPr>
          <w:rFonts w:cstheme="minorHAnsi"/>
        </w:rPr>
        <w:t>, which</w:t>
      </w:r>
      <w:r w:rsidR="00ED4A1C">
        <w:rPr>
          <w:rFonts w:cstheme="minorHAnsi"/>
        </w:rPr>
        <w:t xml:space="preserve"> was developed to educate campus employees about sustainable practices in the workplace and to assess</w:t>
      </w:r>
      <w:r w:rsidR="00B616F5">
        <w:rPr>
          <w:rFonts w:cstheme="minorHAnsi"/>
        </w:rPr>
        <w:t xml:space="preserve"> practices in campus </w:t>
      </w:r>
      <w:r w:rsidR="00ED4A1C">
        <w:rPr>
          <w:rFonts w:cstheme="minorHAnsi"/>
        </w:rPr>
        <w:t>offices. Students are trai</w:t>
      </w:r>
      <w:r>
        <w:rPr>
          <w:rFonts w:cstheme="minorHAnsi"/>
        </w:rPr>
        <w:t>ned as educators and assessors, and manage the program through Associated Students.</w:t>
      </w:r>
      <w:r w:rsidR="00CB60C3">
        <w:rPr>
          <w:rFonts w:cstheme="minorHAnsi"/>
        </w:rPr>
        <w:t xml:space="preserve">  </w:t>
      </w:r>
      <w:r w:rsidR="00B616F5">
        <w:rPr>
          <w:rFonts w:cstheme="minorHAnsi"/>
        </w:rPr>
        <w:t>Students host the university’s weekly Farmers’ Market and conduct sustainability outreach at these events.</w:t>
      </w:r>
      <w:r w:rsidR="00CB60C3">
        <w:rPr>
          <w:rFonts w:cstheme="minorHAnsi"/>
        </w:rPr>
        <w:t xml:space="preserve">  </w:t>
      </w:r>
      <w:r w:rsidR="00D56BB6">
        <w:rPr>
          <w:rFonts w:cstheme="minorHAnsi"/>
        </w:rPr>
        <w:t xml:space="preserve">In 2014-15 a new sustainability themed housing community was established, the </w:t>
      </w:r>
      <w:proofErr w:type="spellStart"/>
      <w:r w:rsidR="00D56BB6">
        <w:rPr>
          <w:rFonts w:cstheme="minorHAnsi"/>
        </w:rPr>
        <w:t>Matasphere</w:t>
      </w:r>
      <w:proofErr w:type="spellEnd"/>
      <w:r w:rsidR="00D56BB6">
        <w:rPr>
          <w:rFonts w:cstheme="minorHAnsi"/>
        </w:rPr>
        <w:t>, where freshman interested in sustainability c</w:t>
      </w:r>
      <w:r w:rsidR="00B616F5">
        <w:rPr>
          <w:rFonts w:cstheme="minorHAnsi"/>
        </w:rPr>
        <w:t>an</w:t>
      </w:r>
      <w:r w:rsidR="00D56BB6">
        <w:rPr>
          <w:rFonts w:cstheme="minorHAnsi"/>
        </w:rPr>
        <w:t xml:space="preserve"> live together and </w:t>
      </w:r>
      <w:r w:rsidR="00D56BB6">
        <w:rPr>
          <w:rFonts w:cstheme="minorHAnsi"/>
        </w:rPr>
        <w:lastRenderedPageBreak/>
        <w:t>organize activities.</w:t>
      </w:r>
      <w:r w:rsidR="00CB60C3">
        <w:rPr>
          <w:rFonts w:cstheme="minorHAnsi"/>
        </w:rPr>
        <w:t xml:space="preserve">  </w:t>
      </w:r>
      <w:r w:rsidR="00D56BB6">
        <w:rPr>
          <w:rFonts w:cstheme="minorHAnsi"/>
        </w:rPr>
        <w:t xml:space="preserve">In 2014-15 students in </w:t>
      </w:r>
      <w:r w:rsidR="0073765F">
        <w:rPr>
          <w:rFonts w:cstheme="minorHAnsi"/>
        </w:rPr>
        <w:t xml:space="preserve">the 17 buildings comprising campus housing competed </w:t>
      </w:r>
      <w:r w:rsidR="00D56BB6">
        <w:rPr>
          <w:rFonts w:cstheme="minorHAnsi"/>
        </w:rPr>
        <w:t xml:space="preserve">in </w:t>
      </w:r>
      <w:r w:rsidR="00662813">
        <w:rPr>
          <w:rFonts w:cstheme="minorHAnsi"/>
        </w:rPr>
        <w:t>the</w:t>
      </w:r>
      <w:r w:rsidR="0073765F">
        <w:rPr>
          <w:rFonts w:cstheme="minorHAnsi"/>
        </w:rPr>
        <w:t xml:space="preserve"> Campus Conservation Nationals. </w:t>
      </w:r>
    </w:p>
    <w:p w:rsidR="00192A14" w:rsidRDefault="00192A14" w:rsidP="00BD1748"/>
    <w:p w:rsidR="00ED4A1C" w:rsidRDefault="00D56BB6" w:rsidP="00BD1748">
      <w:r>
        <w:t xml:space="preserve">The programs listed above continue to engage students across campus in sustainability education.  </w:t>
      </w:r>
      <w:r w:rsidR="00B616F5">
        <w:t>A</w:t>
      </w:r>
      <w:r>
        <w:t>dditional programs will be offered</w:t>
      </w:r>
      <w:r w:rsidR="00B616F5">
        <w:t xml:space="preserve"> to expand opportunities for students to gain knowledge and experience in sustainability.  These include an expansion of service learning and volunteer opportunities within the Institute for Sustainability and Facilities Management, where students can work directly with our Sustainability Program Manager. </w:t>
      </w:r>
      <w:r w:rsidR="004F2BF6">
        <w:t xml:space="preserve"> In addition students will be engaged in working directly with the local community in sustainability practices in our new resiliency efforts described in</w:t>
      </w:r>
      <w:r w:rsidR="0063253B">
        <w:t xml:space="preserve"> Section</w:t>
      </w:r>
      <w:r w:rsidR="000B5267">
        <w:t xml:space="preserve"> 8</w:t>
      </w:r>
      <w:r w:rsidR="00164D64">
        <w:rPr>
          <w:i/>
        </w:rPr>
        <w:t xml:space="preserve"> </w:t>
      </w:r>
      <w:r w:rsidR="00164D64">
        <w:t>as part of the President’s Climate Leadership Commitment.</w:t>
      </w:r>
    </w:p>
    <w:p w:rsidR="00114BC5" w:rsidRPr="0063253B" w:rsidRDefault="0063253B" w:rsidP="00BD1748">
      <w:pPr>
        <w:pStyle w:val="Heading1"/>
      </w:pPr>
      <w:bookmarkStart w:id="30" w:name="_Toc440630074"/>
      <w:r w:rsidRPr="00F96B6B">
        <w:t>7</w:t>
      </w:r>
      <w:r w:rsidR="00114BC5" w:rsidRPr="00F96B6B">
        <w:t>.  Expanding Research Efforts to Achieve Climate Neutrality and Advance</w:t>
      </w:r>
      <w:r w:rsidR="00114BC5" w:rsidRPr="0063253B">
        <w:t xml:space="preserve"> Sustainability</w:t>
      </w:r>
      <w:bookmarkEnd w:id="30"/>
    </w:p>
    <w:p w:rsidR="000B5267" w:rsidRDefault="000B5267" w:rsidP="00BD1748">
      <w:r>
        <w:t xml:space="preserve">Seventeen faculty are engaged in teaching sustainability-specific courses. In addition these faculty and many others conduct sustainability-related research.  Areas of research include the following: </w:t>
      </w:r>
      <w:r w:rsidRPr="000B5267">
        <w:t>production of value-added compounds (including biofuel and biodiesel) in plants and algae</w:t>
      </w:r>
      <w:r>
        <w:t>, and the</w:t>
      </w:r>
      <w:r w:rsidRPr="000B5267">
        <w:t xml:space="preserve"> produc</w:t>
      </w:r>
      <w:r>
        <w:t>tion of</w:t>
      </w:r>
      <w:r w:rsidRPr="000B5267">
        <w:t xml:space="preserve"> biofuel and biodiesel</w:t>
      </w:r>
      <w:r>
        <w:t xml:space="preserve">; </w:t>
      </w:r>
      <w:r w:rsidRPr="000B5267">
        <w:t>the "greening" of American religion</w:t>
      </w:r>
      <w:r>
        <w:t xml:space="preserve">; sustainable tourism; permaculture; </w:t>
      </w:r>
      <w:r w:rsidRPr="000B5267">
        <w:t>attitudes and policy preferences related to global c</w:t>
      </w:r>
      <w:r>
        <w:t xml:space="preserve">limate change and energy issues; food choices; </w:t>
      </w:r>
      <w:r w:rsidRPr="000B5267">
        <w:t>public transportation policies and its impact on the environmen</w:t>
      </w:r>
      <w:r>
        <w:t xml:space="preserve">t; </w:t>
      </w:r>
      <w:r w:rsidR="00E1167E">
        <w:t>the impact of carbon emissions on coral reefs; water policy; renewable energy; smart grid; atmospheric pollution and greenhouse gas monitoring; remote sensing of the atmosphere; carbon sequestration and many others too numerous to list.</w:t>
      </w:r>
    </w:p>
    <w:p w:rsidR="00E1167E" w:rsidRDefault="00E1167E" w:rsidP="00BD1748"/>
    <w:p w:rsidR="00E02EBE" w:rsidRDefault="00E1167E" w:rsidP="00BD1748">
      <w:r>
        <w:t xml:space="preserve">CSUN has recently made significant investments in </w:t>
      </w:r>
      <w:r w:rsidR="00E02EBE">
        <w:t xml:space="preserve">clean technology research. In 2014 the university </w:t>
      </w:r>
      <w:r w:rsidR="00E855BA">
        <w:t>entered into a</w:t>
      </w:r>
      <w:r w:rsidR="00E02EBE">
        <w:t xml:space="preserve"> partnership with the Los Angeles </w:t>
      </w:r>
      <w:proofErr w:type="spellStart"/>
      <w:r w:rsidR="00E02EBE">
        <w:t>Cleantech</w:t>
      </w:r>
      <w:proofErr w:type="spellEnd"/>
      <w:r w:rsidR="00E02EBE">
        <w:t xml:space="preserve"> Incubator (LACI), a</w:t>
      </w:r>
      <w:r w:rsidR="00E02EBE" w:rsidRPr="00E02EBE">
        <w:t xml:space="preserve"> non-profit organization foster</w:t>
      </w:r>
      <w:r w:rsidR="00E02EBE">
        <w:t>ing</w:t>
      </w:r>
      <w:r w:rsidR="00E02EBE" w:rsidRPr="00E02EBE">
        <w:t xml:space="preserve"> the creation and support of new</w:t>
      </w:r>
      <w:r w:rsidR="00E02EBE">
        <w:t xml:space="preserve"> clean technology</w:t>
      </w:r>
      <w:r w:rsidR="00E02EBE" w:rsidRPr="00E02EBE">
        <w:t xml:space="preserve"> businesses in Los Angeles.</w:t>
      </w:r>
    </w:p>
    <w:p w:rsidR="00E1167E" w:rsidRDefault="00E02EBE" w:rsidP="00BD1748">
      <w:r>
        <w:t xml:space="preserve">The partnership is </w:t>
      </w:r>
      <w:r w:rsidRPr="00E02EBE">
        <w:t xml:space="preserve">designed to help startups from CSUN and the </w:t>
      </w:r>
      <w:r>
        <w:t xml:space="preserve">surrounding </w:t>
      </w:r>
      <w:r w:rsidR="00E855BA">
        <w:t>communities discover</w:t>
      </w:r>
      <w:r w:rsidRPr="00E02EBE">
        <w:t xml:space="preserve"> new opportunities, create outstanding enterprises and connect with </w:t>
      </w:r>
      <w:r w:rsidR="009D1345">
        <w:t>a</w:t>
      </w:r>
      <w:r w:rsidRPr="00E02EBE">
        <w:t xml:space="preserve"> global network of businesses and investors.</w:t>
      </w:r>
      <w:r w:rsidR="00E855BA">
        <w:t xml:space="preserve"> The investment that CSUN made has stimulated and expanded research efforts by faculty and students</w:t>
      </w:r>
      <w:r w:rsidR="00E855BA" w:rsidRPr="00E855BA">
        <w:t xml:space="preserve"> </w:t>
      </w:r>
      <w:r w:rsidR="00E855BA">
        <w:t xml:space="preserve">in green and clean technologies designed to mitigate climate change, advance sustainability and develop resilience to the impacts of climate change. </w:t>
      </w:r>
    </w:p>
    <w:p w:rsidR="000B5267" w:rsidRDefault="000B5267" w:rsidP="00BD1748"/>
    <w:p w:rsidR="00E855BA" w:rsidRDefault="00E855BA" w:rsidP="00BD1748">
      <w:r>
        <w:t xml:space="preserve">CSUN houses an </w:t>
      </w:r>
      <w:r w:rsidRPr="00E855BA">
        <w:t>Energy Research Center</w:t>
      </w:r>
      <w:r>
        <w:t xml:space="preserve"> which</w:t>
      </w:r>
      <w:r w:rsidRPr="00E855BA">
        <w:t xml:space="preserve"> promote</w:t>
      </w:r>
      <w:r>
        <w:t>s</w:t>
      </w:r>
      <w:r w:rsidRPr="00E855BA">
        <w:t xml:space="preserve"> research and development projects in new or alternative energy sources as well as conservation and sustainability practices at CSUN</w:t>
      </w:r>
      <w:r>
        <w:t>.  Many engineering faculty and students are engaged in R&amp;D projects such as solar charging stations, solar powered water treatment, and concentrated photovoltaic systems.</w:t>
      </w:r>
    </w:p>
    <w:p w:rsidR="00E855BA" w:rsidRDefault="00E855BA" w:rsidP="00BD1748"/>
    <w:p w:rsidR="00E855BA" w:rsidRDefault="00E855BA" w:rsidP="00BD1748">
      <w:r>
        <w:lastRenderedPageBreak/>
        <w:t xml:space="preserve">The number of faculty and students engaged in sustainability teaching and research will be </w:t>
      </w:r>
      <w:r w:rsidR="00F457E7">
        <w:t>counted and tracked beginning in 2016 as part of the university’s STARS</w:t>
      </w:r>
      <w:r w:rsidR="00F457E7">
        <w:rPr>
          <w:rStyle w:val="FootnoteReference"/>
        </w:rPr>
        <w:footnoteReference w:id="25"/>
      </w:r>
      <w:r w:rsidR="00F457E7">
        <w:t xml:space="preserve"> reporting.</w:t>
      </w:r>
    </w:p>
    <w:p w:rsidR="00114BC5" w:rsidRPr="0063253B" w:rsidRDefault="0063253B" w:rsidP="00BD1748">
      <w:pPr>
        <w:pStyle w:val="Heading1"/>
      </w:pPr>
      <w:bookmarkStart w:id="31" w:name="_Toc440630075"/>
      <w:r w:rsidRPr="0063253B">
        <w:t>8</w:t>
      </w:r>
      <w:r w:rsidR="00114BC5" w:rsidRPr="0063253B">
        <w:t xml:space="preserve">.  </w:t>
      </w:r>
      <w:r w:rsidR="002F6C1D" w:rsidRPr="0063253B">
        <w:t>Engagement of Community in Climate Action and Resiliency Planning</w:t>
      </w:r>
      <w:bookmarkEnd w:id="31"/>
    </w:p>
    <w:p w:rsidR="005C301E" w:rsidRDefault="00A74D28" w:rsidP="00BD1748">
      <w:pPr>
        <w:pStyle w:val="Heading2"/>
      </w:pPr>
      <w:bookmarkStart w:id="32" w:name="_Toc440630076"/>
      <w:r>
        <w:t>8</w:t>
      </w:r>
      <w:r w:rsidR="000E14FB">
        <w:t>.1</w:t>
      </w:r>
      <w:r w:rsidR="00CB60C3">
        <w:t xml:space="preserve"> </w:t>
      </w:r>
      <w:r w:rsidR="000E14FB">
        <w:t>Community Engagement in Sustainability</w:t>
      </w:r>
      <w:bookmarkEnd w:id="32"/>
    </w:p>
    <w:p w:rsidR="005C301E" w:rsidRDefault="005C301E" w:rsidP="00BD1748">
      <w:r>
        <w:t>In many undergraduate classes, s</w:t>
      </w:r>
      <w:r w:rsidR="00877B1C">
        <w:t xml:space="preserve">tudents complete service learning hours </w:t>
      </w:r>
      <w:r w:rsidR="00746D9E">
        <w:t xml:space="preserve">or internships </w:t>
      </w:r>
      <w:r w:rsidR="00877B1C">
        <w:t xml:space="preserve">which allow them to gain experience in </w:t>
      </w:r>
      <w:r>
        <w:t xml:space="preserve">applying knowledge and practices in the community; through sustainability-focused courses many such activities engage the community in advancing sustainability.  In particular our Sustainability Minor capstone course is an applied sustainability project to be conducted in </w:t>
      </w:r>
      <w:r w:rsidR="00746D9E">
        <w:t xml:space="preserve">partnership with </w:t>
      </w:r>
      <w:r>
        <w:t>the community</w:t>
      </w:r>
      <w:r w:rsidR="00877B1C">
        <w:t>.</w:t>
      </w:r>
      <w:r w:rsidR="00877B1C" w:rsidRPr="00877B1C">
        <w:t xml:space="preserve"> </w:t>
      </w:r>
      <w:r>
        <w:t xml:space="preserve"> </w:t>
      </w:r>
      <w:r w:rsidR="00746D9E">
        <w:t>Through these opportunities</w:t>
      </w:r>
      <w:r>
        <w:t xml:space="preserve"> students have worked with</w:t>
      </w:r>
      <w:r w:rsidR="00877B1C">
        <w:t xml:space="preserve"> </w:t>
      </w:r>
      <w:r w:rsidR="00865769">
        <w:t xml:space="preserve">a number of </w:t>
      </w:r>
      <w:r w:rsidR="00877B1C">
        <w:t xml:space="preserve">community partners </w:t>
      </w:r>
      <w:r w:rsidR="00865769">
        <w:t>including non-profit organizations, local agencies, schools, neighborhood councils, small businesses, and homeowners. Examples include orange picking, processing and distribution through</w:t>
      </w:r>
      <w:r w:rsidR="00877B1C">
        <w:t xml:space="preserve"> non-profit group</w:t>
      </w:r>
      <w:r w:rsidR="00865769">
        <w:t>s</w:t>
      </w:r>
      <w:r w:rsidR="00877B1C">
        <w:t xml:space="preserve"> who </w:t>
      </w:r>
      <w:r w:rsidR="00746D9E">
        <w:t>glean</w:t>
      </w:r>
      <w:r w:rsidR="00877B1C" w:rsidRPr="00052945">
        <w:t xml:space="preserve"> fresh local produce that would otherwise </w:t>
      </w:r>
      <w:r w:rsidR="00877B1C">
        <w:t>be wasted</w:t>
      </w:r>
      <w:r w:rsidR="00877B1C" w:rsidRPr="00052945">
        <w:t xml:space="preserve"> </w:t>
      </w:r>
      <w:r w:rsidR="00877B1C">
        <w:t xml:space="preserve">and distribute it to the hungry; </w:t>
      </w:r>
      <w:r w:rsidR="00865769">
        <w:t>design, data collection</w:t>
      </w:r>
      <w:r w:rsidR="00746D9E">
        <w:t>, advocacy</w:t>
      </w:r>
      <w:r w:rsidR="00865769">
        <w:t xml:space="preserve"> and recommendations for alternative regional transportation including shuttles, buses, rail, bikes and an electric streetcar through various non-profits and public agencies; </w:t>
      </w:r>
      <w:r>
        <w:t>solar PV installation assessment</w:t>
      </w:r>
      <w:r w:rsidR="00865769">
        <w:t>s and recommendations for local businesses and community groups</w:t>
      </w:r>
      <w:r>
        <w:t xml:space="preserve">; design </w:t>
      </w:r>
      <w:r w:rsidR="005E1CFD">
        <w:t xml:space="preserve">and development </w:t>
      </w:r>
      <w:r>
        <w:t>of educational</w:t>
      </w:r>
      <w:r w:rsidR="00746D9E">
        <w:t xml:space="preserve"> and</w:t>
      </w:r>
      <w:r>
        <w:t xml:space="preserve"> sustainable</w:t>
      </w:r>
      <w:r w:rsidR="005E1CFD">
        <w:t xml:space="preserve"> </w:t>
      </w:r>
      <w:r w:rsidR="00746D9E">
        <w:t>gardens at schools; development of urban</w:t>
      </w:r>
      <w:r w:rsidR="005E1CFD">
        <w:t xml:space="preserve"> food</w:t>
      </w:r>
      <w:r>
        <w:t xml:space="preserve"> garden</w:t>
      </w:r>
      <w:r w:rsidR="005E1CFD">
        <w:t>s</w:t>
      </w:r>
      <w:r w:rsidR="00746D9E">
        <w:t xml:space="preserve"> for</w:t>
      </w:r>
      <w:r w:rsidR="005E1CFD">
        <w:t xml:space="preserve"> </w:t>
      </w:r>
      <w:r w:rsidR="00746D9E">
        <w:t>community groups and schools</w:t>
      </w:r>
      <w:r>
        <w:t xml:space="preserve">; </w:t>
      </w:r>
      <w:r w:rsidR="00865769">
        <w:t xml:space="preserve">energy and water </w:t>
      </w:r>
      <w:r w:rsidR="005E1CFD">
        <w:t>assessment</w:t>
      </w:r>
      <w:r w:rsidR="00746D9E">
        <w:t>s</w:t>
      </w:r>
      <w:r w:rsidR="00865769">
        <w:t xml:space="preserve"> for homeowners and local businesses; energy and equipment recommendations for local restaurant</w:t>
      </w:r>
      <w:r w:rsidR="005E1CFD">
        <w:t>s</w:t>
      </w:r>
      <w:r w:rsidR="00865769">
        <w:t xml:space="preserve">; siting of an urban aquaponics and hydroponics farm </w:t>
      </w:r>
      <w:r w:rsidR="005E1CFD">
        <w:t>facility for a clean technology company.</w:t>
      </w:r>
    </w:p>
    <w:p w:rsidR="005E1CFD" w:rsidRDefault="005E1CFD" w:rsidP="00BD1748"/>
    <w:p w:rsidR="00412C9B" w:rsidRDefault="005E1CFD" w:rsidP="00BD1748">
      <w:r>
        <w:t>The Institute for Sustainability conducts regular</w:t>
      </w:r>
      <w:r w:rsidR="00877B1C">
        <w:t xml:space="preserve"> workshops in the community in partnership with local cities</w:t>
      </w:r>
      <w:r w:rsidR="00877B1C" w:rsidRPr="00175C14">
        <w:t xml:space="preserve"> </w:t>
      </w:r>
      <w:r w:rsidR="00877B1C">
        <w:t xml:space="preserve">on how to go solar. These cover everything residents need to know to make a decision about solar, </w:t>
      </w:r>
      <w:r w:rsidR="00412C9B">
        <w:t xml:space="preserve">project sizing, components of the system, permitting, </w:t>
      </w:r>
      <w:r w:rsidR="00877B1C">
        <w:t xml:space="preserve">the costs and financing options, and how to go about the process. Through one of our alumni and partners we offer a free web-based </w:t>
      </w:r>
      <w:r w:rsidR="00412C9B">
        <w:t>cost</w:t>
      </w:r>
      <w:r w:rsidR="00877B1C">
        <w:t xml:space="preserve">-benefit analysis and consultation service. </w:t>
      </w:r>
      <w:r w:rsidR="00412C9B">
        <w:t>In 2014-15 we offered twelve workshops, with plans to expand the program in 2015-16.</w:t>
      </w:r>
    </w:p>
    <w:p w:rsidR="00412C9B" w:rsidRDefault="00412C9B" w:rsidP="00BD1748"/>
    <w:p w:rsidR="005A0520" w:rsidRDefault="005A0520" w:rsidP="00BD1748">
      <w:r>
        <w:t xml:space="preserve">The Institute also regularly hosts food garden and composting workshops for the campus </w:t>
      </w:r>
      <w:r w:rsidR="000E14FB">
        <w:t xml:space="preserve">and </w:t>
      </w:r>
      <w:r>
        <w:t xml:space="preserve">community </w:t>
      </w:r>
      <w:r w:rsidR="000E14FB">
        <w:t>in which participants engage in gardening activities, learn the fundamentals of growing food organically, and share resources and ideas.</w:t>
      </w:r>
    </w:p>
    <w:p w:rsidR="005A0520" w:rsidRDefault="005A0520" w:rsidP="00BD1748"/>
    <w:p w:rsidR="00877B1C" w:rsidRDefault="00412C9B" w:rsidP="00BD1748">
      <w:r>
        <w:t xml:space="preserve">The university works closely with </w:t>
      </w:r>
      <w:r w:rsidR="00877B1C">
        <w:t>LA Metro and the local councilmember’s office on increasing public transportation options</w:t>
      </w:r>
      <w:r>
        <w:t xml:space="preserve"> to the campus in an effort to provide reduced</w:t>
      </w:r>
      <w:r w:rsidR="00746D9E">
        <w:t>-</w:t>
      </w:r>
      <w:r>
        <w:t xml:space="preserve">emission alternatives to single </w:t>
      </w:r>
      <w:r>
        <w:lastRenderedPageBreak/>
        <w:t>vehicle occupancy commuting</w:t>
      </w:r>
      <w:r w:rsidR="00877B1C">
        <w:t>.  The University</w:t>
      </w:r>
      <w:r w:rsidRPr="00412C9B">
        <w:t xml:space="preserve"> </w:t>
      </w:r>
      <w:r>
        <w:t xml:space="preserve">has worked closely with our local power supplier, </w:t>
      </w:r>
      <w:r w:rsidR="00F61F8D">
        <w:t>to help finance the</w:t>
      </w:r>
      <w:r w:rsidR="00877B1C">
        <w:t xml:space="preserve"> 23 EV charging stations </w:t>
      </w:r>
      <w:r w:rsidR="00F61F8D">
        <w:t>installed on campus in 2014-15</w:t>
      </w:r>
      <w:r w:rsidR="00877B1C">
        <w:t xml:space="preserve">. </w:t>
      </w:r>
    </w:p>
    <w:p w:rsidR="00877B1C" w:rsidRDefault="00877B1C" w:rsidP="00BD1748"/>
    <w:p w:rsidR="00F61F8D" w:rsidRDefault="00F61F8D" w:rsidP="00BD1748">
      <w:r>
        <w:t xml:space="preserve">To further campus-community engagement and collaboration a number of new initiatives will begin in 2015-16.  These include the introduction of a sustainability internship program, the establishment of new </w:t>
      </w:r>
      <w:r w:rsidR="000E14FB">
        <w:t xml:space="preserve">community </w:t>
      </w:r>
      <w:r>
        <w:t>service learning partners, the hosting of additional workshops on energy and water conservation and efficiencies</w:t>
      </w:r>
      <w:r w:rsidR="000E14FB">
        <w:t xml:space="preserve"> in the community</w:t>
      </w:r>
      <w:r>
        <w:t>,</w:t>
      </w:r>
      <w:r w:rsidR="000E14FB">
        <w:t xml:space="preserve"> including region-appropriate landscaping practices, </w:t>
      </w:r>
      <w:r>
        <w:t>an ex</w:t>
      </w:r>
      <w:r w:rsidR="000E14FB">
        <w:t>panded public outreach program through a newsletter and social media, and a new campus-community resiliency network.</w:t>
      </w:r>
    </w:p>
    <w:p w:rsidR="000E14FB" w:rsidRDefault="00A74D28" w:rsidP="00BD1748">
      <w:pPr>
        <w:pStyle w:val="Heading2"/>
      </w:pPr>
      <w:bookmarkStart w:id="33" w:name="_Toc440630077"/>
      <w:r>
        <w:t>8</w:t>
      </w:r>
      <w:r w:rsidR="000E14FB">
        <w:t>.2</w:t>
      </w:r>
      <w:r w:rsidR="00CB60C3">
        <w:t xml:space="preserve"> </w:t>
      </w:r>
      <w:r w:rsidR="00564A5E">
        <w:t xml:space="preserve">Climate Action and </w:t>
      </w:r>
      <w:r w:rsidR="000E14FB">
        <w:t>Resilienc</w:t>
      </w:r>
      <w:r w:rsidR="00746D9E">
        <w:t>e</w:t>
      </w:r>
      <w:r w:rsidR="00265661">
        <w:t xml:space="preserve"> Planning</w:t>
      </w:r>
      <w:bookmarkEnd w:id="33"/>
    </w:p>
    <w:p w:rsidR="002F6C1D" w:rsidRDefault="00746D9E" w:rsidP="00BD1748">
      <w:pPr>
        <w:rPr>
          <w:rFonts w:ascii="Calibri" w:eastAsia="Times New Roman" w:hAnsi="Calibri"/>
          <w:color w:val="000000"/>
        </w:rPr>
      </w:pPr>
      <w:r>
        <w:t xml:space="preserve">Under a new ACUPCC initiative which integrates the </w:t>
      </w:r>
      <w:r>
        <w:rPr>
          <w:rFonts w:ascii="Calibri" w:eastAsia="Times New Roman" w:hAnsi="Calibri"/>
          <w:color w:val="000000"/>
        </w:rPr>
        <w:t xml:space="preserve">Presidents' Climate Commitment and the Alliance for Resilient Campuses into a new Climate Leadership Commitment, our campus will </w:t>
      </w:r>
      <w:r w:rsidR="00701471">
        <w:rPr>
          <w:rFonts w:ascii="Calibri" w:eastAsia="Times New Roman" w:hAnsi="Calibri"/>
          <w:color w:val="000000"/>
        </w:rPr>
        <w:t xml:space="preserve">work closely with the community on developing joint climate mitigation, adaptation and resilience strategies.  </w:t>
      </w:r>
    </w:p>
    <w:p w:rsidR="002F6C1D" w:rsidRDefault="002F6C1D" w:rsidP="00BD1748">
      <w:pPr>
        <w:rPr>
          <w:rFonts w:eastAsia="Times New Roman"/>
        </w:rPr>
      </w:pPr>
    </w:p>
    <w:p w:rsidR="002F6C1D" w:rsidRPr="008D79FF" w:rsidRDefault="002F6C1D" w:rsidP="00BD1748">
      <w:pPr>
        <w:rPr>
          <w:rFonts w:eastAsia="Times New Roman"/>
        </w:rPr>
      </w:pPr>
      <w:r w:rsidRPr="008D79FF">
        <w:rPr>
          <w:rFonts w:eastAsia="Times New Roman"/>
        </w:rPr>
        <w:t>We broadly define resilience as our ability to respond to stressors within an environmental, social and economic context and ensure the preservation of society’s health and wellbeing, social and financial systems,</w:t>
      </w:r>
      <w:r w:rsidRPr="008D79FF">
        <w:t xml:space="preserve"> </w:t>
      </w:r>
      <w:r w:rsidRPr="008D79FF">
        <w:rPr>
          <w:rFonts w:eastAsia="Times New Roman"/>
        </w:rPr>
        <w:t>leadership and decision-making capabilities, and critical infrastructure</w:t>
      </w:r>
      <w:r w:rsidR="00092871">
        <w:rPr>
          <w:rStyle w:val="FootnoteReference"/>
          <w:rFonts w:eastAsia="Times New Roman"/>
        </w:rPr>
        <w:footnoteReference w:id="26"/>
      </w:r>
      <w:r w:rsidRPr="008D79FF">
        <w:rPr>
          <w:rFonts w:eastAsia="Times New Roman"/>
        </w:rPr>
        <w:t xml:space="preserve">. </w:t>
      </w:r>
      <w:r w:rsidR="00092871">
        <w:rPr>
          <w:rFonts w:eastAsia="Times New Roman"/>
        </w:rPr>
        <w:t xml:space="preserve"> </w:t>
      </w:r>
      <w:r w:rsidRPr="008D79FF">
        <w:rPr>
          <w:rFonts w:eastAsia="Times New Roman"/>
        </w:rPr>
        <w:t xml:space="preserve">Challenges come from a number of sources – climate change, drought, food shortages and other resource limitations, natural disasters, violence, epidemics, and a host of others, both predictable and unexpected.  The most resilient communities are ones that have </w:t>
      </w:r>
      <w:r>
        <w:rPr>
          <w:rFonts w:eastAsia="Times New Roman"/>
        </w:rPr>
        <w:t>not only a</w:t>
      </w:r>
      <w:r w:rsidRPr="008D79FF">
        <w:rPr>
          <w:rFonts w:eastAsia="Times New Roman"/>
        </w:rPr>
        <w:t xml:space="preserve"> healthy environment and strong technical systems, but also vibrant social networks. </w:t>
      </w:r>
    </w:p>
    <w:p w:rsidR="002F6C1D" w:rsidRPr="008D79FF" w:rsidRDefault="002F6C1D" w:rsidP="00BD1748">
      <w:pPr>
        <w:rPr>
          <w:rFonts w:eastAsia="Times New Roman"/>
        </w:rPr>
      </w:pPr>
    </w:p>
    <w:p w:rsidR="00265661" w:rsidRDefault="002F6C1D" w:rsidP="00BD1748">
      <w:r>
        <w:rPr>
          <w:rFonts w:eastAsia="Times New Roman"/>
        </w:rPr>
        <w:t>We will</w:t>
      </w:r>
      <w:r w:rsidRPr="008D79FF">
        <w:rPr>
          <w:rFonts w:eastAsia="Times New Roman"/>
        </w:rPr>
        <w:t xml:space="preserve"> focus on resilience</w:t>
      </w:r>
      <w:r>
        <w:rPr>
          <w:rFonts w:eastAsia="Times New Roman"/>
        </w:rPr>
        <w:t xml:space="preserve"> in particular</w:t>
      </w:r>
      <w:r w:rsidRPr="008D79FF">
        <w:rPr>
          <w:rFonts w:eastAsia="Times New Roman"/>
        </w:rPr>
        <w:t xml:space="preserve"> as it relates to the impacts of climate change. The effects of climate change are no longer just a concern for future generations; they are already present now and are projected to become more severe and damaging in the decades to come.</w:t>
      </w:r>
      <w:r w:rsidR="00265661">
        <w:rPr>
          <w:rFonts w:eastAsia="Times New Roman"/>
        </w:rPr>
        <w:t xml:space="preserve"> </w:t>
      </w:r>
      <w:r w:rsidRPr="008D79FF">
        <w:rPr>
          <w:rFonts w:eastAsia="Times New Roman"/>
        </w:rPr>
        <w:t xml:space="preserve"> </w:t>
      </w:r>
      <w:r w:rsidR="00265661">
        <w:rPr>
          <w:rFonts w:eastAsia="Times New Roman"/>
        </w:rPr>
        <w:t xml:space="preserve">For our community the impact of increased prolonged heat waves, </w:t>
      </w:r>
      <w:r w:rsidR="00265661" w:rsidRPr="00D34030">
        <w:t>increased pollution levels and drought are of particular concern</w:t>
      </w:r>
      <w:r w:rsidR="00265661">
        <w:t>.</w:t>
      </w:r>
    </w:p>
    <w:p w:rsidR="002F6C1D" w:rsidRDefault="002F6C1D" w:rsidP="00BD1748">
      <w:pPr>
        <w:rPr>
          <w:rFonts w:ascii="Calibri" w:eastAsia="Times New Roman" w:hAnsi="Calibri"/>
          <w:color w:val="000000"/>
        </w:rPr>
      </w:pPr>
    </w:p>
    <w:p w:rsidR="00701471" w:rsidRDefault="00701471" w:rsidP="00BD1748">
      <w:pPr>
        <w:rPr>
          <w:rFonts w:eastAsia="Times New Roman"/>
        </w:rPr>
      </w:pPr>
      <w:r>
        <w:rPr>
          <w:rFonts w:eastAsia="Times New Roman"/>
        </w:rPr>
        <w:t xml:space="preserve">Initial efforts will focus on the completion of a campus-community resilience assessment including the identification of indicators and vulnerability measures. We will </w:t>
      </w:r>
      <w:r w:rsidR="00265661">
        <w:rPr>
          <w:rFonts w:eastAsia="Times New Roman"/>
        </w:rPr>
        <w:t>engage</w:t>
      </w:r>
      <w:r>
        <w:rPr>
          <w:rFonts w:eastAsia="Times New Roman"/>
        </w:rPr>
        <w:t xml:space="preserve"> community members </w:t>
      </w:r>
      <w:r w:rsidR="00265661">
        <w:rPr>
          <w:rFonts w:eastAsia="Times New Roman"/>
        </w:rPr>
        <w:t>in defining</w:t>
      </w:r>
      <w:r>
        <w:rPr>
          <w:rFonts w:eastAsia="Times New Roman"/>
        </w:rPr>
        <w:t xml:space="preserve"> targets for resiliency thresholds and carbon emissions, and establish a work plan for reaching these targets.  Community leaders and organizations will </w:t>
      </w:r>
      <w:r w:rsidR="00265661">
        <w:rPr>
          <w:rFonts w:eastAsia="Times New Roman"/>
        </w:rPr>
        <w:t>join in</w:t>
      </w:r>
      <w:r>
        <w:rPr>
          <w:rFonts w:eastAsia="Times New Roman"/>
        </w:rPr>
        <w:t xml:space="preserve"> the planning and execution of the work plan, and identify the needs of community members that can benefit from collaboration with our faculty and students.</w:t>
      </w:r>
    </w:p>
    <w:p w:rsidR="00701471" w:rsidRDefault="00701471" w:rsidP="00BD1748">
      <w:pPr>
        <w:rPr>
          <w:rFonts w:eastAsia="Times New Roman"/>
        </w:rPr>
      </w:pPr>
    </w:p>
    <w:p w:rsidR="00265661" w:rsidRDefault="00265661" w:rsidP="00BD1748">
      <w:pPr>
        <w:rPr>
          <w:rFonts w:eastAsia="Times New Roman"/>
        </w:rPr>
      </w:pPr>
      <w:r>
        <w:rPr>
          <w:rFonts w:eastAsia="Times New Roman"/>
        </w:rPr>
        <w:t xml:space="preserve">Our plan for taking on this challenge </w:t>
      </w:r>
      <w:r w:rsidR="00092871">
        <w:rPr>
          <w:rFonts w:eastAsia="Times New Roman"/>
        </w:rPr>
        <w:t>includes</w:t>
      </w:r>
      <w:r w:rsidR="001A3304">
        <w:rPr>
          <w:rFonts w:eastAsia="Times New Roman"/>
        </w:rPr>
        <w:t xml:space="preserve"> building and developing relationships with local community organizations, identifying a specific focus community for project implementation, </w:t>
      </w:r>
      <w:r w:rsidR="001A3304">
        <w:rPr>
          <w:rFonts w:eastAsia="Times New Roman"/>
        </w:rPr>
        <w:lastRenderedPageBreak/>
        <w:t xml:space="preserve">creating a campus-community task force to guide the resilience plan, </w:t>
      </w:r>
      <w:r w:rsidR="0039743C">
        <w:rPr>
          <w:rFonts w:eastAsia="Times New Roman"/>
        </w:rPr>
        <w:t>and replicating efforts in other communities within the region through the establishment of an Urban Resilience Network in partnership with other regional universities (the “CSU5”).</w:t>
      </w:r>
      <w:r w:rsidR="001A3304">
        <w:rPr>
          <w:rFonts w:eastAsia="Times New Roman"/>
        </w:rPr>
        <w:t xml:space="preserve"> </w:t>
      </w:r>
      <w:r w:rsidR="00C93210">
        <w:rPr>
          <w:rFonts w:eastAsia="Times New Roman"/>
        </w:rPr>
        <w:t>The following are specific steps which will be taken to engage the community in climate and resiliency planning:</w:t>
      </w:r>
    </w:p>
    <w:p w:rsidR="00265661" w:rsidRDefault="00265661" w:rsidP="00BD1748">
      <w:pPr>
        <w:pStyle w:val="ListParagraph"/>
        <w:numPr>
          <w:ilvl w:val="0"/>
          <w:numId w:val="9"/>
        </w:numPr>
        <w:rPr>
          <w:rFonts w:eastAsia="Times New Roman"/>
        </w:rPr>
      </w:pPr>
      <w:r>
        <w:rPr>
          <w:rFonts w:eastAsia="Times New Roman"/>
        </w:rPr>
        <w:t>Build an internal team focused on generating ideas for working in and with the community on climate action and resilience.  Th</w:t>
      </w:r>
      <w:r w:rsidR="00E95509">
        <w:rPr>
          <w:rFonts w:eastAsia="Times New Roman"/>
        </w:rPr>
        <w:t>is team will be built around our existing Green Core Team, which was instrumental in developing the CSUN Sustainability Plan. (</w:t>
      </w:r>
      <w:r w:rsidR="00C93210">
        <w:rPr>
          <w:rFonts w:eastAsia="Times New Roman"/>
        </w:rPr>
        <w:t xml:space="preserve">Completed </w:t>
      </w:r>
      <w:r w:rsidR="00E95509">
        <w:rPr>
          <w:rFonts w:eastAsia="Times New Roman"/>
        </w:rPr>
        <w:t>Fall 2015</w:t>
      </w:r>
      <w:r w:rsidR="00C93210">
        <w:rPr>
          <w:rFonts w:eastAsia="Times New Roman"/>
        </w:rPr>
        <w:t>.</w:t>
      </w:r>
      <w:r w:rsidR="00E95509">
        <w:rPr>
          <w:rFonts w:eastAsia="Times New Roman"/>
        </w:rPr>
        <w:t>)</w:t>
      </w:r>
    </w:p>
    <w:p w:rsidR="00265661" w:rsidRDefault="00E95509" w:rsidP="00BD1748">
      <w:pPr>
        <w:pStyle w:val="ListParagraph"/>
        <w:numPr>
          <w:ilvl w:val="0"/>
          <w:numId w:val="9"/>
        </w:numPr>
        <w:rPr>
          <w:rFonts w:eastAsia="Times New Roman"/>
        </w:rPr>
      </w:pPr>
      <w:r>
        <w:rPr>
          <w:rFonts w:eastAsia="Times New Roman"/>
        </w:rPr>
        <w:t>Identify one or two</w:t>
      </w:r>
      <w:r w:rsidR="00265661">
        <w:rPr>
          <w:rFonts w:eastAsia="Times New Roman"/>
        </w:rPr>
        <w:t xml:space="preserve"> focus communit</w:t>
      </w:r>
      <w:r>
        <w:rPr>
          <w:rFonts w:eastAsia="Times New Roman"/>
        </w:rPr>
        <w:t>ies to engage in our initial efforts.  Communities should be local, disadvantaged and with an interest and willingness to work closely with the campus on these issues.  (</w:t>
      </w:r>
      <w:r w:rsidR="00C93210">
        <w:rPr>
          <w:rFonts w:eastAsia="Times New Roman"/>
        </w:rPr>
        <w:t xml:space="preserve">Completed </w:t>
      </w:r>
      <w:r>
        <w:rPr>
          <w:rFonts w:eastAsia="Times New Roman"/>
        </w:rPr>
        <w:t>Fall 2015</w:t>
      </w:r>
      <w:r w:rsidR="00C93210">
        <w:rPr>
          <w:rFonts w:eastAsia="Times New Roman"/>
        </w:rPr>
        <w:t>.</w:t>
      </w:r>
      <w:r>
        <w:rPr>
          <w:rFonts w:eastAsia="Times New Roman"/>
        </w:rPr>
        <w:t>)</w:t>
      </w:r>
    </w:p>
    <w:p w:rsidR="001A3304" w:rsidRPr="001A3304" w:rsidRDefault="001A3304" w:rsidP="00BD1748">
      <w:pPr>
        <w:pStyle w:val="ListParagraph"/>
        <w:numPr>
          <w:ilvl w:val="1"/>
          <w:numId w:val="9"/>
        </w:numPr>
        <w:rPr>
          <w:rFonts w:eastAsia="Times New Roman"/>
        </w:rPr>
      </w:pPr>
      <w:r>
        <w:rPr>
          <w:rFonts w:eastAsia="Times New Roman"/>
        </w:rPr>
        <w:t>E</w:t>
      </w:r>
      <w:r w:rsidRPr="001A3304">
        <w:rPr>
          <w:rFonts w:eastAsia="Times New Roman"/>
        </w:rPr>
        <w:t>ngag</w:t>
      </w:r>
      <w:r w:rsidR="00C93210">
        <w:rPr>
          <w:rFonts w:eastAsia="Times New Roman"/>
        </w:rPr>
        <w:t>e</w:t>
      </w:r>
      <w:r w:rsidRPr="001A3304">
        <w:rPr>
          <w:rFonts w:eastAsia="Times New Roman"/>
        </w:rPr>
        <w:t xml:space="preserve"> in activities and planning with</w:t>
      </w:r>
      <w:r>
        <w:rPr>
          <w:rFonts w:eastAsia="Times New Roman"/>
        </w:rPr>
        <w:t xml:space="preserve"> a specific</w:t>
      </w:r>
      <w:r w:rsidRPr="001A3304">
        <w:rPr>
          <w:rFonts w:eastAsia="Times New Roman"/>
        </w:rPr>
        <w:t xml:space="preserve"> community will allow us to gather information, collect </w:t>
      </w:r>
      <w:r w:rsidR="002D1CC9">
        <w:rPr>
          <w:rFonts w:eastAsia="Times New Roman"/>
        </w:rPr>
        <w:t xml:space="preserve">and analyze </w:t>
      </w:r>
      <w:r w:rsidRPr="001A3304">
        <w:rPr>
          <w:rFonts w:eastAsia="Times New Roman"/>
        </w:rPr>
        <w:t xml:space="preserve">data, and do due diligence in understanding community needs and vulnerabilities.  The groundwork laid in working with </w:t>
      </w:r>
      <w:r>
        <w:rPr>
          <w:rFonts w:eastAsia="Times New Roman"/>
        </w:rPr>
        <w:t>a</w:t>
      </w:r>
      <w:r w:rsidRPr="001A3304">
        <w:rPr>
          <w:rFonts w:eastAsia="Times New Roman"/>
        </w:rPr>
        <w:t xml:space="preserve"> focus community will inform </w:t>
      </w:r>
      <w:r>
        <w:rPr>
          <w:rFonts w:eastAsia="Times New Roman"/>
        </w:rPr>
        <w:t>our</w:t>
      </w:r>
      <w:r w:rsidRPr="001A3304">
        <w:rPr>
          <w:rFonts w:eastAsia="Times New Roman"/>
        </w:rPr>
        <w:t xml:space="preserve"> larger Resiliency Network picture in working with the CSU5.</w:t>
      </w:r>
    </w:p>
    <w:p w:rsidR="00E95509" w:rsidRDefault="00E95509" w:rsidP="00BD1748">
      <w:pPr>
        <w:pStyle w:val="ListParagraph"/>
        <w:numPr>
          <w:ilvl w:val="0"/>
          <w:numId w:val="9"/>
        </w:numPr>
        <w:rPr>
          <w:rFonts w:eastAsia="Times New Roman"/>
        </w:rPr>
      </w:pPr>
      <w:r>
        <w:rPr>
          <w:rFonts w:eastAsia="Times New Roman"/>
        </w:rPr>
        <w:t>Work closely with focus community/</w:t>
      </w:r>
      <w:proofErr w:type="spellStart"/>
      <w:r>
        <w:rPr>
          <w:rFonts w:eastAsia="Times New Roman"/>
        </w:rPr>
        <w:t>ies</w:t>
      </w:r>
      <w:proofErr w:type="spellEnd"/>
      <w:r>
        <w:rPr>
          <w:rFonts w:eastAsia="Times New Roman"/>
        </w:rPr>
        <w:t xml:space="preserve"> to identify specific projects where faculty and students can engage with the community to address specific needs. (</w:t>
      </w:r>
      <w:r w:rsidR="00092871">
        <w:rPr>
          <w:rFonts w:eastAsia="Times New Roman"/>
        </w:rPr>
        <w:t>2015-16</w:t>
      </w:r>
      <w:r>
        <w:rPr>
          <w:rFonts w:eastAsia="Times New Roman"/>
        </w:rPr>
        <w:t>)</w:t>
      </w:r>
    </w:p>
    <w:p w:rsidR="00E95509" w:rsidRDefault="00E95509" w:rsidP="00BD1748">
      <w:pPr>
        <w:pStyle w:val="ListParagraph"/>
        <w:numPr>
          <w:ilvl w:val="0"/>
          <w:numId w:val="9"/>
        </w:numPr>
        <w:rPr>
          <w:rFonts w:eastAsia="Times New Roman"/>
        </w:rPr>
      </w:pPr>
      <w:r>
        <w:rPr>
          <w:rFonts w:eastAsia="Times New Roman"/>
        </w:rPr>
        <w:t>Implement at least six faculty-student community-based projects focused on climate adaptation and resilience. (2016)</w:t>
      </w:r>
    </w:p>
    <w:p w:rsidR="00244BA9" w:rsidRDefault="002D1CC9" w:rsidP="00BD1748">
      <w:pPr>
        <w:pStyle w:val="ListParagraph"/>
        <w:numPr>
          <w:ilvl w:val="0"/>
          <w:numId w:val="9"/>
        </w:numPr>
        <w:rPr>
          <w:rFonts w:eastAsia="Times New Roman"/>
        </w:rPr>
      </w:pPr>
      <w:r w:rsidRPr="00C93210">
        <w:rPr>
          <w:rFonts w:eastAsia="Times New Roman"/>
        </w:rPr>
        <w:t>C</w:t>
      </w:r>
      <w:r w:rsidR="00265661" w:rsidRPr="00C93210">
        <w:rPr>
          <w:rFonts w:eastAsia="Times New Roman"/>
        </w:rPr>
        <w:t>reate a joint campus-community resiliency task force to align the Climate Action and Resilience Plan with community goals and to facilitate joint action</w:t>
      </w:r>
      <w:r w:rsidRPr="00C93210">
        <w:rPr>
          <w:rFonts w:eastAsia="Times New Roman"/>
        </w:rPr>
        <w:t>.</w:t>
      </w:r>
      <w:r w:rsidR="00AE0B01" w:rsidRPr="00C93210">
        <w:rPr>
          <w:rFonts w:eastAsia="Times New Roman"/>
        </w:rPr>
        <w:t xml:space="preserve"> (2015</w:t>
      </w:r>
      <w:r w:rsidR="00C93210">
        <w:rPr>
          <w:rFonts w:eastAsia="Times New Roman"/>
        </w:rPr>
        <w:t xml:space="preserve"> - 2016</w:t>
      </w:r>
      <w:r w:rsidR="00AE0B01" w:rsidRPr="00C93210">
        <w:rPr>
          <w:rFonts w:eastAsia="Times New Roman"/>
        </w:rPr>
        <w:t>)</w:t>
      </w:r>
    </w:p>
    <w:p w:rsidR="006E5153" w:rsidRDefault="00265661" w:rsidP="00BD1748">
      <w:pPr>
        <w:pStyle w:val="ListParagraph"/>
        <w:numPr>
          <w:ilvl w:val="0"/>
          <w:numId w:val="9"/>
        </w:numPr>
        <w:rPr>
          <w:rFonts w:eastAsia="Times New Roman"/>
        </w:rPr>
      </w:pPr>
      <w:r w:rsidRPr="00244BA9">
        <w:rPr>
          <w:rFonts w:eastAsia="Times New Roman"/>
        </w:rPr>
        <w:t>Convene task force</w:t>
      </w:r>
      <w:r w:rsidR="00AE0B01" w:rsidRPr="00244BA9">
        <w:rPr>
          <w:rFonts w:eastAsia="Times New Roman"/>
        </w:rPr>
        <w:t xml:space="preserve"> (</w:t>
      </w:r>
      <w:r w:rsidR="00244BA9">
        <w:rPr>
          <w:rFonts w:eastAsia="Times New Roman"/>
        </w:rPr>
        <w:t xml:space="preserve">Beginning </w:t>
      </w:r>
      <w:r w:rsidR="00AE0B01" w:rsidRPr="00244BA9">
        <w:rPr>
          <w:rFonts w:eastAsia="Times New Roman"/>
        </w:rPr>
        <w:t>Spring 2016</w:t>
      </w:r>
      <w:r w:rsidR="00623214" w:rsidRPr="00244BA9">
        <w:rPr>
          <w:rFonts w:eastAsia="Times New Roman"/>
        </w:rPr>
        <w:t xml:space="preserve"> and twice annually thereafter</w:t>
      </w:r>
      <w:r w:rsidR="00AE0B01" w:rsidRPr="00244BA9">
        <w:rPr>
          <w:rFonts w:eastAsia="Times New Roman"/>
        </w:rPr>
        <w:t>)</w:t>
      </w:r>
    </w:p>
    <w:p w:rsidR="006E5153" w:rsidRPr="006E5153" w:rsidRDefault="00623214" w:rsidP="00BD1748">
      <w:pPr>
        <w:pStyle w:val="ListParagraph"/>
        <w:numPr>
          <w:ilvl w:val="0"/>
          <w:numId w:val="9"/>
        </w:numPr>
        <w:rPr>
          <w:rFonts w:eastAsia="Times New Roman"/>
        </w:rPr>
      </w:pPr>
      <w:r>
        <w:t>Conduct campus-community resilience assessment (</w:t>
      </w:r>
      <w:r w:rsidR="006E5153">
        <w:t>2016</w:t>
      </w:r>
      <w:r>
        <w:t>)</w:t>
      </w:r>
    </w:p>
    <w:p w:rsidR="00265661" w:rsidRPr="006E5153" w:rsidRDefault="00623214" w:rsidP="00BD1748">
      <w:pPr>
        <w:pStyle w:val="ListParagraph"/>
        <w:numPr>
          <w:ilvl w:val="0"/>
          <w:numId w:val="9"/>
        </w:numPr>
        <w:rPr>
          <w:rFonts w:eastAsia="Times New Roman"/>
        </w:rPr>
      </w:pPr>
      <w:r w:rsidRPr="006E5153">
        <w:rPr>
          <w:rFonts w:eastAsia="Times New Roman"/>
        </w:rPr>
        <w:t>Develop and revise campus-community Climate Action and Resilience Plan with guidance from task force and alignment with ongoing regional efforts. (Fall 2016 – Spring 2018)</w:t>
      </w:r>
    </w:p>
    <w:p w:rsidR="006E5153" w:rsidRDefault="006E5153" w:rsidP="00BD1748">
      <w:pPr>
        <w:rPr>
          <w:rFonts w:eastAsia="Times New Roman"/>
        </w:rPr>
      </w:pPr>
    </w:p>
    <w:p w:rsidR="00B031A6" w:rsidRPr="008D79FF" w:rsidRDefault="00B031A6" w:rsidP="00BD1748">
      <w:pPr>
        <w:rPr>
          <w:rFonts w:eastAsia="Times New Roman"/>
        </w:rPr>
      </w:pPr>
      <w:r w:rsidRPr="008D79FF">
        <w:rPr>
          <w:rFonts w:eastAsia="Times New Roman"/>
        </w:rPr>
        <w:t xml:space="preserve">We propose to create </w:t>
      </w:r>
      <w:r>
        <w:rPr>
          <w:rFonts w:eastAsia="Times New Roman"/>
        </w:rPr>
        <w:t xml:space="preserve">an </w:t>
      </w:r>
      <w:r w:rsidRPr="008D79FF">
        <w:rPr>
          <w:rFonts w:eastAsia="Times New Roman"/>
        </w:rPr>
        <w:t>“Urban Resilience Network” to connect higher education institutions in the greater Los Angeles region with community partners to address community needs and help build resilienc</w:t>
      </w:r>
      <w:r>
        <w:rPr>
          <w:rFonts w:eastAsia="Times New Roman"/>
        </w:rPr>
        <w:t>e</w:t>
      </w:r>
      <w:r w:rsidRPr="008D79FF">
        <w:rPr>
          <w:rFonts w:eastAsia="Times New Roman"/>
        </w:rPr>
        <w:t xml:space="preserve"> through education, research, the</w:t>
      </w:r>
      <w:r w:rsidRPr="008D79FF">
        <w:t xml:space="preserve"> </w:t>
      </w:r>
      <w:r w:rsidRPr="008D79FF">
        <w:rPr>
          <w:rFonts w:eastAsia="Times New Roman"/>
        </w:rPr>
        <w:t>collection and dissemination of data and information, the development and sharing of best-practices, and partnerships and collaborative projects.  Community partners can range from informal neighborhood groups to public agencies, from NGOs to small businesses. Of particular focus will be engagements with disadvantaged communities facing environmental or social injustices including poverty, pollution, lack of access to resources such as affordable fresh foods, clean energy, green spaces, quality water</w:t>
      </w:r>
      <w:r w:rsidR="00E52786">
        <w:rPr>
          <w:rFonts w:eastAsia="Times New Roman"/>
        </w:rPr>
        <w:t>,</w:t>
      </w:r>
      <w:r w:rsidRPr="008D79FF">
        <w:rPr>
          <w:rFonts w:eastAsia="Times New Roman"/>
        </w:rPr>
        <w:t xml:space="preserve"> etc</w:t>
      </w:r>
      <w:r w:rsidR="00E52786">
        <w:rPr>
          <w:rFonts w:eastAsia="Times New Roman"/>
        </w:rPr>
        <w:t>.</w:t>
      </w:r>
    </w:p>
    <w:p w:rsidR="00B031A6" w:rsidRPr="008D79FF" w:rsidRDefault="00B031A6" w:rsidP="00BD1748">
      <w:pPr>
        <w:rPr>
          <w:rFonts w:eastAsia="Times New Roman"/>
        </w:rPr>
      </w:pPr>
    </w:p>
    <w:p w:rsidR="00B031A6" w:rsidRDefault="00B031A6" w:rsidP="00BD1748">
      <w:pPr>
        <w:rPr>
          <w:rFonts w:eastAsia="Times New Roman"/>
        </w:rPr>
      </w:pPr>
      <w:r w:rsidRPr="008D79FF">
        <w:rPr>
          <w:rFonts w:eastAsia="Times New Roman"/>
        </w:rPr>
        <w:t>By leveraging the resources of five C</w:t>
      </w:r>
      <w:r>
        <w:rPr>
          <w:rFonts w:eastAsia="Times New Roman"/>
        </w:rPr>
        <w:t>alifornia State University</w:t>
      </w:r>
      <w:r w:rsidRPr="008D79FF">
        <w:rPr>
          <w:rFonts w:eastAsia="Times New Roman"/>
        </w:rPr>
        <w:t xml:space="preserve"> campuses with over 140,000 students and 12,000 faculty and staff</w:t>
      </w:r>
      <w:r>
        <w:rPr>
          <w:rFonts w:eastAsia="Times New Roman"/>
        </w:rPr>
        <w:t>,</w:t>
      </w:r>
      <w:r w:rsidRPr="008D79FF">
        <w:rPr>
          <w:rFonts w:eastAsia="Times New Roman"/>
        </w:rPr>
        <w:t xml:space="preserve"> the potential impact on the region is vast. We propose to</w:t>
      </w:r>
      <w:r>
        <w:rPr>
          <w:rFonts w:eastAsia="Times New Roman"/>
        </w:rPr>
        <w:t>:</w:t>
      </w:r>
    </w:p>
    <w:p w:rsidR="00092871" w:rsidRDefault="00B031A6" w:rsidP="00BD1748">
      <w:pPr>
        <w:pStyle w:val="ListParagraph"/>
        <w:numPr>
          <w:ilvl w:val="0"/>
          <w:numId w:val="10"/>
        </w:numPr>
        <w:rPr>
          <w:rFonts w:eastAsia="Times New Roman"/>
        </w:rPr>
      </w:pPr>
      <w:r w:rsidRPr="00092871">
        <w:rPr>
          <w:rFonts w:eastAsia="Times New Roman"/>
        </w:rPr>
        <w:t xml:space="preserve">identify existing efforts in which our universities are working closely with communities in resiliency-related work </w:t>
      </w:r>
    </w:p>
    <w:p w:rsidR="00B031A6" w:rsidRPr="00092871" w:rsidRDefault="00B031A6" w:rsidP="00BD1748">
      <w:pPr>
        <w:pStyle w:val="ListParagraph"/>
        <w:numPr>
          <w:ilvl w:val="0"/>
          <w:numId w:val="10"/>
        </w:numPr>
        <w:rPr>
          <w:rFonts w:eastAsia="Times New Roman"/>
        </w:rPr>
      </w:pPr>
      <w:r w:rsidRPr="00092871">
        <w:rPr>
          <w:rFonts w:eastAsia="Times New Roman"/>
        </w:rPr>
        <w:lastRenderedPageBreak/>
        <w:t>identify collaborative opportunities in which our universities can work together to expand these efforts and ini</w:t>
      </w:r>
      <w:r w:rsidR="00092871">
        <w:rPr>
          <w:rFonts w:eastAsia="Times New Roman"/>
        </w:rPr>
        <w:t>tiate new ones</w:t>
      </w:r>
    </w:p>
    <w:p w:rsidR="00B031A6" w:rsidRDefault="00B031A6" w:rsidP="00BD1748">
      <w:pPr>
        <w:pStyle w:val="ListParagraph"/>
        <w:numPr>
          <w:ilvl w:val="0"/>
          <w:numId w:val="10"/>
        </w:numPr>
        <w:rPr>
          <w:rFonts w:eastAsia="Times New Roman"/>
        </w:rPr>
      </w:pPr>
      <w:r w:rsidRPr="00B031A6">
        <w:rPr>
          <w:rFonts w:eastAsia="Times New Roman"/>
        </w:rPr>
        <w:t>lin</w:t>
      </w:r>
      <w:r>
        <w:rPr>
          <w:rFonts w:eastAsia="Times New Roman"/>
        </w:rPr>
        <w:t>k existing efforts in a network in which both faculty and communities can share best practices an</w:t>
      </w:r>
      <w:r w:rsidR="00092871">
        <w:rPr>
          <w:rFonts w:eastAsia="Times New Roman"/>
        </w:rPr>
        <w:t>d resources</w:t>
      </w:r>
    </w:p>
    <w:p w:rsidR="00B031A6" w:rsidRDefault="00B031A6" w:rsidP="00BD1748">
      <w:pPr>
        <w:pStyle w:val="ListParagraph"/>
        <w:numPr>
          <w:ilvl w:val="0"/>
          <w:numId w:val="10"/>
        </w:numPr>
        <w:rPr>
          <w:rFonts w:eastAsia="Times New Roman"/>
        </w:rPr>
      </w:pPr>
      <w:r w:rsidRPr="00B031A6">
        <w:rPr>
          <w:rFonts w:eastAsia="Times New Roman"/>
        </w:rPr>
        <w:t xml:space="preserve">expand these efforts particularly in focus </w:t>
      </w:r>
      <w:r>
        <w:rPr>
          <w:rFonts w:eastAsia="Times New Roman"/>
        </w:rPr>
        <w:t xml:space="preserve">and disadvantaged </w:t>
      </w:r>
      <w:r w:rsidRPr="00B031A6">
        <w:rPr>
          <w:rFonts w:eastAsia="Times New Roman"/>
        </w:rPr>
        <w:t>communities in which we will conc</w:t>
      </w:r>
      <w:r>
        <w:rPr>
          <w:rFonts w:eastAsia="Times New Roman"/>
        </w:rPr>
        <w:t xml:space="preserve">entrate our </w:t>
      </w:r>
      <w:r w:rsidR="00092871">
        <w:rPr>
          <w:rFonts w:eastAsia="Times New Roman"/>
        </w:rPr>
        <w:t>resources initially</w:t>
      </w:r>
    </w:p>
    <w:p w:rsidR="00B031A6" w:rsidRDefault="00B031A6" w:rsidP="00BD1748">
      <w:pPr>
        <w:pStyle w:val="ListParagraph"/>
        <w:numPr>
          <w:ilvl w:val="0"/>
          <w:numId w:val="10"/>
        </w:numPr>
        <w:rPr>
          <w:rFonts w:eastAsia="Times New Roman"/>
        </w:rPr>
      </w:pPr>
      <w:r w:rsidRPr="00B031A6">
        <w:rPr>
          <w:rFonts w:eastAsia="Times New Roman"/>
        </w:rPr>
        <w:t>plan for expansion of resilien</w:t>
      </w:r>
      <w:r>
        <w:rPr>
          <w:rFonts w:eastAsia="Times New Roman"/>
        </w:rPr>
        <w:t>cy efforts i</w:t>
      </w:r>
      <w:r w:rsidR="00092871">
        <w:rPr>
          <w:rFonts w:eastAsia="Times New Roman"/>
        </w:rPr>
        <w:t>nto new communities</w:t>
      </w:r>
    </w:p>
    <w:p w:rsidR="00564A5E" w:rsidRDefault="00564A5E" w:rsidP="00BD1748">
      <w:pPr>
        <w:rPr>
          <w:rFonts w:eastAsia="Times New Roman"/>
        </w:rPr>
      </w:pPr>
    </w:p>
    <w:p w:rsidR="00564A5E" w:rsidRPr="00564A5E" w:rsidRDefault="00564A5E" w:rsidP="00BD1748">
      <w:pPr>
        <w:rPr>
          <w:rFonts w:eastAsia="Times New Roman"/>
        </w:rPr>
      </w:pPr>
      <w:r>
        <w:rPr>
          <w:rFonts w:eastAsia="Times New Roman"/>
        </w:rPr>
        <w:t xml:space="preserve">The Urban Resilience Network will integrate the work of our </w:t>
      </w:r>
      <w:r w:rsidR="00F50CD7">
        <w:rPr>
          <w:rFonts w:eastAsia="Times New Roman"/>
        </w:rPr>
        <w:t xml:space="preserve">campus, </w:t>
      </w:r>
      <w:r>
        <w:rPr>
          <w:rFonts w:eastAsia="Times New Roman"/>
        </w:rPr>
        <w:t>community partnerships and the campus-community task force with those of other regional universities and provide a structure for building climate adaptation and resilience throughout the region.</w:t>
      </w:r>
    </w:p>
    <w:p w:rsidR="00114BC5" w:rsidRPr="006E5153" w:rsidRDefault="006E5153" w:rsidP="00BD1748">
      <w:pPr>
        <w:pStyle w:val="Heading1"/>
      </w:pPr>
      <w:bookmarkStart w:id="34" w:name="_Toc440630078"/>
      <w:r w:rsidRPr="006E5153">
        <w:t>9</w:t>
      </w:r>
      <w:r w:rsidR="00114BC5" w:rsidRPr="006E5153">
        <w:t xml:space="preserve">.  </w:t>
      </w:r>
      <w:r w:rsidR="00EE2FF7">
        <w:t xml:space="preserve">Milestones and </w:t>
      </w:r>
      <w:r w:rsidR="004D0F95">
        <w:t>Future</w:t>
      </w:r>
      <w:bookmarkEnd w:id="34"/>
    </w:p>
    <w:p w:rsidR="00036FC3" w:rsidRDefault="00036FC3" w:rsidP="00BD1748">
      <w:r>
        <w:t>This Climate Action Plan will serve as a guiding document for California State University</w:t>
      </w:r>
      <w:r w:rsidR="004D0F95">
        <w:t>,</w:t>
      </w:r>
      <w:r>
        <w:t xml:space="preserve"> Northridge to reach a goal of becoming </w:t>
      </w:r>
      <w:r w:rsidR="004D0F95">
        <w:t>carbon</w:t>
      </w:r>
      <w:r>
        <w:t xml:space="preserve"> neutral by 2040. </w:t>
      </w:r>
      <w:r w:rsidR="004D0F95">
        <w:rPr>
          <w:bCs/>
        </w:rPr>
        <w:t xml:space="preserve">Cost, funding, incentives and resource availability together with external factors including technology will dictate the timing of project implementation.  </w:t>
      </w:r>
      <w:r>
        <w:t xml:space="preserve">Many of these </w:t>
      </w:r>
      <w:r w:rsidR="004D0F95">
        <w:t xml:space="preserve">factors </w:t>
      </w:r>
      <w:r>
        <w:t>are out of our direct control</w:t>
      </w:r>
      <w:r w:rsidR="004D0F95">
        <w:t>;</w:t>
      </w:r>
      <w:r>
        <w:t xml:space="preserve"> </w:t>
      </w:r>
      <w:r w:rsidR="004D0F95">
        <w:t>thus</w:t>
      </w:r>
      <w:r>
        <w:t xml:space="preserve"> this plan </w:t>
      </w:r>
      <w:r w:rsidR="004D0F95">
        <w:t>is intended to</w:t>
      </w:r>
      <w:r>
        <w:t xml:space="preserve"> be a living document and</w:t>
      </w:r>
      <w:r w:rsidR="004D0F95">
        <w:t xml:space="preserve"> will be </w:t>
      </w:r>
      <w:r>
        <w:t>adapt</w:t>
      </w:r>
      <w:r w:rsidR="004D0F95">
        <w:t>ed</w:t>
      </w:r>
      <w:r w:rsidR="00EC052A">
        <w:t xml:space="preserve"> as necessary.</w:t>
      </w:r>
    </w:p>
    <w:p w:rsidR="00EC052A" w:rsidRDefault="00EC052A" w:rsidP="00BD1748"/>
    <w:p w:rsidR="00EC052A" w:rsidRDefault="00EC052A" w:rsidP="00BD1748">
      <w:r>
        <w:t>In meeting the goal to become carbon neutral by 2040, the following intermediate milestones have been established.</w:t>
      </w:r>
    </w:p>
    <w:p w:rsidR="00EC052A" w:rsidRDefault="00EC052A" w:rsidP="00EC052A">
      <w:pPr>
        <w:pStyle w:val="ListParagraph"/>
        <w:numPr>
          <w:ilvl w:val="0"/>
          <w:numId w:val="43"/>
        </w:numPr>
      </w:pPr>
      <w:r>
        <w:t>Reduce commuting carbon footprint to below 1990 levels by 2020</w:t>
      </w:r>
    </w:p>
    <w:p w:rsidR="00EC052A" w:rsidRPr="00F664EE" w:rsidRDefault="00EC052A" w:rsidP="00EC052A">
      <w:pPr>
        <w:pStyle w:val="ListParagraph"/>
        <w:numPr>
          <w:ilvl w:val="0"/>
          <w:numId w:val="43"/>
        </w:numPr>
      </w:pPr>
      <w:r w:rsidRPr="00F664EE">
        <w:t xml:space="preserve">Reduce </w:t>
      </w:r>
      <w:r>
        <w:t xml:space="preserve">total </w:t>
      </w:r>
      <w:r w:rsidRPr="00F664EE">
        <w:t>GHG emission</w:t>
      </w:r>
      <w:r>
        <w:t>s</w:t>
      </w:r>
      <w:r w:rsidRPr="00F664EE">
        <w:t xml:space="preserve"> </w:t>
      </w:r>
      <w:r>
        <w:t xml:space="preserve">to </w:t>
      </w:r>
      <w:r w:rsidRPr="00F664EE">
        <w:t xml:space="preserve">below 1990 levels by 2020 </w:t>
      </w:r>
    </w:p>
    <w:p w:rsidR="00EC052A" w:rsidRPr="00F664EE" w:rsidRDefault="00EC052A" w:rsidP="00EC052A">
      <w:pPr>
        <w:pStyle w:val="ListParagraph"/>
        <w:numPr>
          <w:ilvl w:val="0"/>
          <w:numId w:val="43"/>
        </w:numPr>
      </w:pPr>
      <w:r w:rsidRPr="00F664EE">
        <w:t xml:space="preserve">Reduce </w:t>
      </w:r>
      <w:r>
        <w:t xml:space="preserve">Scope 1 and 2 </w:t>
      </w:r>
      <w:r w:rsidRPr="00F664EE">
        <w:t xml:space="preserve">GHG emission levels </w:t>
      </w:r>
      <w:r>
        <w:t xml:space="preserve">to 50% </w:t>
      </w:r>
      <w:r w:rsidRPr="00F664EE">
        <w:t>below 1990 levels by 20</w:t>
      </w:r>
      <w:r>
        <w:t>3</w:t>
      </w:r>
      <w:r w:rsidRPr="00F664EE">
        <w:t xml:space="preserve">0 </w:t>
      </w:r>
    </w:p>
    <w:p w:rsidR="00EC052A" w:rsidRPr="00F664EE" w:rsidRDefault="00EC052A" w:rsidP="00EC052A">
      <w:pPr>
        <w:pStyle w:val="ListParagraph"/>
        <w:numPr>
          <w:ilvl w:val="0"/>
          <w:numId w:val="43"/>
        </w:numPr>
      </w:pPr>
      <w:r w:rsidRPr="00F664EE">
        <w:t xml:space="preserve">Reduce </w:t>
      </w:r>
      <w:r>
        <w:t xml:space="preserve">Scope 1 and 2 </w:t>
      </w:r>
      <w:r w:rsidRPr="00F664EE">
        <w:t xml:space="preserve">GHG emission levels </w:t>
      </w:r>
      <w:r>
        <w:t xml:space="preserve">to 80% </w:t>
      </w:r>
      <w:r w:rsidRPr="00F664EE">
        <w:t>below 1990 levels by 20</w:t>
      </w:r>
      <w:r>
        <w:t>35</w:t>
      </w:r>
      <w:r w:rsidRPr="00F664EE">
        <w:t xml:space="preserve"> </w:t>
      </w:r>
    </w:p>
    <w:p w:rsidR="006952F2" w:rsidRDefault="00EC052A" w:rsidP="00EC052A">
      <w:pPr>
        <w:pStyle w:val="ListParagraph"/>
        <w:numPr>
          <w:ilvl w:val="0"/>
          <w:numId w:val="43"/>
        </w:numPr>
        <w:sectPr w:rsidR="006952F2" w:rsidSect="00FE025C">
          <w:headerReference w:type="even" r:id="rId66"/>
          <w:headerReference w:type="default" r:id="rId67"/>
          <w:footerReference w:type="even" r:id="rId68"/>
          <w:footerReference w:type="default" r:id="rId69"/>
          <w:headerReference w:type="first" r:id="rId70"/>
          <w:endnotePr>
            <w:numFmt w:val="decimal"/>
          </w:endnotePr>
          <w:pgSz w:w="12240" w:h="15840"/>
          <w:pgMar w:top="1440" w:right="1440" w:bottom="1440" w:left="1800" w:header="720" w:footer="720" w:gutter="0"/>
          <w:cols w:space="720"/>
          <w:docGrid w:linePitch="360"/>
        </w:sectPr>
      </w:pPr>
      <w:r w:rsidRPr="00F664EE">
        <w:t xml:space="preserve">Reduce </w:t>
      </w:r>
      <w:r>
        <w:t xml:space="preserve">Scope 3 </w:t>
      </w:r>
      <w:r w:rsidRPr="00F664EE">
        <w:t xml:space="preserve">GHG emission levels </w:t>
      </w:r>
      <w:r>
        <w:t xml:space="preserve">to 50% </w:t>
      </w:r>
      <w:r w:rsidRPr="00F664EE">
        <w:t>below 1990 levels by 20</w:t>
      </w:r>
      <w:r>
        <w:t>35</w:t>
      </w:r>
      <w:r w:rsidRPr="00F664EE">
        <w:t xml:space="preserve"> </w:t>
      </w:r>
    </w:p>
    <w:p w:rsidR="006952F2" w:rsidRDefault="004D0F95" w:rsidP="00BD1748">
      <w:pPr>
        <w:sectPr w:rsidR="006952F2" w:rsidSect="00FE025C">
          <w:headerReference w:type="even" r:id="rId71"/>
          <w:footerReference w:type="even" r:id="rId72"/>
          <w:endnotePr>
            <w:numFmt w:val="decimal"/>
          </w:endnotePr>
          <w:pgSz w:w="12240" w:h="15840"/>
          <w:pgMar w:top="1440" w:right="1440" w:bottom="1440" w:left="1800" w:header="720" w:footer="720" w:gutter="0"/>
          <w:cols w:space="720"/>
          <w:docGrid w:linePitch="360"/>
        </w:sectPr>
      </w:pPr>
      <w:r>
        <w:lastRenderedPageBreak/>
        <w:br w:type="page"/>
      </w:r>
    </w:p>
    <w:p w:rsidR="001217FC" w:rsidRPr="006E5153" w:rsidRDefault="001514C3" w:rsidP="00DA0AC2">
      <w:pPr>
        <w:pStyle w:val="Heading1"/>
        <w:spacing w:line="240" w:lineRule="auto"/>
      </w:pPr>
      <w:bookmarkStart w:id="35" w:name="_Toc440630079"/>
      <w:r w:rsidRPr="006E5153">
        <w:lastRenderedPageBreak/>
        <w:t>Appendix A</w:t>
      </w:r>
      <w:r w:rsidR="00394078" w:rsidRPr="006E5153">
        <w:t>:</w:t>
      </w:r>
      <w:r w:rsidRPr="006E5153">
        <w:t xml:space="preserve"> </w:t>
      </w:r>
      <w:r w:rsidR="001217FC" w:rsidRPr="006E5153">
        <w:t>Planning Personnel</w:t>
      </w:r>
      <w:bookmarkEnd w:id="35"/>
    </w:p>
    <w:p w:rsidR="001217FC" w:rsidRDefault="001217FC" w:rsidP="00DA0AC2">
      <w:pPr>
        <w:spacing w:line="240" w:lineRule="auto"/>
        <w:rPr>
          <w:rFonts w:cstheme="minorHAnsi"/>
        </w:rPr>
      </w:pPr>
      <w:r w:rsidRPr="003E2802">
        <w:rPr>
          <w:rFonts w:cstheme="minorHAnsi"/>
        </w:rPr>
        <w:t>This pla</w:t>
      </w:r>
      <w:r w:rsidR="000862F4">
        <w:rPr>
          <w:rFonts w:cstheme="minorHAnsi"/>
        </w:rPr>
        <w:t>n was prepared by</w:t>
      </w:r>
      <w:r w:rsidR="00862300">
        <w:rPr>
          <w:rFonts w:cstheme="minorHAnsi"/>
        </w:rPr>
        <w:t xml:space="preserve"> the CSUN Institute for Sustainability.</w:t>
      </w:r>
    </w:p>
    <w:p w:rsidR="00EC052A" w:rsidRDefault="00EC052A" w:rsidP="00DA0AC2">
      <w:pPr>
        <w:spacing w:line="240" w:lineRule="auto"/>
        <w:rPr>
          <w:rFonts w:cstheme="minorHAnsi"/>
        </w:rPr>
      </w:pPr>
    </w:p>
    <w:p w:rsidR="00922357" w:rsidRDefault="00922357" w:rsidP="00DA0AC2">
      <w:pPr>
        <w:spacing w:line="240" w:lineRule="auto"/>
        <w:rPr>
          <w:rFonts w:cstheme="minorHAnsi"/>
        </w:rPr>
      </w:pPr>
      <w:r>
        <w:rPr>
          <w:rFonts w:cstheme="minorHAnsi"/>
        </w:rPr>
        <w:t>Lead author:</w:t>
      </w:r>
    </w:p>
    <w:p w:rsidR="001217FC" w:rsidRDefault="00CB60C3" w:rsidP="00DA0AC2">
      <w:pPr>
        <w:spacing w:line="240" w:lineRule="auto"/>
        <w:ind w:left="720"/>
        <w:rPr>
          <w:rFonts w:cstheme="minorHAnsi"/>
        </w:rPr>
      </w:pPr>
      <w:r>
        <w:rPr>
          <w:rFonts w:cstheme="minorHAnsi"/>
        </w:rPr>
        <w:t>Helen Cox (Director, Institute for Sustainability)</w:t>
      </w:r>
    </w:p>
    <w:p w:rsidR="00862300" w:rsidRDefault="00862300" w:rsidP="00DA0AC2">
      <w:pPr>
        <w:spacing w:line="240" w:lineRule="auto"/>
        <w:rPr>
          <w:rFonts w:cstheme="minorHAnsi"/>
        </w:rPr>
      </w:pPr>
    </w:p>
    <w:p w:rsidR="00862300" w:rsidRDefault="00862300" w:rsidP="00DA0AC2">
      <w:pPr>
        <w:spacing w:line="240" w:lineRule="auto"/>
        <w:rPr>
          <w:rFonts w:cstheme="minorHAnsi"/>
        </w:rPr>
      </w:pPr>
      <w:r>
        <w:rPr>
          <w:rFonts w:cstheme="minorHAnsi"/>
        </w:rPr>
        <w:t>Contributing authors:</w:t>
      </w:r>
    </w:p>
    <w:p w:rsidR="00CB60C3" w:rsidRDefault="00CB60C3" w:rsidP="00DA0AC2">
      <w:pPr>
        <w:spacing w:line="240" w:lineRule="auto"/>
        <w:ind w:left="720"/>
        <w:rPr>
          <w:rFonts w:cstheme="minorHAnsi"/>
        </w:rPr>
      </w:pPr>
      <w:r>
        <w:rPr>
          <w:rFonts w:cstheme="minorHAnsi"/>
        </w:rPr>
        <w:t xml:space="preserve">Austin Eriksson (Sustainability Program Manager, </w:t>
      </w:r>
      <w:r w:rsidRPr="00AF0F1E">
        <w:rPr>
          <w:rFonts w:cstheme="minorHAnsi"/>
        </w:rPr>
        <w:t>Facilities, Planning, Design and Construction</w:t>
      </w:r>
      <w:r>
        <w:rPr>
          <w:rFonts w:cstheme="minorHAnsi"/>
        </w:rPr>
        <w:t>)</w:t>
      </w:r>
    </w:p>
    <w:p w:rsidR="00CB60C3" w:rsidRDefault="00CB60C3" w:rsidP="00DA0AC2">
      <w:pPr>
        <w:spacing w:line="240" w:lineRule="auto"/>
        <w:ind w:left="720"/>
        <w:rPr>
          <w:rFonts w:cstheme="minorHAnsi"/>
        </w:rPr>
      </w:pPr>
      <w:r>
        <w:rPr>
          <w:rFonts w:cstheme="minorHAnsi"/>
        </w:rPr>
        <w:t xml:space="preserve">Larry </w:t>
      </w:r>
      <w:proofErr w:type="spellStart"/>
      <w:r>
        <w:rPr>
          <w:rFonts w:cstheme="minorHAnsi"/>
        </w:rPr>
        <w:t>Isrow</w:t>
      </w:r>
      <w:proofErr w:type="spellEnd"/>
      <w:r>
        <w:rPr>
          <w:rFonts w:cstheme="minorHAnsi"/>
        </w:rPr>
        <w:t xml:space="preserve"> (Parking and Transportation Manager)</w:t>
      </w:r>
    </w:p>
    <w:p w:rsidR="008833C9" w:rsidRPr="00AF0F1E" w:rsidRDefault="00CB60C3" w:rsidP="00DA0AC2">
      <w:pPr>
        <w:spacing w:line="240" w:lineRule="auto"/>
        <w:ind w:left="720"/>
        <w:rPr>
          <w:rFonts w:cstheme="minorHAnsi"/>
        </w:rPr>
      </w:pPr>
      <w:r>
        <w:rPr>
          <w:rFonts w:cstheme="minorHAnsi"/>
        </w:rPr>
        <w:t>Mintesnot Woldeamanuel (</w:t>
      </w:r>
      <w:r w:rsidR="00862300">
        <w:rPr>
          <w:rFonts w:cstheme="minorHAnsi"/>
        </w:rPr>
        <w:t xml:space="preserve">Faculty Associate, Institute for Sustainability; </w:t>
      </w:r>
      <w:r w:rsidR="004F6094">
        <w:rPr>
          <w:rFonts w:cstheme="minorHAnsi"/>
        </w:rPr>
        <w:t>Associate</w:t>
      </w:r>
      <w:r>
        <w:rPr>
          <w:rFonts w:cstheme="minorHAnsi"/>
        </w:rPr>
        <w:t xml:space="preserve"> Professor, Urban Studies and Planning)</w:t>
      </w:r>
    </w:p>
    <w:p w:rsidR="008833C9" w:rsidRPr="00AF0F1E" w:rsidRDefault="008833C9" w:rsidP="00DA0AC2">
      <w:pPr>
        <w:spacing w:line="240" w:lineRule="auto"/>
        <w:rPr>
          <w:rFonts w:cstheme="minorHAnsi"/>
        </w:rPr>
      </w:pPr>
    </w:p>
    <w:p w:rsidR="001217FC" w:rsidRPr="00862300" w:rsidRDefault="00862300" w:rsidP="00DA0AC2">
      <w:pPr>
        <w:spacing w:line="240" w:lineRule="auto"/>
        <w:rPr>
          <w:rFonts w:cstheme="minorHAnsi"/>
        </w:rPr>
      </w:pPr>
      <w:r w:rsidRPr="00862300">
        <w:rPr>
          <w:rFonts w:cstheme="minorHAnsi"/>
        </w:rPr>
        <w:t>Additional contributions from</w:t>
      </w:r>
      <w:r w:rsidR="001217FC" w:rsidRPr="00862300">
        <w:rPr>
          <w:rFonts w:cstheme="minorHAnsi"/>
        </w:rPr>
        <w:t>:</w:t>
      </w:r>
    </w:p>
    <w:p w:rsidR="00331D93" w:rsidRPr="00AF0F1E" w:rsidRDefault="001217FC" w:rsidP="00DA0AC2">
      <w:pPr>
        <w:pStyle w:val="PlainText"/>
        <w:ind w:left="720"/>
        <w:rPr>
          <w:rFonts w:asciiTheme="minorHAnsi" w:hAnsiTheme="minorHAnsi" w:cstheme="minorHAnsi"/>
          <w:szCs w:val="22"/>
        </w:rPr>
      </w:pPr>
      <w:r w:rsidRPr="00AF0F1E">
        <w:rPr>
          <w:rFonts w:asciiTheme="minorHAnsi" w:hAnsiTheme="minorHAnsi" w:cstheme="minorHAnsi"/>
          <w:szCs w:val="22"/>
        </w:rPr>
        <w:t xml:space="preserve">Colin Donahue (Vice President, </w:t>
      </w:r>
      <w:r w:rsidR="008F4AE4">
        <w:rPr>
          <w:rFonts w:asciiTheme="minorHAnsi" w:hAnsiTheme="minorHAnsi" w:cstheme="minorHAnsi"/>
          <w:szCs w:val="22"/>
        </w:rPr>
        <w:t>Administration and Finance</w:t>
      </w:r>
      <w:r w:rsidRPr="00AF0F1E">
        <w:rPr>
          <w:rFonts w:asciiTheme="minorHAnsi" w:hAnsiTheme="minorHAnsi" w:cstheme="minorHAnsi"/>
          <w:szCs w:val="22"/>
        </w:rPr>
        <w:t>)</w:t>
      </w:r>
    </w:p>
    <w:p w:rsidR="001217FC" w:rsidRPr="00AF0F1E" w:rsidRDefault="001217FC" w:rsidP="00DA0AC2">
      <w:pPr>
        <w:pStyle w:val="PlainText"/>
        <w:ind w:left="720"/>
        <w:rPr>
          <w:rFonts w:asciiTheme="minorHAnsi" w:hAnsiTheme="minorHAnsi" w:cstheme="minorHAnsi"/>
          <w:szCs w:val="22"/>
        </w:rPr>
      </w:pPr>
      <w:r w:rsidRPr="00AF0F1E">
        <w:rPr>
          <w:rFonts w:asciiTheme="minorHAnsi" w:hAnsiTheme="minorHAnsi" w:cstheme="minorHAnsi"/>
          <w:szCs w:val="22"/>
        </w:rPr>
        <w:t>Sarah Johnson (Administrative Coordinator, Institute for Sustainability)</w:t>
      </w:r>
    </w:p>
    <w:p w:rsidR="000128A3" w:rsidRPr="00AF0F1E" w:rsidRDefault="000128A3" w:rsidP="00DA0AC2">
      <w:pPr>
        <w:spacing w:line="240" w:lineRule="auto"/>
        <w:ind w:left="720"/>
        <w:rPr>
          <w:rFonts w:cstheme="minorHAnsi"/>
        </w:rPr>
      </w:pPr>
      <w:r w:rsidRPr="00AF0F1E">
        <w:rPr>
          <w:rFonts w:cstheme="minorHAnsi"/>
        </w:rPr>
        <w:t>Astrid Logan (Transport Coordinator, Police Services)</w:t>
      </w:r>
    </w:p>
    <w:p w:rsidR="008F4AE4" w:rsidRDefault="008F4AE4" w:rsidP="00DA0AC2">
      <w:pPr>
        <w:spacing w:line="240" w:lineRule="auto"/>
        <w:ind w:left="720"/>
        <w:rPr>
          <w:rFonts w:cstheme="minorHAnsi"/>
        </w:rPr>
      </w:pPr>
      <w:r>
        <w:rPr>
          <w:rFonts w:cstheme="minorHAnsi"/>
        </w:rPr>
        <w:t xml:space="preserve">Ken Rosenthal (Associate Vice President, Facilities Planning, </w:t>
      </w:r>
      <w:r w:rsidRPr="00AF0F1E">
        <w:rPr>
          <w:rFonts w:cstheme="minorHAnsi"/>
        </w:rPr>
        <w:t>Design and Construction</w:t>
      </w:r>
      <w:r>
        <w:rPr>
          <w:rFonts w:cstheme="minorHAnsi"/>
        </w:rPr>
        <w:t>)</w:t>
      </w:r>
    </w:p>
    <w:p w:rsidR="001217FC" w:rsidRDefault="001217FC" w:rsidP="00DA0AC2">
      <w:pPr>
        <w:spacing w:line="240" w:lineRule="auto"/>
        <w:ind w:left="720"/>
        <w:rPr>
          <w:rFonts w:cstheme="minorHAnsi"/>
        </w:rPr>
      </w:pPr>
      <w:r w:rsidRPr="00AF0F1E">
        <w:rPr>
          <w:rFonts w:cstheme="minorHAnsi"/>
        </w:rPr>
        <w:t>Bill Sullivan (Energy Manager, Physical Plant Management)</w:t>
      </w:r>
    </w:p>
    <w:p w:rsidR="00331D93" w:rsidRPr="00AF0F1E" w:rsidRDefault="00331D93" w:rsidP="00DA0AC2">
      <w:pPr>
        <w:spacing w:line="240" w:lineRule="auto"/>
        <w:ind w:left="720"/>
        <w:rPr>
          <w:rFonts w:cstheme="minorHAnsi"/>
        </w:rPr>
      </w:pPr>
      <w:r>
        <w:rPr>
          <w:rFonts w:cstheme="minorHAnsi"/>
        </w:rPr>
        <w:t xml:space="preserve">Jaime </w:t>
      </w:r>
      <w:proofErr w:type="spellStart"/>
      <w:r>
        <w:rPr>
          <w:rFonts w:cstheme="minorHAnsi"/>
        </w:rPr>
        <w:t>Teelin</w:t>
      </w:r>
      <w:proofErr w:type="spellEnd"/>
      <w:r>
        <w:rPr>
          <w:rFonts w:cstheme="minorHAnsi"/>
        </w:rPr>
        <w:t>-Hoffman (Research Assistant, Institute for Sustainability)</w:t>
      </w:r>
    </w:p>
    <w:p w:rsidR="00862300" w:rsidRDefault="001217FC" w:rsidP="00DA0AC2">
      <w:pPr>
        <w:spacing w:line="240" w:lineRule="auto"/>
        <w:ind w:left="720"/>
        <w:rPr>
          <w:rFonts w:cstheme="minorHAnsi"/>
        </w:rPr>
      </w:pPr>
      <w:r w:rsidRPr="00AF0F1E">
        <w:rPr>
          <w:rFonts w:cstheme="minorHAnsi"/>
        </w:rPr>
        <w:t>Members of the Transportation Working Group</w:t>
      </w:r>
    </w:p>
    <w:p w:rsidR="00D42F6C" w:rsidRDefault="00862300" w:rsidP="00DA0AC2">
      <w:pPr>
        <w:spacing w:line="240" w:lineRule="auto"/>
        <w:ind w:left="720"/>
        <w:rPr>
          <w:rFonts w:cstheme="minorHAnsi"/>
        </w:rPr>
        <w:sectPr w:rsidR="00D42F6C" w:rsidSect="00FE025C">
          <w:headerReference w:type="default" r:id="rId73"/>
          <w:footerReference w:type="default" r:id="rId74"/>
          <w:endnotePr>
            <w:numFmt w:val="decimal"/>
          </w:endnotePr>
          <w:pgSz w:w="12240" w:h="15840"/>
          <w:pgMar w:top="1440" w:right="1440" w:bottom="1440" w:left="1800" w:header="720" w:footer="720" w:gutter="0"/>
          <w:cols w:space="720"/>
          <w:docGrid w:linePitch="360"/>
        </w:sectPr>
      </w:pPr>
      <w:r>
        <w:rPr>
          <w:rFonts w:cstheme="minorHAnsi"/>
        </w:rPr>
        <w:t>Students in the SUST 401: Applied Sustainability class (Spring 2015)</w:t>
      </w:r>
    </w:p>
    <w:p w:rsidR="00FE025C" w:rsidRDefault="00FE025C" w:rsidP="00DA0AC2">
      <w:pPr>
        <w:spacing w:line="240" w:lineRule="auto"/>
      </w:pPr>
    </w:p>
    <w:p w:rsidR="006952F2" w:rsidRDefault="006952F2">
      <w:r>
        <w:br w:type="page"/>
      </w:r>
    </w:p>
    <w:p w:rsidR="00FE025C" w:rsidRDefault="00FE025C" w:rsidP="00DA0AC2">
      <w:pPr>
        <w:spacing w:line="240" w:lineRule="auto"/>
      </w:pPr>
    </w:p>
    <w:p w:rsidR="00B75071" w:rsidRPr="00316988" w:rsidRDefault="00B75071" w:rsidP="00DA0AC2">
      <w:pPr>
        <w:spacing w:line="240" w:lineRule="auto"/>
        <w:sectPr w:rsidR="00B75071" w:rsidRPr="00316988" w:rsidSect="00FE025C">
          <w:headerReference w:type="even" r:id="rId75"/>
          <w:headerReference w:type="default" r:id="rId76"/>
          <w:footerReference w:type="default" r:id="rId77"/>
          <w:headerReference w:type="first" r:id="rId78"/>
          <w:endnotePr>
            <w:numFmt w:val="decimal"/>
          </w:endnotePr>
          <w:pgSz w:w="12240" w:h="15840"/>
          <w:pgMar w:top="1440" w:right="1440" w:bottom="1440" w:left="1800" w:header="720" w:footer="720" w:gutter="0"/>
          <w:cols w:space="720"/>
          <w:docGrid w:linePitch="360"/>
        </w:sectPr>
      </w:pPr>
    </w:p>
    <w:p w:rsidR="00E66E87" w:rsidRDefault="00E66E87" w:rsidP="00DA0AC2">
      <w:pPr>
        <w:spacing w:line="240" w:lineRule="auto"/>
        <w:contextualSpacing/>
        <w:rPr>
          <w:bCs/>
        </w:rPr>
      </w:pPr>
    </w:p>
    <w:p w:rsidR="00717F69" w:rsidRDefault="00717F69" w:rsidP="00DA0AC2">
      <w:pPr>
        <w:spacing w:line="240" w:lineRule="auto"/>
        <w:jc w:val="center"/>
        <w:rPr>
          <w:color w:val="006666"/>
          <w:sz w:val="32"/>
          <w:szCs w:val="32"/>
        </w:rPr>
      </w:pPr>
      <w:r w:rsidRPr="00717F69">
        <w:rPr>
          <w:noProof/>
          <w:color w:val="006666"/>
          <w:sz w:val="32"/>
          <w:szCs w:val="32"/>
        </w:rPr>
        <w:drawing>
          <wp:inline distT="0" distB="0" distL="0" distR="0">
            <wp:extent cx="3192856" cy="6515100"/>
            <wp:effectExtent l="0" t="0" r="7620" b="0"/>
            <wp:docPr id="55" name="Picture 3"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srcRect/>
                    <a:stretch>
                      <a:fillRect/>
                    </a:stretch>
                  </pic:blipFill>
                  <pic:spPr bwMode="auto">
                    <a:xfrm>
                      <a:off x="0" y="0"/>
                      <a:ext cx="3201008" cy="6531735"/>
                    </a:xfrm>
                    <a:prstGeom prst="rect">
                      <a:avLst/>
                    </a:prstGeom>
                    <a:noFill/>
                    <a:ln w="9525">
                      <a:noFill/>
                      <a:miter lim="800000"/>
                      <a:headEnd/>
                      <a:tailEnd/>
                    </a:ln>
                  </pic:spPr>
                </pic:pic>
              </a:graphicData>
            </a:graphic>
          </wp:inline>
        </w:drawing>
      </w:r>
    </w:p>
    <w:p w:rsidR="00717F69" w:rsidRDefault="00717F69" w:rsidP="00DA0AC2">
      <w:pPr>
        <w:spacing w:line="240" w:lineRule="auto"/>
        <w:jc w:val="center"/>
        <w:rPr>
          <w:color w:val="006666"/>
          <w:sz w:val="32"/>
          <w:szCs w:val="32"/>
        </w:rPr>
      </w:pPr>
    </w:p>
    <w:p w:rsidR="00717F69" w:rsidRDefault="00717F69" w:rsidP="00DA0AC2">
      <w:pPr>
        <w:spacing w:line="240" w:lineRule="auto"/>
        <w:jc w:val="center"/>
        <w:rPr>
          <w:color w:val="595959" w:themeColor="text1" w:themeTint="A6"/>
          <w:sz w:val="32"/>
          <w:szCs w:val="32"/>
        </w:rPr>
      </w:pPr>
    </w:p>
    <w:p w:rsidR="00717F69" w:rsidRDefault="00F54AD3" w:rsidP="00DA0AC2">
      <w:pPr>
        <w:spacing w:line="240" w:lineRule="auto"/>
        <w:jc w:val="center"/>
        <w:rPr>
          <w:color w:val="595959" w:themeColor="text1" w:themeTint="A6"/>
          <w:sz w:val="32"/>
          <w:szCs w:val="32"/>
        </w:rPr>
      </w:pPr>
      <w:r>
        <w:rPr>
          <w:bCs/>
          <w:noProof/>
        </w:rPr>
        <w:drawing>
          <wp:anchor distT="0" distB="0" distL="114300" distR="114300" simplePos="0" relativeHeight="251671552" behindDoc="0" locked="0" layoutInCell="1" allowOverlap="1">
            <wp:simplePos x="0" y="0"/>
            <wp:positionH relativeFrom="margin">
              <wp:align>center</wp:align>
            </wp:positionH>
            <wp:positionV relativeFrom="paragraph">
              <wp:posOffset>121285</wp:posOffset>
            </wp:positionV>
            <wp:extent cx="3649345" cy="624840"/>
            <wp:effectExtent l="0" t="0" r="8255" b="3810"/>
            <wp:wrapTight wrapText="bothSides">
              <wp:wrapPolygon edited="0">
                <wp:start x="11275" y="0"/>
                <wp:lineTo x="0" y="1976"/>
                <wp:lineTo x="0" y="19098"/>
                <wp:lineTo x="11275" y="21073"/>
                <wp:lineTo x="11726" y="21073"/>
                <wp:lineTo x="21536" y="15805"/>
                <wp:lineTo x="21536" y="11195"/>
                <wp:lineTo x="20972" y="9878"/>
                <wp:lineTo x="20972" y="5927"/>
                <wp:lineTo x="11726" y="0"/>
                <wp:lineTo x="11275" y="0"/>
              </wp:wrapPolygon>
            </wp:wrapTight>
            <wp:docPr id="17" name="Picture 17" descr="Wordmark reading &quot;CSUN Institute for Sustainabil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79">
                      <a:extLst>
                        <a:ext uri="{28A0092B-C50C-407E-A947-70E740481C1C}">
                          <a14:useLocalDpi xmlns:a14="http://schemas.microsoft.com/office/drawing/2010/main" val="0"/>
                        </a:ext>
                      </a:extLst>
                    </a:blip>
                    <a:stretch>
                      <a:fillRect/>
                    </a:stretch>
                  </pic:blipFill>
                  <pic:spPr>
                    <a:xfrm>
                      <a:off x="0" y="0"/>
                      <a:ext cx="3649345" cy="624840"/>
                    </a:xfrm>
                    <a:prstGeom prst="rect">
                      <a:avLst/>
                    </a:prstGeom>
                  </pic:spPr>
                </pic:pic>
              </a:graphicData>
            </a:graphic>
          </wp:anchor>
        </w:drawing>
      </w:r>
      <w:r w:rsidR="004A3ED4">
        <w:rPr>
          <w:noProof/>
        </w:rPr>
        <mc:AlternateContent>
          <mc:Choice Requires="wps">
            <w:drawing>
              <wp:anchor distT="4294967293" distB="4294967293" distL="114300" distR="114300" simplePos="0" relativeHeight="251665408" behindDoc="0" locked="0" layoutInCell="1" allowOverlap="1">
                <wp:simplePos x="0" y="0"/>
                <wp:positionH relativeFrom="column">
                  <wp:posOffset>-403225</wp:posOffset>
                </wp:positionH>
                <wp:positionV relativeFrom="paragraph">
                  <wp:posOffset>916304</wp:posOffset>
                </wp:positionV>
                <wp:extent cx="6858000" cy="0"/>
                <wp:effectExtent l="0" t="0" r="19050" b="19050"/>
                <wp:wrapNone/>
                <wp:docPr id="93" name="AutoShape 9"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straightConnector1">
                          <a:avLst/>
                        </a:prstGeom>
                        <a:noFill/>
                        <a:ln w="158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5CD11FC" id="_x0000_t32" coordsize="21600,21600" o:spt="32" o:oned="t" path="m,l21600,21600e" filled="f">
                <v:path arrowok="t" fillok="f" o:connecttype="none"/>
                <o:lock v:ext="edit" shapetype="t"/>
              </v:shapetype>
              <v:shape id="AutoShape 9" o:spid="_x0000_s1026" type="#_x0000_t32" alt="&quot;&quot;" style="position:absolute;margin-left:-31.75pt;margin-top:72.15pt;width:540pt;height:0;z-index:2516654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" strokecolor="teal" strokeweight="1.25pt"/>
            </w:pict>
          </mc:Fallback>
        </mc:AlternateContent>
      </w:r>
      <w:r w:rsidR="004A3ED4">
        <w:rPr>
          <w:noProof/>
          <w:color w:val="595959" w:themeColor="text1" w:themeTint="A6"/>
          <w:sz w:val="32"/>
          <w:szCs w:val="32"/>
        </w:rPr>
        <mc:AlternateContent>
          <mc:Choice Requires="wps">
            <w:drawing>
              <wp:anchor distT="4294967293" distB="4294967293" distL="114300" distR="114300" simplePos="0" relativeHeight="251666432" behindDoc="0" locked="0" layoutInCell="1" allowOverlap="1">
                <wp:simplePos x="0" y="0"/>
                <wp:positionH relativeFrom="column">
                  <wp:posOffset>-426085</wp:posOffset>
                </wp:positionH>
                <wp:positionV relativeFrom="paragraph">
                  <wp:posOffset>-13971</wp:posOffset>
                </wp:positionV>
                <wp:extent cx="6858000" cy="0"/>
                <wp:effectExtent l="0" t="0" r="19050" b="19050"/>
                <wp:wrapNone/>
                <wp:docPr id="92" name="AutoShape 10"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858000" cy="0"/>
                        </a:xfrm>
                        <a:prstGeom prst="straightConnector1">
                          <a:avLst/>
                        </a:prstGeom>
                        <a:noFill/>
                        <a:ln w="158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5A50C9" id="AutoShape 10" o:spid="_x0000_s1026" type="#_x0000_t32" alt="&quot;&quot;" style="position:absolute;margin-left:-33.55pt;margin-top:-1.1pt;width:540pt;height:0;z-index:25166643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" strokecolor="teal" strokeweight="1.25pt"/>
            </w:pict>
          </mc:Fallback>
        </mc:AlternateContent>
      </w:r>
    </w:p>
    <w:sectPr w:rsidR="00717F69" w:rsidSect="00717F69">
      <w:headerReference w:type="even" r:id="rId80"/>
      <w:headerReference w:type="default" r:id="rId81"/>
      <w:footerReference w:type="even" r:id="rId82"/>
      <w:footerReference w:type="default" r:id="rId83"/>
      <w:headerReference w:type="first" r:id="rId8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668CF" w:rsidRDefault="007668CF" w:rsidP="00CE1AEC">
      <w:pPr>
        <w:spacing w:line="240" w:lineRule="auto"/>
      </w:pPr>
      <w:r>
        <w:separator/>
      </w:r>
    </w:p>
  </w:endnote>
  <w:endnote w:type="continuationSeparator" w:id="0">
    <w:p w:rsidR="007668CF" w:rsidRDefault="007668CF" w:rsidP="00CE1A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0161"/>
      <w:docPartObj>
        <w:docPartGallery w:val="Page Numbers (Bottom of Page)"/>
        <w:docPartUnique/>
      </w:docPartObj>
    </w:sdtPr>
    <w:sdtContent>
      <w:p w:rsidR="00EE142C" w:rsidRDefault="00EE142C">
        <w:pPr>
          <w:pStyle w:val="Footer"/>
          <w:jc w:val="center"/>
        </w:pPr>
        <w:r>
          <w:fldChar w:fldCharType="begin"/>
        </w:r>
        <w:r>
          <w:instrText xml:space="preserve"> PAGE   \* MERGEFORMAT </w:instrText>
        </w:r>
        <w:r>
          <w:fldChar w:fldCharType="separate"/>
        </w:r>
        <w:r>
          <w:rPr>
            <w:noProof/>
          </w:rPr>
          <w:t>2</w:t>
        </w:r>
        <w:r>
          <w:rPr>
            <w:noProof/>
          </w:rPr>
          <w:fldChar w:fldCharType="end"/>
        </w:r>
        <w:r>
          <w:tab/>
        </w:r>
        <w:r>
          <w:tab/>
        </w:r>
        <w:r w:rsidRPr="00E666E5">
          <w:rPr>
            <w:noProof/>
          </w:rPr>
          <w:drawing>
            <wp:inline distT="0" distB="0" distL="0" distR="0">
              <wp:extent cx="1786255" cy="371475"/>
              <wp:effectExtent l="0" t="0" r="4445" b="9525"/>
              <wp:docPr id="14" name="Picture 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cstate="print"/>
                      <a:srcRect/>
                      <a:stretch>
                        <a:fillRect/>
                      </a:stretch>
                    </pic:blipFill>
                    <pic:spPr bwMode="auto">
                      <a:xfrm>
                        <a:off x="0" y="0"/>
                        <a:ext cx="1786255" cy="371475"/>
                      </a:xfrm>
                      <a:prstGeom prst="rect">
                        <a:avLst/>
                      </a:prstGeom>
                      <a:noFill/>
                      <a:ln w="9525">
                        <a:noFill/>
                        <a:miter lim="800000"/>
                        <a:headEnd/>
                        <a:tailEnd/>
                      </a:ln>
                    </pic:spPr>
                  </pic:pic>
                </a:graphicData>
              </a:graphic>
            </wp:inline>
          </w:drawing>
        </w:r>
      </w:p>
    </w:sdtContent>
  </w:sdt>
  <w:p w:rsidR="00EE142C" w:rsidRDefault="00EE142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84257333"/>
      <w:docPartObj>
        <w:docPartGallery w:val="Page Numbers (Bottom of Page)"/>
        <w:docPartUnique/>
      </w:docPartObj>
    </w:sdtPr>
    <w:sdtContent>
      <w:p w:rsidR="00EE142C" w:rsidRDefault="00EE142C">
        <w:pPr>
          <w:pStyle w:val="Footer"/>
          <w:jc w:val="center"/>
        </w:pPr>
        <w:r>
          <w:rPr>
            <w:noProof/>
          </w:rPr>
          <mc:AlternateContent>
            <mc:Choice Requires="wps">
              <w:drawing>
                <wp:anchor distT="4294967293" distB="4294967293" distL="114300" distR="114300" simplePos="0" relativeHeight="251933696" behindDoc="0" locked="0" layoutInCell="1" allowOverlap="1" wp14:anchorId="36FB66EB" wp14:editId="65A80E46">
                  <wp:simplePos x="0" y="0"/>
                  <wp:positionH relativeFrom="margin">
                    <wp:align>center</wp:align>
                  </wp:positionH>
                  <wp:positionV relativeFrom="paragraph">
                    <wp:posOffset>113029</wp:posOffset>
                  </wp:positionV>
                  <wp:extent cx="8229600" cy="0"/>
                  <wp:effectExtent l="0" t="0" r="19050" b="19050"/>
                  <wp:wrapNone/>
                  <wp:docPr id="145" name="AutoShape 14"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296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A713B9D" id="_x0000_t32" coordsize="21600,21600" o:spt="32" o:oned="t" path="m,l21600,21600e" filled="f">
                  <v:path arrowok="t" fillok="f" o:connecttype="none"/>
                  <o:lock v:ext="edit" shapetype="t"/>
                </v:shapetype>
                <v:shape id="AutoShape 14" o:spid="_x0000_s1026" type="#_x0000_t32" alt="&quot;&quot;" style="position:absolute;margin-left:0;margin-top:8.9pt;width:9in;height:0;z-index:251933696;visibility:visible;mso-wrap-style:square;mso-width-percent:0;mso-height-percent:0;mso-wrap-distance-left:9pt;mso-wrap-distance-top:-8e-5mm;mso-wrap-distance-right:9pt;mso-wrap-distance-bottom:-8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" strokecolor="teal" strokeweight="1.5pt">
                  <w10:wrap anchorx="margin"/>
                </v:shape>
              </w:pict>
            </mc:Fallback>
          </mc:AlternateContent>
        </w:r>
      </w:p>
      <w:p w:rsidR="00EE142C" w:rsidRDefault="00EE142C" w:rsidP="006728D3">
        <w:pPr>
          <w:pStyle w:val="Footer"/>
          <w:tabs>
            <w:tab w:val="left" w:pos="90"/>
          </w:tabs>
          <w:jc w:val="center"/>
        </w:pPr>
        <w:r w:rsidRPr="0089565A">
          <w:rPr>
            <w:noProof/>
            <w:color w:val="FFFFFF" w:themeColor="background1"/>
          </w:rPr>
          <w:drawing>
            <wp:anchor distT="0" distB="0" distL="114300" distR="114300" simplePos="0" relativeHeight="251932672" behindDoc="1" locked="0" layoutInCell="1" allowOverlap="1" wp14:anchorId="7B388983" wp14:editId="430070FC">
              <wp:simplePos x="0" y="0"/>
              <wp:positionH relativeFrom="column">
                <wp:posOffset>-104775</wp:posOffset>
              </wp:positionH>
              <wp:positionV relativeFrom="paragraph">
                <wp:posOffset>92075</wp:posOffset>
              </wp:positionV>
              <wp:extent cx="356870" cy="352425"/>
              <wp:effectExtent l="0" t="0" r="5080" b="9525"/>
              <wp:wrapNone/>
              <wp:docPr id="146" name="Picture 8"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48</w:t>
        </w:r>
        <w:r w:rsidRPr="0089565A">
          <w:rPr>
            <w:color w:val="FFFFFF" w:themeColor="background1"/>
          </w:rPr>
          <w:fldChar w:fldCharType="end"/>
        </w:r>
        <w:r>
          <w:rPr>
            <w:color w:val="FFFFFF" w:themeColor="background1"/>
          </w:rPr>
          <w:tab/>
        </w:r>
        <w:r>
          <w:rPr>
            <w:color w:val="FFFFFF" w:themeColor="background1"/>
          </w:rPr>
          <w:tab/>
        </w:r>
        <w:r>
          <w:tab/>
        </w:r>
        <w:r>
          <w:rPr>
            <w:noProof/>
          </w:rPr>
          <w:drawing>
            <wp:inline distT="0" distB="0" distL="0" distR="0" wp14:anchorId="02FB39E9" wp14:editId="7AE94242">
              <wp:extent cx="1828800" cy="312420"/>
              <wp:effectExtent l="0" t="0" r="0" b="0"/>
              <wp:docPr id="147" name="Picture 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r>
          <w:tab/>
        </w:r>
        <w:r>
          <w:tab/>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r>
      <w:rPr>
        <w:noProof/>
      </w:rPr>
      <mc:AlternateContent>
        <mc:Choice Requires="wps">
          <w:drawing>
            <wp:anchor distT="4294967294" distB="4294967294" distL="114300" distR="114300" simplePos="0" relativeHeight="251813888" behindDoc="0" locked="0" layoutInCell="1" allowOverlap="1" wp14:anchorId="77FF860F" wp14:editId="20C6F4B2">
              <wp:simplePos x="0" y="0"/>
              <wp:positionH relativeFrom="column">
                <wp:posOffset>12700</wp:posOffset>
              </wp:positionH>
              <wp:positionV relativeFrom="paragraph">
                <wp:posOffset>113665</wp:posOffset>
              </wp:positionV>
              <wp:extent cx="8001000" cy="0"/>
              <wp:effectExtent l="0" t="0" r="19050" b="19050"/>
              <wp:wrapNone/>
              <wp:docPr id="63" name="AutoShape 8"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26C6FEE" id="_x0000_t32" coordsize="21600,21600" o:spt="32" o:oned="t" path="m,l21600,21600e" filled="f">
              <v:path arrowok="t" fillok="f" o:connecttype="none"/>
              <o:lock v:ext="edit" shapetype="t"/>
            </v:shapetype>
            <v:shape id="AutoShape 8" o:spid="_x0000_s1026" type="#_x0000_t32" alt="&quot;&quot;" style="position:absolute;margin-left:1pt;margin-top:8.95pt;width:630pt;height:0;z-index:2518138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" strokecolor="teal" strokeweight="1.5pt"/>
          </w:pict>
        </mc:Fallback>
      </mc:AlternateContent>
    </w:r>
  </w:p>
  <w:p w:rsidR="00EE142C" w:rsidRDefault="00EE142C" w:rsidP="00292D79">
    <w:pPr>
      <w:pStyle w:val="Footer"/>
      <w:tabs>
        <w:tab w:val="left" w:pos="3409"/>
        <w:tab w:val="left" w:pos="3773"/>
        <w:tab w:val="left" w:pos="4047"/>
      </w:tabs>
      <w:rPr>
        <w:color w:val="FFFFFF" w:themeColor="background1"/>
      </w:rPr>
    </w:pPr>
    <w:r>
      <w:rPr>
        <w:noProof/>
      </w:rPr>
      <w:drawing>
        <wp:anchor distT="0" distB="0" distL="114300" distR="114300" simplePos="0" relativeHeight="251812864" behindDoc="1" locked="0" layoutInCell="1" allowOverlap="1" wp14:anchorId="0BA62543" wp14:editId="7FF03196">
          <wp:simplePos x="0" y="0"/>
          <wp:positionH relativeFrom="column">
            <wp:posOffset>7658100</wp:posOffset>
          </wp:positionH>
          <wp:positionV relativeFrom="paragraph">
            <wp:posOffset>92075</wp:posOffset>
          </wp:positionV>
          <wp:extent cx="356870" cy="352425"/>
          <wp:effectExtent l="0" t="0" r="5080" b="9525"/>
          <wp:wrapNone/>
          <wp:docPr id="10" name="Picture 10"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Pr>
        <w:noProof/>
      </w:rPr>
      <w:drawing>
        <wp:inline distT="0" distB="0" distL="0" distR="0" wp14:anchorId="3CAB34D0" wp14:editId="0F15EA01">
          <wp:extent cx="1828800" cy="312420"/>
          <wp:effectExtent l="0" t="0" r="0" b="0"/>
          <wp:docPr id="11" name="Picture 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r>
      <w:tab/>
    </w:r>
    <w:r>
      <w:tab/>
    </w:r>
    <w:r>
      <w:tab/>
    </w:r>
    <w:r>
      <w:tab/>
    </w:r>
    <w:r>
      <w:tab/>
    </w:r>
    <w:sdt>
      <w:sdtPr>
        <w:id w:val="163129169"/>
        <w:docPartObj>
          <w:docPartGallery w:val="Page Numbers (Bottom of Page)"/>
          <w:docPartUnique/>
        </w:docPartObj>
      </w:sdtPr>
      <w:sdtEndPr>
        <w:rPr>
          <w:color w:val="FFFFFF" w:themeColor="background1"/>
        </w:rPr>
      </w:sdtEndPr>
      <w:sdtContent>
        <w:r>
          <w:tab/>
        </w:r>
        <w:r>
          <w:tab/>
        </w:r>
        <w:r>
          <w:tab/>
        </w:r>
        <w:r>
          <w:tab/>
        </w:r>
        <w:r w:rsidRPr="00A55BD7">
          <w:rPr>
            <w:color w:val="FFFFFF" w:themeColor="background1"/>
          </w:rPr>
          <w:fldChar w:fldCharType="begin"/>
        </w:r>
        <w:r w:rsidRPr="00A55BD7">
          <w:rPr>
            <w:color w:val="FFFFFF" w:themeColor="background1"/>
          </w:rPr>
          <w:instrText xml:space="preserve"> PAGE   \* MERGEFORMAT </w:instrText>
        </w:r>
        <w:r w:rsidRPr="00A55BD7">
          <w:rPr>
            <w:color w:val="FFFFFF" w:themeColor="background1"/>
          </w:rPr>
          <w:fldChar w:fldCharType="separate"/>
        </w:r>
        <w:r>
          <w:rPr>
            <w:noProof/>
            <w:color w:val="FFFFFF" w:themeColor="background1"/>
          </w:rPr>
          <w:t>45</w:t>
        </w:r>
        <w:r w:rsidRPr="00A55BD7">
          <w:rPr>
            <w:color w:val="FFFFFF" w:themeColor="background1"/>
          </w:rPr>
          <w:fldChar w:fldCharType="end"/>
        </w:r>
      </w:sdtContent>
    </w:sdt>
  </w:p>
  <w:p w:rsidR="00EE142C" w:rsidRPr="00292D79" w:rsidRDefault="00EE142C" w:rsidP="00292D79">
    <w:pPr>
      <w:pStyle w:val="Footer"/>
      <w:tabs>
        <w:tab w:val="left" w:pos="3773"/>
      </w:tabs>
      <w:rPr>
        <w:color w:val="FFFFFF" w:themeColor="background1"/>
      </w:rP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3129170"/>
      <w:docPartObj>
        <w:docPartGallery w:val="Page Numbers (Bottom of Page)"/>
        <w:docPartUnique/>
      </w:docPartObj>
    </w:sdtPr>
    <w:sdtContent>
      <w:p w:rsidR="00EE142C" w:rsidRDefault="00EE142C">
        <w:pPr>
          <w:pStyle w:val="Footer"/>
          <w:jc w:val="center"/>
        </w:pPr>
        <w:r>
          <w:rPr>
            <w:noProof/>
          </w:rPr>
          <mc:AlternateContent>
            <mc:Choice Requires="wps">
              <w:drawing>
                <wp:anchor distT="4294967293" distB="4294967293" distL="114300" distR="114300" simplePos="0" relativeHeight="251822080" behindDoc="0" locked="0" layoutInCell="1" allowOverlap="1" wp14:anchorId="1C07F527" wp14:editId="78549E53">
                  <wp:simplePos x="0" y="0"/>
                  <wp:positionH relativeFrom="margin">
                    <wp:align>center</wp:align>
                  </wp:positionH>
                  <wp:positionV relativeFrom="paragraph">
                    <wp:posOffset>113029</wp:posOffset>
                  </wp:positionV>
                  <wp:extent cx="5715000" cy="0"/>
                  <wp:effectExtent l="0" t="0" r="19050" b="19050"/>
                  <wp:wrapNone/>
                  <wp:docPr id="30" name="AutoShape 14"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43F7927" id="_x0000_t32" coordsize="21600,21600" o:spt="32" o:oned="t" path="m,l21600,21600e" filled="f">
                  <v:path arrowok="t" fillok="f" o:connecttype="none"/>
                  <o:lock v:ext="edit" shapetype="t"/>
                </v:shapetype>
                <v:shape id="AutoShape 14" o:spid="_x0000_s1026" type="#_x0000_t32" alt="&quot;&quot;" style="position:absolute;margin-left:0;margin-top:8.9pt;width:450pt;height:0;z-index:251822080;visibility:visible;mso-wrap-style:square;mso-width-percent:0;mso-height-percent:0;mso-wrap-distance-left:9pt;mso-wrap-distance-top:-8e-5mm;mso-wrap-distance-right:9pt;mso-wrap-distance-bottom:-8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" strokecolor="teal" strokeweight="1.5pt">
                  <w10:wrap anchorx="margin"/>
                </v:shape>
              </w:pict>
            </mc:Fallback>
          </mc:AlternateContent>
        </w:r>
      </w:p>
      <w:p w:rsidR="00EE142C" w:rsidRDefault="00EE142C" w:rsidP="007E17EC">
        <w:pPr>
          <w:pStyle w:val="Footer"/>
          <w:tabs>
            <w:tab w:val="left" w:pos="1276"/>
          </w:tabs>
          <w:jc w:val="center"/>
        </w:pPr>
        <w:r w:rsidRPr="0089565A">
          <w:rPr>
            <w:noProof/>
            <w:color w:val="FFFFFF" w:themeColor="background1"/>
          </w:rPr>
          <w:drawing>
            <wp:anchor distT="0" distB="0" distL="114300" distR="114300" simplePos="0" relativeHeight="251823104" behindDoc="1" locked="0" layoutInCell="1" allowOverlap="1" wp14:anchorId="614AC917" wp14:editId="0D1169A0">
              <wp:simplePos x="0" y="0"/>
              <wp:positionH relativeFrom="column">
                <wp:posOffset>-104775</wp:posOffset>
              </wp:positionH>
              <wp:positionV relativeFrom="paragraph">
                <wp:posOffset>82550</wp:posOffset>
              </wp:positionV>
              <wp:extent cx="356616" cy="352425"/>
              <wp:effectExtent l="0" t="0" r="5715" b="0"/>
              <wp:wrapNone/>
              <wp:docPr id="24" name="Picture 8"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srcRect/>
                      <a:stretch>
                        <a:fillRect/>
                      </a:stretch>
                    </pic:blipFill>
                    <pic:spPr bwMode="auto">
                      <a:xfrm>
                        <a:off x="0" y="0"/>
                        <a:ext cx="356616" cy="352425"/>
                      </a:xfrm>
                      <a:prstGeom prst="rect">
                        <a:avLst/>
                      </a:prstGeom>
                      <a:noFill/>
                      <a:ln w="9525">
                        <a:noFill/>
                        <a:miter lim="800000"/>
                        <a:headEnd/>
                        <a:tailEnd/>
                      </a:ln>
                    </pic:spPr>
                  </pic:pic>
                </a:graphicData>
              </a:graphic>
            </wp:anchor>
          </w:drawing>
        </w:r>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54</w:t>
        </w:r>
        <w:r w:rsidRPr="0089565A">
          <w:rPr>
            <w:color w:val="FFFFFF" w:themeColor="background1"/>
          </w:rPr>
          <w:fldChar w:fldCharType="end"/>
        </w:r>
        <w:r>
          <w:rPr>
            <w:color w:val="FFFFFF" w:themeColor="background1"/>
          </w:rPr>
          <w:tab/>
        </w:r>
        <w:r>
          <w:rPr>
            <w:color w:val="FFFFFF" w:themeColor="background1"/>
          </w:rPr>
          <w:tab/>
        </w:r>
        <w:r>
          <w:tab/>
        </w:r>
        <w:r>
          <w:tab/>
        </w:r>
        <w:r>
          <w:tab/>
        </w:r>
        <w:r>
          <w:rPr>
            <w:noProof/>
          </w:rPr>
          <w:drawing>
            <wp:inline distT="0" distB="0" distL="0" distR="0" wp14:anchorId="1F9CDA88" wp14:editId="5F786680">
              <wp:extent cx="1828800" cy="312420"/>
              <wp:effectExtent l="0" t="0" r="0" b="0"/>
              <wp:docPr id="26" name="Picture 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p>
    </w:sdtContent>
  </w:sdt>
  <w:p w:rsidR="00EE142C" w:rsidRDefault="00EE142C">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r>
      <w:rPr>
        <w:noProof/>
      </w:rPr>
      <mc:AlternateContent>
        <mc:Choice Requires="wps">
          <w:drawing>
            <wp:anchor distT="4294967293" distB="4294967293" distL="114300" distR="114300" simplePos="0" relativeHeight="251829248" behindDoc="0" locked="0" layoutInCell="1" allowOverlap="1" wp14:anchorId="165703C2" wp14:editId="2337D8AF">
              <wp:simplePos x="0" y="0"/>
              <wp:positionH relativeFrom="column">
                <wp:posOffset>12700</wp:posOffset>
              </wp:positionH>
              <wp:positionV relativeFrom="paragraph">
                <wp:posOffset>113664</wp:posOffset>
              </wp:positionV>
              <wp:extent cx="5715000" cy="0"/>
              <wp:effectExtent l="0" t="0" r="19050" b="19050"/>
              <wp:wrapNone/>
              <wp:docPr id="86" name="AutoShape 35"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058CE7C" id="_x0000_t32" coordsize="21600,21600" o:spt="32" o:oned="t" path="m,l21600,21600e" filled="f">
              <v:path arrowok="t" fillok="f" o:connecttype="none"/>
              <o:lock v:ext="edit" shapetype="t"/>
            </v:shapetype>
            <v:shape id="AutoShape 35" o:spid="_x0000_s1026" type="#_x0000_t32" alt="&quot;&quot;" style="position:absolute;margin-left:1pt;margin-top:8.95pt;width:450pt;height:0;z-index:2518292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" strokecolor="teal" strokeweight="1.5pt"/>
          </w:pict>
        </mc:Fallback>
      </mc:AlternateContent>
    </w:r>
  </w:p>
  <w:p w:rsidR="00EE142C" w:rsidRDefault="00EE142C" w:rsidP="00292D79">
    <w:pPr>
      <w:pStyle w:val="Footer"/>
      <w:tabs>
        <w:tab w:val="left" w:pos="3409"/>
        <w:tab w:val="left" w:pos="3773"/>
        <w:tab w:val="left" w:pos="4047"/>
      </w:tabs>
      <w:rPr>
        <w:color w:val="FFFFFF" w:themeColor="background1"/>
      </w:rPr>
    </w:pPr>
    <w:r>
      <w:rPr>
        <w:noProof/>
      </w:rPr>
      <w:drawing>
        <wp:anchor distT="0" distB="0" distL="114300" distR="114300" simplePos="0" relativeHeight="251828224" behindDoc="1" locked="0" layoutInCell="1" allowOverlap="1" wp14:anchorId="308075AF" wp14:editId="4B2F98AF">
          <wp:simplePos x="0" y="0"/>
          <wp:positionH relativeFrom="column">
            <wp:posOffset>5473065</wp:posOffset>
          </wp:positionH>
          <wp:positionV relativeFrom="paragraph">
            <wp:posOffset>82550</wp:posOffset>
          </wp:positionV>
          <wp:extent cx="356870" cy="352425"/>
          <wp:effectExtent l="0" t="0" r="5080" b="9525"/>
          <wp:wrapNone/>
          <wp:docPr id="40" name="Picture 10"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Pr>
        <w:noProof/>
      </w:rPr>
      <w:drawing>
        <wp:inline distT="0" distB="0" distL="0" distR="0" wp14:anchorId="7C0150CE" wp14:editId="5985E9DE">
          <wp:extent cx="1828800" cy="312420"/>
          <wp:effectExtent l="0" t="0" r="0" b="0"/>
          <wp:docPr id="41" name="Picture 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r>
      <w:tab/>
    </w:r>
    <w:r>
      <w:tab/>
    </w:r>
    <w:r>
      <w:tab/>
    </w:r>
    <w:r>
      <w:tab/>
    </w:r>
    <w:r>
      <w:tab/>
    </w:r>
    <w:sdt>
      <w:sdtPr>
        <w:id w:val="163129172"/>
        <w:docPartObj>
          <w:docPartGallery w:val="Page Numbers (Bottom of Page)"/>
          <w:docPartUnique/>
        </w:docPartObj>
      </w:sdtPr>
      <w:sdtEndPr>
        <w:rPr>
          <w:color w:val="FFFFFF" w:themeColor="background1"/>
        </w:rPr>
      </w:sdtEndPr>
      <w:sdtContent>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55</w:t>
        </w:r>
        <w:r w:rsidRPr="0089565A">
          <w:rPr>
            <w:color w:val="FFFFFF" w:themeColor="background1"/>
          </w:rPr>
          <w:fldChar w:fldCharType="end"/>
        </w:r>
      </w:sdtContent>
    </w:sdt>
  </w:p>
  <w:p w:rsidR="00EE142C" w:rsidRPr="00292D79" w:rsidRDefault="00EE142C" w:rsidP="00292D79">
    <w:pPr>
      <w:pStyle w:val="Footer"/>
      <w:tabs>
        <w:tab w:val="left" w:pos="3773"/>
      </w:tabs>
      <w:rPr>
        <w:color w:val="FFFFFF" w:themeColor="background1"/>
      </w:rP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r>
      <w:rPr>
        <w:noProof/>
      </w:rPr>
      <mc:AlternateContent>
        <mc:Choice Requires="wps">
          <w:drawing>
            <wp:anchor distT="4294967293" distB="4294967293" distL="114300" distR="114300" simplePos="0" relativeHeight="251945984" behindDoc="0" locked="0" layoutInCell="1" allowOverlap="1" wp14:anchorId="24E22F3B" wp14:editId="143AA914">
              <wp:simplePos x="0" y="0"/>
              <wp:positionH relativeFrom="column">
                <wp:posOffset>12700</wp:posOffset>
              </wp:positionH>
              <wp:positionV relativeFrom="paragraph">
                <wp:posOffset>113664</wp:posOffset>
              </wp:positionV>
              <wp:extent cx="5715000" cy="0"/>
              <wp:effectExtent l="0" t="0" r="19050" b="19050"/>
              <wp:wrapNone/>
              <wp:docPr id="155" name="AutoShape 35"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96D49AA" id="_x0000_t32" coordsize="21600,21600" o:spt="32" o:oned="t" path="m,l21600,21600e" filled="f">
              <v:path arrowok="t" fillok="f" o:connecttype="none"/>
              <o:lock v:ext="edit" shapetype="t"/>
            </v:shapetype>
            <v:shape id="AutoShape 35" o:spid="_x0000_s1026" type="#_x0000_t32" alt="&quot;&quot;" style="position:absolute;margin-left:1pt;margin-top:8.95pt;width:450pt;height:0;z-index:2519459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" strokecolor="teal" strokeweight="1.5pt"/>
          </w:pict>
        </mc:Fallback>
      </mc:AlternateContent>
    </w:r>
  </w:p>
  <w:p w:rsidR="00EE142C" w:rsidRDefault="00EE142C" w:rsidP="00292D79">
    <w:pPr>
      <w:pStyle w:val="Footer"/>
      <w:tabs>
        <w:tab w:val="left" w:pos="3409"/>
        <w:tab w:val="left" w:pos="3773"/>
        <w:tab w:val="left" w:pos="4047"/>
      </w:tabs>
      <w:rPr>
        <w:color w:val="FFFFFF" w:themeColor="background1"/>
      </w:rPr>
    </w:pPr>
    <w:r>
      <w:rPr>
        <w:noProof/>
      </w:rPr>
      <w:drawing>
        <wp:anchor distT="0" distB="0" distL="114300" distR="114300" simplePos="0" relativeHeight="251944960" behindDoc="1" locked="0" layoutInCell="1" allowOverlap="1" wp14:anchorId="2975120C" wp14:editId="0B422F87">
          <wp:simplePos x="0" y="0"/>
          <wp:positionH relativeFrom="column">
            <wp:posOffset>5686425</wp:posOffset>
          </wp:positionH>
          <wp:positionV relativeFrom="paragraph">
            <wp:posOffset>82550</wp:posOffset>
          </wp:positionV>
          <wp:extent cx="356870" cy="352425"/>
          <wp:effectExtent l="0" t="0" r="5080" b="9525"/>
          <wp:wrapNone/>
          <wp:docPr id="156" name="Picture 10"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Pr>
        <w:noProof/>
      </w:rPr>
      <w:drawing>
        <wp:inline distT="0" distB="0" distL="0" distR="0" wp14:anchorId="0526075E" wp14:editId="1EF552E7">
          <wp:extent cx="1828800" cy="312420"/>
          <wp:effectExtent l="0" t="0" r="0" b="0"/>
          <wp:docPr id="157" name="Picture 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r>
      <w:tab/>
    </w:r>
    <w:r>
      <w:tab/>
    </w:r>
    <w:r>
      <w:tab/>
    </w:r>
    <w:r>
      <w:tab/>
    </w:r>
    <w:r>
      <w:tab/>
    </w:r>
    <w:sdt>
      <w:sdtPr>
        <w:id w:val="-327207132"/>
        <w:docPartObj>
          <w:docPartGallery w:val="Page Numbers (Bottom of Page)"/>
          <w:docPartUnique/>
        </w:docPartObj>
      </w:sdtPr>
      <w:sdtEndPr>
        <w:rPr>
          <w:color w:val="FFFFFF" w:themeColor="background1"/>
        </w:rPr>
      </w:sdtEndPr>
      <w:sdtContent>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59</w:t>
        </w:r>
        <w:r w:rsidRPr="0089565A">
          <w:rPr>
            <w:color w:val="FFFFFF" w:themeColor="background1"/>
          </w:rPr>
          <w:fldChar w:fldCharType="end"/>
        </w:r>
      </w:sdtContent>
    </w:sdt>
  </w:p>
  <w:p w:rsidR="00EE142C" w:rsidRPr="00292D79" w:rsidRDefault="00EE142C" w:rsidP="00292D79">
    <w:pPr>
      <w:pStyle w:val="Footer"/>
      <w:tabs>
        <w:tab w:val="left" w:pos="3773"/>
      </w:tabs>
      <w:rPr>
        <w:color w:val="FFFFFF" w:themeColor="background1"/>
      </w:rP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Pr="00292D79" w:rsidRDefault="00EE142C" w:rsidP="00292D79">
    <w:pPr>
      <w:pStyle w:val="Footer"/>
      <w:tabs>
        <w:tab w:val="left" w:pos="3773"/>
      </w:tabs>
      <w:rPr>
        <w:color w:val="FFFFFF" w:themeColor="background1"/>
      </w:rP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0361"/>
      <w:docPartObj>
        <w:docPartGallery w:val="Page Numbers (Bottom of Page)"/>
        <w:docPartUnique/>
      </w:docPartObj>
    </w:sdtPr>
    <w:sdtContent>
      <w:p w:rsidR="00EE142C" w:rsidRDefault="00EE142C" w:rsidP="00F1370D">
        <w:pPr>
          <w:pStyle w:val="Footer"/>
          <w:jc w:val="center"/>
        </w:pPr>
      </w:p>
      <w:p w:rsidR="00EE142C" w:rsidRDefault="00EE142C" w:rsidP="00130F35">
        <w:pPr>
          <w:pStyle w:val="Footer"/>
        </w:pPr>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62</w:t>
        </w:r>
        <w:r w:rsidRPr="0089565A">
          <w:rPr>
            <w:color w:val="FFFFFF" w:themeColor="background1"/>
          </w:rPr>
          <w:fldChar w:fldCharType="end"/>
        </w:r>
        <w:r>
          <w:tab/>
        </w:r>
        <w:r w:rsidRPr="00FE00D7">
          <w:rPr>
            <w:b/>
            <w:color w:val="595959" w:themeColor="text1" w:themeTint="A6"/>
            <w:sz w:val="32"/>
            <w:szCs w:val="32"/>
          </w:rPr>
          <w:t>WWW.CSUN.EDU/SUSTAINABILITY</w:t>
        </w:r>
      </w:p>
    </w:sdtContent>
  </w:sdt>
  <w:p w:rsidR="00EE142C" w:rsidRDefault="00EE142C" w:rsidP="00F1370D">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Pr="00E66E87" w:rsidRDefault="00EE142C" w:rsidP="00717F69">
    <w:pPr>
      <w:pStyle w:val="Footer"/>
      <w:jc w:val="center"/>
      <w:rPr>
        <w:color w:val="595959" w:themeColor="text1" w:themeTint="A6"/>
        <w:sz w:val="24"/>
        <w:szCs w:val="24"/>
      </w:rPr>
    </w:pPr>
  </w:p>
  <w:p w:rsidR="00EE142C" w:rsidRPr="00E66E87" w:rsidRDefault="00EE142C" w:rsidP="00717F69">
    <w:pPr>
      <w:pStyle w:val="Footer"/>
      <w:jc w:val="center"/>
      <w:rPr>
        <w:b/>
        <w:color w:val="595959" w:themeColor="text1" w:themeTint="A6"/>
        <w:sz w:val="44"/>
        <w:szCs w:val="44"/>
      </w:rPr>
    </w:pPr>
    <w:r w:rsidRPr="00E66E87">
      <w:rPr>
        <w:b/>
        <w:color w:val="595959" w:themeColor="text1" w:themeTint="A6"/>
        <w:sz w:val="44"/>
        <w:szCs w:val="44"/>
      </w:rPr>
      <w:t>WWW.CSUN.EDU/SUSTAINABILITY</w:t>
    </w:r>
  </w:p>
  <w:p w:rsidR="00EE142C" w:rsidRPr="00E66E87" w:rsidRDefault="00EE142C" w:rsidP="00717F69">
    <w:pPr>
      <w:pStyle w:val="Footer"/>
      <w:jc w:val="center"/>
      <w:rPr>
        <w:sz w:val="18"/>
        <w:szCs w:val="18"/>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r>
      <w:rPr>
        <w:noProof/>
      </w:rPr>
      <w:drawing>
        <wp:anchor distT="0" distB="0" distL="114300" distR="114300" simplePos="0" relativeHeight="251810816" behindDoc="0" locked="0" layoutInCell="1" allowOverlap="1">
          <wp:simplePos x="0" y="0"/>
          <wp:positionH relativeFrom="margin">
            <wp:align>center</wp:align>
          </wp:positionH>
          <wp:positionV relativeFrom="paragraph">
            <wp:posOffset>-250190</wp:posOffset>
          </wp:positionV>
          <wp:extent cx="2298700" cy="393700"/>
          <wp:effectExtent l="0" t="0" r="6350" b="6350"/>
          <wp:wrapTight wrapText="bothSides">
            <wp:wrapPolygon edited="0">
              <wp:start x="11098" y="0"/>
              <wp:lineTo x="0" y="1045"/>
              <wp:lineTo x="0" y="18813"/>
              <wp:lineTo x="11098" y="20903"/>
              <wp:lineTo x="11814" y="20903"/>
              <wp:lineTo x="11814" y="16723"/>
              <wp:lineTo x="21481" y="15677"/>
              <wp:lineTo x="21481" y="5226"/>
              <wp:lineTo x="11814" y="0"/>
              <wp:lineTo x="11098" y="0"/>
            </wp:wrapPolygon>
          </wp:wrapTight>
          <wp:docPr id="7" name="Picture 7" descr="Wordmark reading &quot;CSUN Institute for Sustainabilit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1">
                    <a:extLst>
                      <a:ext uri="{28A0092B-C50C-407E-A947-70E740481C1C}">
                        <a14:useLocalDpi xmlns:a14="http://schemas.microsoft.com/office/drawing/2010/main" val="0"/>
                      </a:ext>
                    </a:extLst>
                  </a:blip>
                  <a:stretch>
                    <a:fillRect/>
                  </a:stretch>
                </pic:blipFill>
                <pic:spPr>
                  <a:xfrm>
                    <a:off x="0" y="0"/>
                    <a:ext cx="2298700" cy="393700"/>
                  </a:xfrm>
                  <a:prstGeom prst="rect">
                    <a:avLst/>
                  </a:prstGeom>
                </pic:spPr>
              </pic:pic>
            </a:graphicData>
          </a:graphic>
        </wp:anchor>
      </w:drawing>
    </w:r>
    <w:r>
      <w:tab/>
    </w:r>
  </w:p>
  <w:p w:rsidR="00EE142C" w:rsidRDefault="00EE142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0355"/>
      <w:docPartObj>
        <w:docPartGallery w:val="Page Numbers (Bottom of Page)"/>
        <w:docPartUnique/>
      </w:docPartObj>
    </w:sdtPr>
    <w:sdtContent>
      <w:p w:rsidR="00EE142C" w:rsidRDefault="00EE142C">
        <w:pPr>
          <w:pStyle w:val="Footer"/>
          <w:jc w:val="center"/>
        </w:pPr>
        <w:r>
          <w:rPr>
            <w:noProof/>
          </w:rPr>
          <mc:AlternateContent>
            <mc:Choice Requires="wps">
              <w:drawing>
                <wp:anchor distT="4294967293" distB="4294967293" distL="114300" distR="114300" simplePos="0" relativeHeight="251679744" behindDoc="0" locked="0" layoutInCell="1" allowOverlap="1" wp14:anchorId="2F73E005" wp14:editId="0B65DBD6">
                  <wp:simplePos x="0" y="0"/>
                  <wp:positionH relativeFrom="margin">
                    <wp:align>center</wp:align>
                  </wp:positionH>
                  <wp:positionV relativeFrom="paragraph">
                    <wp:posOffset>113029</wp:posOffset>
                  </wp:positionV>
                  <wp:extent cx="5715000" cy="0"/>
                  <wp:effectExtent l="0" t="0" r="19050" b="19050"/>
                  <wp:wrapNone/>
                  <wp:docPr id="79" name="AutoShape 14"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4FD67A6" id="_x0000_t32" coordsize="21600,21600" o:spt="32" o:oned="t" path="m,l21600,21600e" filled="f">
                  <v:path arrowok="t" fillok="f" o:connecttype="none"/>
                  <o:lock v:ext="edit" shapetype="t"/>
                </v:shapetype>
                <v:shape id="AutoShape 14" o:spid="_x0000_s1026" type="#_x0000_t32" alt="&quot;&quot;" style="position:absolute;margin-left:0;margin-top:8.9pt;width:450pt;height:0;z-index:251679744;visibility:visible;mso-wrap-style:square;mso-width-percent:0;mso-height-percent:0;mso-wrap-distance-left:9pt;mso-wrap-distance-top:-8e-5mm;mso-wrap-distance-right:9pt;mso-wrap-distance-bottom:-8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" strokecolor="teal" strokeweight="1.5pt">
                  <w10:wrap anchorx="margin"/>
                </v:shape>
              </w:pict>
            </mc:Fallback>
          </mc:AlternateContent>
        </w:r>
      </w:p>
      <w:p w:rsidR="00EE142C" w:rsidRDefault="00EE142C" w:rsidP="007E17EC">
        <w:pPr>
          <w:pStyle w:val="Footer"/>
          <w:tabs>
            <w:tab w:val="left" w:pos="1276"/>
          </w:tabs>
          <w:jc w:val="center"/>
        </w:pPr>
        <w:r w:rsidRPr="0089565A">
          <w:rPr>
            <w:noProof/>
            <w:color w:val="FFFFFF" w:themeColor="background1"/>
          </w:rPr>
          <w:drawing>
            <wp:anchor distT="0" distB="0" distL="114300" distR="114300" simplePos="0" relativeHeight="251681792" behindDoc="1" locked="0" layoutInCell="1" allowOverlap="1" wp14:anchorId="5DAF672C" wp14:editId="2D15F94C">
              <wp:simplePos x="0" y="0"/>
              <wp:positionH relativeFrom="column">
                <wp:posOffset>-142875</wp:posOffset>
              </wp:positionH>
              <wp:positionV relativeFrom="paragraph">
                <wp:posOffset>93980</wp:posOffset>
              </wp:positionV>
              <wp:extent cx="356870" cy="352425"/>
              <wp:effectExtent l="0" t="0" r="5080" b="9525"/>
              <wp:wrapNone/>
              <wp:docPr id="2" name="Picture 8"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ii</w:t>
        </w:r>
        <w:r w:rsidRPr="0089565A">
          <w:rPr>
            <w:color w:val="FFFFFF" w:themeColor="background1"/>
          </w:rPr>
          <w:fldChar w:fldCharType="end"/>
        </w:r>
        <w:r>
          <w:rPr>
            <w:color w:val="FFFFFF" w:themeColor="background1"/>
          </w:rPr>
          <w:tab/>
        </w:r>
        <w:r>
          <w:rPr>
            <w:color w:val="FFFFFF" w:themeColor="background1"/>
          </w:rPr>
          <w:tab/>
        </w:r>
        <w:r>
          <w:tab/>
        </w:r>
        <w:r>
          <w:tab/>
        </w:r>
        <w:r>
          <w:tab/>
        </w:r>
        <w:r>
          <w:rPr>
            <w:noProof/>
          </w:rPr>
          <w:drawing>
            <wp:inline distT="0" distB="0" distL="0" distR="0" wp14:anchorId="3F242FAC" wp14:editId="6A45AE60">
              <wp:extent cx="1828800" cy="312420"/>
              <wp:effectExtent l="0" t="0" r="0" b="0"/>
              <wp:docPr id="6" name="Picture 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p>
    </w:sdtContent>
  </w:sdt>
  <w:p w:rsidR="00EE142C" w:rsidRDefault="00EE142C">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Pr="00FF25B6" w:rsidRDefault="00EE142C" w:rsidP="00FF25B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r>
      <w:rPr>
        <w:noProof/>
      </w:rPr>
      <mc:AlternateContent>
        <mc:Choice Requires="wps">
          <w:drawing>
            <wp:anchor distT="4294967293" distB="4294967293" distL="114300" distR="114300" simplePos="0" relativeHeight="251706368" behindDoc="0" locked="0" layoutInCell="1" allowOverlap="1" wp14:anchorId="5FAA9D37" wp14:editId="2F5E1DE6">
              <wp:simplePos x="0" y="0"/>
              <wp:positionH relativeFrom="column">
                <wp:posOffset>12700</wp:posOffset>
              </wp:positionH>
              <wp:positionV relativeFrom="paragraph">
                <wp:posOffset>113664</wp:posOffset>
              </wp:positionV>
              <wp:extent cx="5715000" cy="0"/>
              <wp:effectExtent l="0" t="0" r="19050" b="19050"/>
              <wp:wrapNone/>
              <wp:docPr id="77" name="AutoShape 35"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3EE4E82" id="_x0000_t32" coordsize="21600,21600" o:spt="32" o:oned="t" path="m,l21600,21600e" filled="f">
              <v:path arrowok="t" fillok="f" o:connecttype="none"/>
              <o:lock v:ext="edit" shapetype="t"/>
            </v:shapetype>
            <v:shape id="AutoShape 35" o:spid="_x0000_s1026" type="#_x0000_t32" alt="&quot;&quot;" style="position:absolute;margin-left:1pt;margin-top:8.95pt;width:450pt;height:0;z-index:25170636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" strokecolor="teal" strokeweight="1.5pt"/>
          </w:pict>
        </mc:Fallback>
      </mc:AlternateContent>
    </w:r>
  </w:p>
  <w:p w:rsidR="00EE142C" w:rsidRDefault="00EE142C" w:rsidP="00292D79">
    <w:pPr>
      <w:pStyle w:val="Footer"/>
      <w:tabs>
        <w:tab w:val="left" w:pos="3409"/>
        <w:tab w:val="left" w:pos="3773"/>
        <w:tab w:val="left" w:pos="4047"/>
      </w:tabs>
      <w:rPr>
        <w:color w:val="FFFFFF" w:themeColor="background1"/>
      </w:rPr>
    </w:pPr>
    <w:r>
      <w:rPr>
        <w:noProof/>
      </w:rPr>
      <w:drawing>
        <wp:anchor distT="0" distB="0" distL="114300" distR="114300" simplePos="0" relativeHeight="251675647" behindDoc="1" locked="0" layoutInCell="1" allowOverlap="1" wp14:anchorId="7A7C846D" wp14:editId="15F153D8">
          <wp:simplePos x="0" y="0"/>
          <wp:positionH relativeFrom="column">
            <wp:posOffset>5509260</wp:posOffset>
          </wp:positionH>
          <wp:positionV relativeFrom="paragraph">
            <wp:posOffset>93980</wp:posOffset>
          </wp:positionV>
          <wp:extent cx="356870" cy="352425"/>
          <wp:effectExtent l="0" t="0" r="5080" b="9525"/>
          <wp:wrapNone/>
          <wp:docPr id="69" name="Picture 10"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Pr>
        <w:noProof/>
      </w:rPr>
      <w:drawing>
        <wp:inline distT="0" distB="0" distL="0" distR="0" wp14:anchorId="662A4947" wp14:editId="7F4A1164">
          <wp:extent cx="1828800" cy="312420"/>
          <wp:effectExtent l="0" t="0" r="0" b="0"/>
          <wp:docPr id="70" name="Picture 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r>
      <w:tab/>
    </w:r>
    <w:r>
      <w:tab/>
    </w:r>
    <w:r>
      <w:tab/>
    </w:r>
    <w:r>
      <w:tab/>
    </w:r>
    <w:r>
      <w:tab/>
    </w:r>
    <w:sdt>
      <w:sdtPr>
        <w:id w:val="1291093255"/>
        <w:docPartObj>
          <w:docPartGallery w:val="Page Numbers (Bottom of Page)"/>
          <w:docPartUnique/>
        </w:docPartObj>
      </w:sdtPr>
      <w:sdtEndPr>
        <w:rPr>
          <w:color w:val="FFFFFF" w:themeColor="background1"/>
        </w:rPr>
      </w:sdtEndPr>
      <w:sdtContent>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iii</w:t>
        </w:r>
        <w:r w:rsidRPr="0089565A">
          <w:rPr>
            <w:color w:val="FFFFFF" w:themeColor="background1"/>
          </w:rPr>
          <w:fldChar w:fldCharType="end"/>
        </w:r>
      </w:sdtContent>
    </w:sdt>
  </w:p>
  <w:p w:rsidR="00EE142C" w:rsidRPr="00292D79" w:rsidRDefault="00EE142C" w:rsidP="00292D79">
    <w:pPr>
      <w:pStyle w:val="Footer"/>
      <w:tabs>
        <w:tab w:val="left" w:pos="3773"/>
      </w:tabs>
      <w:rPr>
        <w:color w:val="FFFFFF" w:themeColor="background1"/>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9363059"/>
      <w:docPartObj>
        <w:docPartGallery w:val="Page Numbers (Bottom of Page)"/>
        <w:docPartUnique/>
      </w:docPartObj>
    </w:sdtPr>
    <w:sdtContent>
      <w:p w:rsidR="00EE142C" w:rsidRDefault="00EE142C">
        <w:pPr>
          <w:pStyle w:val="Footer"/>
          <w:jc w:val="center"/>
        </w:pPr>
        <w:r>
          <w:rPr>
            <w:noProof/>
          </w:rPr>
          <mc:AlternateContent>
            <mc:Choice Requires="wps">
              <w:drawing>
                <wp:anchor distT="4294967293" distB="4294967293" distL="114300" distR="114300" simplePos="0" relativeHeight="251831296" behindDoc="0" locked="0" layoutInCell="1" allowOverlap="1" wp14:anchorId="0D0561DD" wp14:editId="22881355">
                  <wp:simplePos x="0" y="0"/>
                  <wp:positionH relativeFrom="margin">
                    <wp:align>center</wp:align>
                  </wp:positionH>
                  <wp:positionV relativeFrom="paragraph">
                    <wp:posOffset>113029</wp:posOffset>
                  </wp:positionV>
                  <wp:extent cx="5715000" cy="0"/>
                  <wp:effectExtent l="0" t="0" r="19050" b="19050"/>
                  <wp:wrapNone/>
                  <wp:docPr id="71" name="AutoShape 14"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4412351" id="_x0000_t32" coordsize="21600,21600" o:spt="32" o:oned="t" path="m,l21600,21600e" filled="f">
                  <v:path arrowok="t" fillok="f" o:connecttype="none"/>
                  <o:lock v:ext="edit" shapetype="t"/>
                </v:shapetype>
                <v:shape id="AutoShape 14" o:spid="_x0000_s1026" type="#_x0000_t32" alt="&quot;&quot;" style="position:absolute;margin-left:0;margin-top:8.9pt;width:450pt;height:0;z-index:251831296;visibility:visible;mso-wrap-style:square;mso-width-percent:0;mso-height-percent:0;mso-wrap-distance-left:9pt;mso-wrap-distance-top:-8e-5mm;mso-wrap-distance-right:9pt;mso-wrap-distance-bottom:-8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" strokecolor="teal" strokeweight="1.5pt">
                  <w10:wrap anchorx="margin"/>
                </v:shape>
              </w:pict>
            </mc:Fallback>
          </mc:AlternateContent>
        </w:r>
      </w:p>
      <w:p w:rsidR="00EE142C" w:rsidRDefault="00EE142C" w:rsidP="00E07920">
        <w:pPr>
          <w:pStyle w:val="Footer"/>
          <w:tabs>
            <w:tab w:val="left" w:pos="1276"/>
          </w:tabs>
          <w:jc w:val="center"/>
        </w:pPr>
        <w:r w:rsidRPr="0089565A">
          <w:rPr>
            <w:noProof/>
            <w:color w:val="FFFFFF" w:themeColor="background1"/>
          </w:rPr>
          <w:drawing>
            <wp:anchor distT="0" distB="0" distL="114300" distR="114300" simplePos="0" relativeHeight="251832320" behindDoc="1" locked="0" layoutInCell="1" allowOverlap="1" wp14:anchorId="595A789F" wp14:editId="7ED2564E">
              <wp:simplePos x="0" y="0"/>
              <wp:positionH relativeFrom="column">
                <wp:posOffset>-133350</wp:posOffset>
              </wp:positionH>
              <wp:positionV relativeFrom="paragraph">
                <wp:posOffset>92075</wp:posOffset>
              </wp:positionV>
              <wp:extent cx="356870" cy="352425"/>
              <wp:effectExtent l="0" t="0" r="5080" b="9525"/>
              <wp:wrapNone/>
              <wp:docPr id="138" name="Picture 8"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10</w:t>
        </w:r>
        <w:r w:rsidRPr="0089565A">
          <w:rPr>
            <w:color w:val="FFFFFF" w:themeColor="background1"/>
          </w:rPr>
          <w:fldChar w:fldCharType="end"/>
        </w:r>
        <w:r>
          <w:rPr>
            <w:color w:val="FFFFFF" w:themeColor="background1"/>
          </w:rPr>
          <w:tab/>
        </w:r>
        <w:r>
          <w:rPr>
            <w:color w:val="FFFFFF" w:themeColor="background1"/>
          </w:rPr>
          <w:tab/>
        </w:r>
        <w:r>
          <w:tab/>
        </w:r>
        <w:r>
          <w:tab/>
        </w:r>
        <w:r>
          <w:tab/>
        </w:r>
        <w:r>
          <w:rPr>
            <w:noProof/>
          </w:rPr>
          <w:drawing>
            <wp:inline distT="0" distB="0" distL="0" distR="0" wp14:anchorId="3943EACD" wp14:editId="7D938BFE">
              <wp:extent cx="1828800" cy="312420"/>
              <wp:effectExtent l="0" t="0" r="0" b="0"/>
              <wp:docPr id="139" name="Picture 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r>
      <w:rPr>
        <w:noProof/>
      </w:rPr>
      <mc:AlternateContent>
        <mc:Choice Requires="wps">
          <w:drawing>
            <wp:anchor distT="4294967293" distB="4294967293" distL="114300" distR="114300" simplePos="0" relativeHeight="251930624" behindDoc="0" locked="0" layoutInCell="1" allowOverlap="1" wp14:anchorId="040934D7" wp14:editId="703CC7DC">
              <wp:simplePos x="0" y="0"/>
              <wp:positionH relativeFrom="column">
                <wp:posOffset>12700</wp:posOffset>
              </wp:positionH>
              <wp:positionV relativeFrom="paragraph">
                <wp:posOffset>113664</wp:posOffset>
              </wp:positionV>
              <wp:extent cx="5715000" cy="0"/>
              <wp:effectExtent l="0" t="0" r="19050" b="19050"/>
              <wp:wrapNone/>
              <wp:docPr id="142" name="AutoShape 35"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472FB23" id="_x0000_t32" coordsize="21600,21600" o:spt="32" o:oned="t" path="m,l21600,21600e" filled="f">
              <v:path arrowok="t" fillok="f" o:connecttype="none"/>
              <o:lock v:ext="edit" shapetype="t"/>
            </v:shapetype>
            <v:shape id="AutoShape 35" o:spid="_x0000_s1026" type="#_x0000_t32" alt="&quot;&quot;" style="position:absolute;margin-left:1pt;margin-top:8.95pt;width:450pt;height:0;z-index:25193062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" strokecolor="teal" strokeweight="1.5pt"/>
          </w:pict>
        </mc:Fallback>
      </mc:AlternateContent>
    </w:r>
  </w:p>
  <w:p w:rsidR="00EE142C" w:rsidRDefault="00EE142C" w:rsidP="00292D79">
    <w:pPr>
      <w:pStyle w:val="Footer"/>
      <w:tabs>
        <w:tab w:val="left" w:pos="3409"/>
        <w:tab w:val="left" w:pos="3773"/>
        <w:tab w:val="left" w:pos="4047"/>
      </w:tabs>
      <w:rPr>
        <w:color w:val="FFFFFF" w:themeColor="background1"/>
      </w:rPr>
    </w:pPr>
    <w:r>
      <w:rPr>
        <w:noProof/>
      </w:rPr>
      <w:drawing>
        <wp:anchor distT="0" distB="0" distL="114300" distR="114300" simplePos="0" relativeHeight="251929600" behindDoc="1" locked="0" layoutInCell="1" allowOverlap="1" wp14:anchorId="66CC461F" wp14:editId="45AAEF33">
          <wp:simplePos x="0" y="0"/>
          <wp:positionH relativeFrom="column">
            <wp:posOffset>5486400</wp:posOffset>
          </wp:positionH>
          <wp:positionV relativeFrom="paragraph">
            <wp:posOffset>93980</wp:posOffset>
          </wp:positionV>
          <wp:extent cx="356870" cy="352425"/>
          <wp:effectExtent l="0" t="0" r="5080" b="9525"/>
          <wp:wrapNone/>
          <wp:docPr id="143" name="Picture 10"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Pr>
        <w:noProof/>
      </w:rPr>
      <w:drawing>
        <wp:inline distT="0" distB="0" distL="0" distR="0" wp14:anchorId="49A74C7F" wp14:editId="322E7D3A">
          <wp:extent cx="1828800" cy="312420"/>
          <wp:effectExtent l="0" t="0" r="0" b="0"/>
          <wp:docPr id="144" name="Picture 14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r>
      <w:tab/>
    </w:r>
    <w:r>
      <w:tab/>
    </w:r>
    <w:r>
      <w:tab/>
    </w:r>
    <w:r>
      <w:tab/>
    </w:r>
    <w:r>
      <w:tab/>
    </w:r>
    <w:sdt>
      <w:sdtPr>
        <w:id w:val="707377540"/>
        <w:docPartObj>
          <w:docPartGallery w:val="Page Numbers (Bottom of Page)"/>
          <w:docPartUnique/>
        </w:docPartObj>
      </w:sdtPr>
      <w:sdtEndPr>
        <w:rPr>
          <w:color w:val="FFFFFF" w:themeColor="background1"/>
        </w:rPr>
      </w:sdtEndPr>
      <w:sdtContent>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9</w:t>
        </w:r>
        <w:r w:rsidRPr="0089565A">
          <w:rPr>
            <w:color w:val="FFFFFF" w:themeColor="background1"/>
          </w:rPr>
          <w:fldChar w:fldCharType="end"/>
        </w:r>
      </w:sdtContent>
    </w:sdt>
  </w:p>
  <w:p w:rsidR="00EE142C" w:rsidRPr="00292D79" w:rsidRDefault="00EE142C" w:rsidP="00292D79">
    <w:pPr>
      <w:pStyle w:val="Footer"/>
      <w:tabs>
        <w:tab w:val="left" w:pos="3773"/>
      </w:tabs>
      <w:rPr>
        <w:color w:val="FFFFFF" w:themeColor="background1"/>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763148"/>
      <w:docPartObj>
        <w:docPartGallery w:val="Page Numbers (Bottom of Page)"/>
        <w:docPartUnique/>
      </w:docPartObj>
    </w:sdtPr>
    <w:sdtContent>
      <w:p w:rsidR="00EE142C" w:rsidRDefault="00EE142C">
        <w:pPr>
          <w:pStyle w:val="Footer"/>
          <w:jc w:val="center"/>
        </w:pPr>
        <w:r>
          <w:rPr>
            <w:noProof/>
          </w:rPr>
          <mc:AlternateContent>
            <mc:Choice Requires="wps">
              <w:drawing>
                <wp:anchor distT="4294967293" distB="4294967293" distL="114300" distR="114300" simplePos="0" relativeHeight="251849728" behindDoc="0" locked="0" layoutInCell="1" allowOverlap="1" wp14:anchorId="2AF34338" wp14:editId="516683B9">
                  <wp:simplePos x="0" y="0"/>
                  <wp:positionH relativeFrom="margin">
                    <wp:align>center</wp:align>
                  </wp:positionH>
                  <wp:positionV relativeFrom="paragraph">
                    <wp:posOffset>113029</wp:posOffset>
                  </wp:positionV>
                  <wp:extent cx="5715000" cy="0"/>
                  <wp:effectExtent l="0" t="0" r="19050" b="19050"/>
                  <wp:wrapNone/>
                  <wp:docPr id="66" name="AutoShape 14"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CAC7965" id="_x0000_t32" coordsize="21600,21600" o:spt="32" o:oned="t" path="m,l21600,21600e" filled="f">
                  <v:path arrowok="t" fillok="f" o:connecttype="none"/>
                  <o:lock v:ext="edit" shapetype="t"/>
                </v:shapetype>
                <v:shape id="AutoShape 14" o:spid="_x0000_s1026" type="#_x0000_t32" alt="&quot;&quot;" style="position:absolute;margin-left:0;margin-top:8.9pt;width:450pt;height:0;z-index:251849728;visibility:visible;mso-wrap-style:square;mso-width-percent:0;mso-height-percent:0;mso-wrap-distance-left:9pt;mso-wrap-distance-top:-8e-5mm;mso-wrap-distance-right:9pt;mso-wrap-distance-bottom:-8e-5mm;mso-position-horizontal:center;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" strokecolor="teal" strokeweight="1.5pt">
                  <w10:wrap anchorx="margin"/>
                </v:shape>
              </w:pict>
            </mc:Fallback>
          </mc:AlternateContent>
        </w:r>
      </w:p>
      <w:p w:rsidR="00EE142C" w:rsidRDefault="00EE142C" w:rsidP="007E17EC">
        <w:pPr>
          <w:pStyle w:val="Footer"/>
          <w:tabs>
            <w:tab w:val="left" w:pos="1276"/>
          </w:tabs>
          <w:jc w:val="center"/>
        </w:pPr>
        <w:r w:rsidRPr="0089565A">
          <w:rPr>
            <w:noProof/>
            <w:color w:val="FFFFFF" w:themeColor="background1"/>
          </w:rPr>
          <w:drawing>
            <wp:anchor distT="0" distB="0" distL="114300" distR="114300" simplePos="0" relativeHeight="251659264" behindDoc="1" locked="0" layoutInCell="1" allowOverlap="1" wp14:anchorId="64D83BE1" wp14:editId="567E0140">
              <wp:simplePos x="0" y="0"/>
              <wp:positionH relativeFrom="column">
                <wp:posOffset>-104775</wp:posOffset>
              </wp:positionH>
              <wp:positionV relativeFrom="paragraph">
                <wp:posOffset>92075</wp:posOffset>
              </wp:positionV>
              <wp:extent cx="356870" cy="352425"/>
              <wp:effectExtent l="0" t="0" r="5080" b="9525"/>
              <wp:wrapNone/>
              <wp:docPr id="58" name="Picture 8"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44</w:t>
        </w:r>
        <w:r w:rsidRPr="0089565A">
          <w:rPr>
            <w:color w:val="FFFFFF" w:themeColor="background1"/>
          </w:rPr>
          <w:fldChar w:fldCharType="end"/>
        </w:r>
        <w:r>
          <w:rPr>
            <w:color w:val="FFFFFF" w:themeColor="background1"/>
          </w:rPr>
          <w:tab/>
        </w:r>
        <w:r>
          <w:rPr>
            <w:color w:val="FFFFFF" w:themeColor="background1"/>
          </w:rPr>
          <w:tab/>
        </w:r>
        <w:r>
          <w:tab/>
        </w:r>
        <w:r>
          <w:tab/>
        </w:r>
        <w:r>
          <w:tab/>
        </w:r>
        <w:r>
          <w:rPr>
            <w:noProof/>
          </w:rPr>
          <w:drawing>
            <wp:inline distT="0" distB="0" distL="0" distR="0" wp14:anchorId="6AD2639D" wp14:editId="244480A3">
              <wp:extent cx="1828800" cy="312420"/>
              <wp:effectExtent l="0" t="0" r="0" b="0"/>
              <wp:docPr id="59" name="Picture 6"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p>
    </w:sdtContent>
  </w:sdt>
  <w:p w:rsidR="00EE142C" w:rsidRDefault="00EE142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Footer"/>
    </w:pPr>
    <w:r>
      <w:rPr>
        <w:noProof/>
      </w:rPr>
      <mc:AlternateContent>
        <mc:Choice Requires="wps">
          <w:drawing>
            <wp:anchor distT="4294967293" distB="4294967293" distL="114300" distR="114300" simplePos="0" relativeHeight="251847680" behindDoc="0" locked="0" layoutInCell="1" allowOverlap="1" wp14:anchorId="6BB63C26" wp14:editId="492E7EC2">
              <wp:simplePos x="0" y="0"/>
              <wp:positionH relativeFrom="column">
                <wp:posOffset>12700</wp:posOffset>
              </wp:positionH>
              <wp:positionV relativeFrom="paragraph">
                <wp:posOffset>113664</wp:posOffset>
              </wp:positionV>
              <wp:extent cx="5715000" cy="0"/>
              <wp:effectExtent l="0" t="0" r="19050" b="19050"/>
              <wp:wrapNone/>
              <wp:docPr id="65" name="AutoShape 35"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19050">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5399506" id="_x0000_t32" coordsize="21600,21600" o:spt="32" o:oned="t" path="m,l21600,21600e" filled="f">
              <v:path arrowok="t" fillok="f" o:connecttype="none"/>
              <o:lock v:ext="edit" shapetype="t"/>
            </v:shapetype>
            <v:shape id="AutoShape 35" o:spid="_x0000_s1026" type="#_x0000_t32" alt="&quot;&quot;" style="position:absolute;margin-left:1pt;margin-top:8.95pt;width:450pt;height:0;z-index:25184768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" strokecolor="teal" strokeweight="1.5pt"/>
          </w:pict>
        </mc:Fallback>
      </mc:AlternateContent>
    </w:r>
  </w:p>
  <w:p w:rsidR="00EE142C" w:rsidRDefault="00EE142C" w:rsidP="00292D79">
    <w:pPr>
      <w:pStyle w:val="Footer"/>
      <w:tabs>
        <w:tab w:val="left" w:pos="3409"/>
        <w:tab w:val="left" w:pos="3773"/>
        <w:tab w:val="left" w:pos="4047"/>
      </w:tabs>
      <w:rPr>
        <w:color w:val="FFFFFF" w:themeColor="background1"/>
      </w:rPr>
    </w:pPr>
    <w:r>
      <w:rPr>
        <w:noProof/>
      </w:rPr>
      <w:drawing>
        <wp:anchor distT="0" distB="0" distL="114300" distR="114300" simplePos="0" relativeHeight="251657216" behindDoc="1" locked="0" layoutInCell="1" allowOverlap="1" wp14:anchorId="17C1A32F" wp14:editId="7A9DF938">
          <wp:simplePos x="0" y="0"/>
          <wp:positionH relativeFrom="column">
            <wp:posOffset>5467350</wp:posOffset>
          </wp:positionH>
          <wp:positionV relativeFrom="paragraph">
            <wp:posOffset>92075</wp:posOffset>
          </wp:positionV>
          <wp:extent cx="356870" cy="352425"/>
          <wp:effectExtent l="0" t="0" r="5080" b="9525"/>
          <wp:wrapNone/>
          <wp:docPr id="56" name="Picture 10" descr="&quot;&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
                  <a:srcRect/>
                  <a:stretch>
                    <a:fillRect/>
                  </a:stretch>
                </pic:blipFill>
                <pic:spPr bwMode="auto">
                  <a:xfrm>
                    <a:off x="0" y="0"/>
                    <a:ext cx="356870" cy="352425"/>
                  </a:xfrm>
                  <a:prstGeom prst="rect">
                    <a:avLst/>
                  </a:prstGeom>
                  <a:noFill/>
                  <a:ln w="9525">
                    <a:noFill/>
                    <a:miter lim="800000"/>
                    <a:headEnd/>
                    <a:tailEnd/>
                  </a:ln>
                </pic:spPr>
              </pic:pic>
            </a:graphicData>
          </a:graphic>
        </wp:anchor>
      </w:drawing>
    </w:r>
    <w:r>
      <w:rPr>
        <w:noProof/>
      </w:rPr>
      <w:drawing>
        <wp:inline distT="0" distB="0" distL="0" distR="0" wp14:anchorId="196ECD8F" wp14:editId="4AD0B64C">
          <wp:extent cx="1828800" cy="312420"/>
          <wp:effectExtent l="0" t="0" r="0" b="0"/>
          <wp:docPr id="57" name="Picture 70"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_Horizontal_Red_Black.eps"/>
                  <pic:cNvPicPr/>
                </pic:nvPicPr>
                <pic:blipFill>
                  <a:blip r:embed="rId2">
                    <a:extLst>
                      <a:ext uri="{28A0092B-C50C-407E-A947-70E740481C1C}">
                        <a14:useLocalDpi xmlns:a14="http://schemas.microsoft.com/office/drawing/2010/main" val="0"/>
                      </a:ext>
                    </a:extLst>
                  </a:blip>
                  <a:stretch>
                    <a:fillRect/>
                  </a:stretch>
                </pic:blipFill>
                <pic:spPr>
                  <a:xfrm>
                    <a:off x="0" y="0"/>
                    <a:ext cx="1828800" cy="312420"/>
                  </a:xfrm>
                  <a:prstGeom prst="rect">
                    <a:avLst/>
                  </a:prstGeom>
                </pic:spPr>
              </pic:pic>
            </a:graphicData>
          </a:graphic>
        </wp:inline>
      </w:drawing>
    </w:r>
    <w:r>
      <w:tab/>
    </w:r>
    <w:r>
      <w:tab/>
    </w:r>
    <w:r>
      <w:tab/>
    </w:r>
    <w:r>
      <w:tab/>
    </w:r>
    <w:r>
      <w:tab/>
    </w:r>
    <w:sdt>
      <w:sdtPr>
        <w:id w:val="168763146"/>
        <w:docPartObj>
          <w:docPartGallery w:val="Page Numbers (Bottom of Page)"/>
          <w:docPartUnique/>
        </w:docPartObj>
      </w:sdtPr>
      <w:sdtEndPr>
        <w:rPr>
          <w:color w:val="FFFFFF" w:themeColor="background1"/>
        </w:rPr>
      </w:sdtEndPr>
      <w:sdtContent>
        <w:r w:rsidRPr="0089565A">
          <w:rPr>
            <w:color w:val="FFFFFF" w:themeColor="background1"/>
          </w:rPr>
          <w:fldChar w:fldCharType="begin"/>
        </w:r>
        <w:r w:rsidRPr="0089565A">
          <w:rPr>
            <w:color w:val="FFFFFF" w:themeColor="background1"/>
          </w:rPr>
          <w:instrText xml:space="preserve"> PAGE   \* MERGEFORMAT </w:instrText>
        </w:r>
        <w:r w:rsidRPr="0089565A">
          <w:rPr>
            <w:color w:val="FFFFFF" w:themeColor="background1"/>
          </w:rPr>
          <w:fldChar w:fldCharType="separate"/>
        </w:r>
        <w:r w:rsidR="00F92D67">
          <w:rPr>
            <w:noProof/>
            <w:color w:val="FFFFFF" w:themeColor="background1"/>
          </w:rPr>
          <w:t>45</w:t>
        </w:r>
        <w:r w:rsidRPr="0089565A">
          <w:rPr>
            <w:color w:val="FFFFFF" w:themeColor="background1"/>
          </w:rPr>
          <w:fldChar w:fldCharType="end"/>
        </w:r>
      </w:sdtContent>
    </w:sdt>
  </w:p>
  <w:p w:rsidR="00EE142C" w:rsidRPr="00292D79" w:rsidRDefault="00EE142C" w:rsidP="001A7E11">
    <w:pPr>
      <w:pStyle w:val="Footer"/>
      <w:tabs>
        <w:tab w:val="left" w:pos="3773"/>
      </w:tabs>
      <w:jc w:val="right"/>
      <w:rPr>
        <w:color w:val="FFFFFF" w:themeColor="background1"/>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668CF" w:rsidRDefault="007668CF" w:rsidP="00CE1AEC">
      <w:pPr>
        <w:spacing w:line="240" w:lineRule="auto"/>
      </w:pPr>
      <w:r>
        <w:separator/>
      </w:r>
    </w:p>
  </w:footnote>
  <w:footnote w:type="continuationSeparator" w:id="0">
    <w:p w:rsidR="007668CF" w:rsidRDefault="007668CF" w:rsidP="00CE1AEC">
      <w:pPr>
        <w:spacing w:line="240" w:lineRule="auto"/>
      </w:pPr>
      <w:r>
        <w:continuationSeparator/>
      </w:r>
    </w:p>
  </w:footnote>
  <w:footnote w:id="1">
    <w:p w:rsidR="00EE142C" w:rsidRDefault="00EE142C">
      <w:pPr>
        <w:pStyle w:val="FootnoteText"/>
      </w:pPr>
      <w:r>
        <w:rPr>
          <w:rStyle w:val="FootnoteReference"/>
        </w:rPr>
        <w:footnoteRef/>
      </w:r>
      <w:r>
        <w:t xml:space="preserve"> </w:t>
      </w:r>
      <w:hyperlink r:id="rId1" w:tooltip="CSUN's 2013 Sustainability Plan" w:history="1">
        <w:r w:rsidRPr="007126A9">
          <w:rPr>
            <w:rStyle w:val="Hyperlink"/>
          </w:rPr>
          <w:t>http://www.csun.edu/sites/default/files/CSUN_Sust_Plan-</w:t>
        </w:r>
        <w:r w:rsidRPr="007126A9">
          <w:rPr>
            <w:rStyle w:val="Hyperlink"/>
          </w:rPr>
          <w:t>m</w:t>
        </w:r>
        <w:r w:rsidRPr="007126A9">
          <w:rPr>
            <w:rStyle w:val="Hyperlink"/>
          </w:rPr>
          <w:t>.pdf</w:t>
        </w:r>
      </w:hyperlink>
    </w:p>
  </w:footnote>
  <w:footnote w:id="2">
    <w:p w:rsidR="00EE142C" w:rsidRDefault="00EE142C">
      <w:pPr>
        <w:pStyle w:val="FootnoteText"/>
      </w:pPr>
      <w:r>
        <w:rPr>
          <w:rStyle w:val="FootnoteReference"/>
        </w:rPr>
        <w:footnoteRef/>
      </w:r>
      <w:r>
        <w:t xml:space="preserve"> Climate Change 2013: The Physical Science Basis, Intergovernmental Panel on Climate Change</w:t>
      </w:r>
    </w:p>
  </w:footnote>
  <w:footnote w:id="3">
    <w:p w:rsidR="00EE142C" w:rsidRDefault="00EE142C">
      <w:pPr>
        <w:pStyle w:val="FootnoteText"/>
      </w:pPr>
      <w:r>
        <w:rPr>
          <w:rStyle w:val="FootnoteReference"/>
        </w:rPr>
        <w:footnoteRef/>
      </w:r>
      <w:r>
        <w:t xml:space="preserve"> Mark </w:t>
      </w:r>
      <w:proofErr w:type="spellStart"/>
      <w:r>
        <w:t>Lynas</w:t>
      </w:r>
      <w:proofErr w:type="spellEnd"/>
      <w:r>
        <w:t xml:space="preserve">, Six Degrees, </w:t>
      </w:r>
      <w:r w:rsidRPr="00283B25">
        <w:t>National Geographic (October 7, 2008)</w:t>
      </w:r>
      <w:r>
        <w:t>, p336.</w:t>
      </w:r>
    </w:p>
  </w:footnote>
  <w:footnote w:id="4">
    <w:p w:rsidR="00EE142C" w:rsidRDefault="00EE142C">
      <w:pPr>
        <w:pStyle w:val="FootnoteText"/>
      </w:pPr>
      <w:r>
        <w:rPr>
          <w:rStyle w:val="FootnoteReference"/>
        </w:rPr>
        <w:footnoteRef/>
      </w:r>
      <w:r>
        <w:t xml:space="preserve"> </w:t>
      </w:r>
      <w:r w:rsidRPr="00283B25">
        <w:t>Willis</w:t>
      </w:r>
      <w:r>
        <w:t xml:space="preserve"> and</w:t>
      </w:r>
      <w:r w:rsidRPr="00283B25">
        <w:t xml:space="preserve"> Church (Science</w:t>
      </w:r>
      <w:r>
        <w:t>,</w:t>
      </w:r>
      <w:r w:rsidRPr="00283B25">
        <w:t> 4 May 2012: Vol. 336 no. 6081 pp. 550-551</w:t>
      </w:r>
      <w:r>
        <w:t>.)</w:t>
      </w:r>
    </w:p>
  </w:footnote>
  <w:footnote w:id="5">
    <w:p w:rsidR="00EE142C" w:rsidRDefault="00EE142C" w:rsidP="008D185B">
      <w:pPr>
        <w:pStyle w:val="FootnoteText"/>
      </w:pPr>
      <w:r>
        <w:rPr>
          <w:rStyle w:val="FootnoteReference"/>
        </w:rPr>
        <w:footnoteRef/>
      </w:r>
      <w:r>
        <w:t xml:space="preserve"> UCLA Center for Climate Change Solutions, 2012</w:t>
      </w:r>
    </w:p>
  </w:footnote>
  <w:footnote w:id="6">
    <w:p w:rsidR="00EE142C" w:rsidRDefault="00EE142C" w:rsidP="00765F2B">
      <w:pPr>
        <w:pStyle w:val="FootnoteText"/>
      </w:pPr>
      <w:r>
        <w:rPr>
          <w:rStyle w:val="FootnoteReference"/>
        </w:rPr>
        <w:footnoteRef/>
      </w:r>
      <w:r>
        <w:t xml:space="preserve"> </w:t>
      </w:r>
      <w:hyperlink r:id="rId2" w:tooltip="A journal article titled &quot;Sea-Level Rise for the Coasts of California, Oregon, and Washington&quot;" w:history="1">
        <w:r w:rsidRPr="007126A9">
          <w:rPr>
            <w:rStyle w:val="Hyperlink"/>
          </w:rPr>
          <w:t>http://www.nap.edu/catalog/13389/sea-level-rise-for-the-coasts-of-california-oreg</w:t>
        </w:r>
        <w:r w:rsidRPr="007126A9">
          <w:rPr>
            <w:rStyle w:val="Hyperlink"/>
          </w:rPr>
          <w:t>o</w:t>
        </w:r>
        <w:r w:rsidRPr="007126A9">
          <w:rPr>
            <w:rStyle w:val="Hyperlink"/>
          </w:rPr>
          <w:t>n-and-washington</w:t>
        </w:r>
      </w:hyperlink>
    </w:p>
  </w:footnote>
  <w:footnote w:id="7">
    <w:p w:rsidR="00EE142C" w:rsidRDefault="00EE142C" w:rsidP="00765F2B">
      <w:pPr>
        <w:pStyle w:val="FootnoteText"/>
      </w:pPr>
      <w:r>
        <w:rPr>
          <w:rStyle w:val="FootnoteReference"/>
        </w:rPr>
        <w:footnoteRef/>
      </w:r>
      <w:r>
        <w:t xml:space="preserve"> </w:t>
      </w:r>
      <w:hyperlink r:id="rId3" w:history="1">
        <w:r w:rsidRPr="007126A9">
          <w:rPr>
            <w:rStyle w:val="Hyperlink"/>
          </w:rPr>
          <w:t>http://www.calepa.ca.gov/pressroom/Releases/20</w:t>
        </w:r>
        <w:r w:rsidRPr="007126A9">
          <w:rPr>
            <w:rStyle w:val="Hyperlink"/>
          </w:rPr>
          <w:t>1</w:t>
        </w:r>
        <w:r w:rsidRPr="007126A9">
          <w:rPr>
            <w:rStyle w:val="Hyperlink"/>
          </w:rPr>
          <w:t>3/Climat</w:t>
        </w:r>
        <w:r w:rsidRPr="007126A9">
          <w:rPr>
            <w:rStyle w:val="Hyperlink"/>
          </w:rPr>
          <w:t>e</w:t>
        </w:r>
        <w:r w:rsidRPr="007126A9">
          <w:rPr>
            <w:rStyle w:val="Hyperlink"/>
          </w:rPr>
          <w:t>Rpt.pdf</w:t>
        </w:r>
      </w:hyperlink>
    </w:p>
  </w:footnote>
  <w:footnote w:id="8">
    <w:p w:rsidR="00EE142C" w:rsidRDefault="00EE142C">
      <w:pPr>
        <w:pStyle w:val="FootnoteText"/>
      </w:pPr>
      <w:r>
        <w:rPr>
          <w:rStyle w:val="FootnoteReference"/>
        </w:rPr>
        <w:footnoteRef/>
      </w:r>
      <w:r>
        <w:t xml:space="preserve"> IPCC Report on Climate Change 2013.</w:t>
      </w:r>
    </w:p>
  </w:footnote>
  <w:footnote w:id="9">
    <w:p w:rsidR="00EE142C" w:rsidRDefault="00EE142C">
      <w:pPr>
        <w:pStyle w:val="FootnoteText"/>
      </w:pPr>
      <w:r>
        <w:rPr>
          <w:rStyle w:val="FootnoteReference"/>
        </w:rPr>
        <w:footnoteRef/>
      </w:r>
      <w:r>
        <w:t xml:space="preserve"> </w:t>
      </w:r>
      <w:hyperlink r:id="rId4" w:tooltip="CSUN's 1990-2013 greenhouse gas emissions report." w:history="1">
        <w:r w:rsidRPr="007126A9">
          <w:rPr>
            <w:rStyle w:val="Hyperlink"/>
          </w:rPr>
          <w:t>http://www.csun.edu/sites/default/files/CSUN_G</w:t>
        </w:r>
        <w:r w:rsidRPr="007126A9">
          <w:rPr>
            <w:rStyle w:val="Hyperlink"/>
          </w:rPr>
          <w:t>H</w:t>
        </w:r>
        <w:r w:rsidRPr="007126A9">
          <w:rPr>
            <w:rStyle w:val="Hyperlink"/>
          </w:rPr>
          <w:t>G_report_final-Web-Version-Jan-12-2015-m.pdf</w:t>
        </w:r>
      </w:hyperlink>
    </w:p>
  </w:footnote>
  <w:footnote w:id="10">
    <w:p w:rsidR="00EE142C" w:rsidRDefault="00EE142C">
      <w:pPr>
        <w:pStyle w:val="FootnoteText"/>
      </w:pPr>
      <w:r>
        <w:rPr>
          <w:rStyle w:val="FootnoteReference"/>
        </w:rPr>
        <w:footnoteRef/>
      </w:r>
      <w:r>
        <w:t xml:space="preserve"> </w:t>
      </w:r>
      <w:hyperlink r:id="rId5" w:tooltip="CSUN's energy report for 1990 to 2011" w:history="1">
        <w:r w:rsidRPr="007126A9">
          <w:rPr>
            <w:rStyle w:val="Hyperlink"/>
          </w:rPr>
          <w:t>http://www.csun.edu/sites/default/files/Energy_Report_fin</w:t>
        </w:r>
        <w:r w:rsidRPr="007126A9">
          <w:rPr>
            <w:rStyle w:val="Hyperlink"/>
          </w:rPr>
          <w:t>a</w:t>
        </w:r>
        <w:r w:rsidRPr="007126A9">
          <w:rPr>
            <w:rStyle w:val="Hyperlink"/>
          </w:rPr>
          <w:t>l-m.pdf</w:t>
        </w:r>
      </w:hyperlink>
    </w:p>
  </w:footnote>
  <w:footnote w:id="11">
    <w:p w:rsidR="00EE142C" w:rsidRDefault="00EE142C">
      <w:pPr>
        <w:pStyle w:val="FootnoteText"/>
      </w:pPr>
      <w:r>
        <w:rPr>
          <w:rStyle w:val="FootnoteReference"/>
        </w:rPr>
        <w:footnoteRef/>
      </w:r>
      <w:r>
        <w:t xml:space="preserve"> </w:t>
      </w:r>
      <w:hyperlink r:id="rId6" w:tooltip="LADWP's 2017 power strategic long-term resource plan." w:history="1">
        <w:r w:rsidRPr="00530ECB">
          <w:rPr>
            <w:rStyle w:val="Hyperlink"/>
          </w:rPr>
          <w:t>https://www.ladwp.com/ladwp/faces/wcnav_externalId/</w:t>
        </w:r>
        <w:r w:rsidRPr="00530ECB">
          <w:rPr>
            <w:rStyle w:val="Hyperlink"/>
          </w:rPr>
          <w:t>a</w:t>
        </w:r>
        <w:r w:rsidRPr="00530ECB">
          <w:rPr>
            <w:rStyle w:val="Hyperlink"/>
          </w:rPr>
          <w:t>-p-doc?_adf.ctrl-state=r1wlftn8v_4&amp;_afrLoop=43721225950530</w:t>
        </w:r>
      </w:hyperlink>
    </w:p>
  </w:footnote>
  <w:footnote w:id="12">
    <w:p w:rsidR="00EE142C" w:rsidRDefault="00EE142C" w:rsidP="00BF27B8">
      <w:pPr>
        <w:pStyle w:val="FootnoteText"/>
      </w:pPr>
      <w:r>
        <w:rPr>
          <w:rStyle w:val="FootnoteReference"/>
        </w:rPr>
        <w:footnoteRef/>
      </w:r>
      <w:r>
        <w:t xml:space="preserve"> </w:t>
      </w:r>
      <w:hyperlink r:id="rId7" w:tooltip="EPA website on transportation, air pollution, and climate change" w:history="1">
        <w:r w:rsidRPr="00606F6E">
          <w:rPr>
            <w:rStyle w:val="Hyperlink"/>
          </w:rPr>
          <w:t>http://www3.epa.gov/otaq/climate/docume</w:t>
        </w:r>
        <w:r w:rsidRPr="00606F6E">
          <w:rPr>
            <w:rStyle w:val="Hyperlink"/>
          </w:rPr>
          <w:t>n</w:t>
        </w:r>
        <w:r w:rsidRPr="00606F6E">
          <w:rPr>
            <w:rStyle w:val="Hyperlink"/>
          </w:rPr>
          <w:t>ts/420f12051.pdf</w:t>
        </w:r>
      </w:hyperlink>
    </w:p>
  </w:footnote>
  <w:footnote w:id="13">
    <w:p w:rsidR="00EE142C" w:rsidRDefault="00EE142C" w:rsidP="00C37329">
      <w:pPr>
        <w:pStyle w:val="FootnoteText"/>
      </w:pPr>
      <w:r>
        <w:rPr>
          <w:rStyle w:val="FootnoteReference"/>
        </w:rPr>
        <w:footnoteRef/>
      </w:r>
      <w:r>
        <w:t xml:space="preserve"> Personal communication</w:t>
      </w:r>
    </w:p>
  </w:footnote>
  <w:footnote w:id="14">
    <w:p w:rsidR="00EE142C" w:rsidRDefault="00EE142C">
      <w:pPr>
        <w:pStyle w:val="FootnoteText"/>
      </w:pPr>
      <w:r>
        <w:rPr>
          <w:rStyle w:val="FootnoteReference"/>
        </w:rPr>
        <w:footnoteRef/>
      </w:r>
      <w:hyperlink r:id="rId8" w:history="1">
        <w:r w:rsidRPr="009552B6">
          <w:rPr>
            <w:rStyle w:val="Hyperlink"/>
          </w:rPr>
          <w:t>http://www.pge.com/includes/docs/pdfs/shared/environment/calculator/pge_</w:t>
        </w:r>
        <w:r w:rsidRPr="009552B6">
          <w:rPr>
            <w:rStyle w:val="Hyperlink"/>
          </w:rPr>
          <w:t>g</w:t>
        </w:r>
        <w:r w:rsidRPr="009552B6">
          <w:rPr>
            <w:rStyle w:val="Hyperlink"/>
          </w:rPr>
          <w:t>hg_emission_factor_info_sheet.pdf</w:t>
        </w:r>
      </w:hyperlink>
    </w:p>
  </w:footnote>
  <w:footnote w:id="15">
    <w:p w:rsidR="00EE142C" w:rsidRDefault="00EE142C">
      <w:pPr>
        <w:pStyle w:val="FootnoteText"/>
      </w:pPr>
      <w:r>
        <w:rPr>
          <w:rStyle w:val="FootnoteReference"/>
        </w:rPr>
        <w:footnoteRef/>
      </w:r>
      <w:r>
        <w:t xml:space="preserve"> </w:t>
      </w:r>
      <w:hyperlink r:id="rId9" w:tooltip="EPA summary tables for electricity grids and greenhouse gases" w:history="1">
        <w:r w:rsidRPr="009552B6">
          <w:rPr>
            <w:rStyle w:val="Hyperlink"/>
          </w:rPr>
          <w:t>http://www2.epa.gov/sites/production/files/2015-10/documents/egrid2012_summary</w:t>
        </w:r>
        <w:r w:rsidRPr="009552B6">
          <w:rPr>
            <w:rStyle w:val="Hyperlink"/>
          </w:rPr>
          <w:t>t</w:t>
        </w:r>
        <w:r w:rsidRPr="009552B6">
          <w:rPr>
            <w:rStyle w:val="Hyperlink"/>
          </w:rPr>
          <w:t>ables_0.pdf</w:t>
        </w:r>
      </w:hyperlink>
    </w:p>
  </w:footnote>
  <w:footnote w:id="16">
    <w:p w:rsidR="00EE142C" w:rsidRDefault="00EE142C">
      <w:pPr>
        <w:pStyle w:val="FootnoteText"/>
      </w:pPr>
      <w:r>
        <w:rPr>
          <w:rStyle w:val="FootnoteReference"/>
        </w:rPr>
        <w:footnoteRef/>
      </w:r>
      <w:r>
        <w:t xml:space="preserve"> </w:t>
      </w:r>
      <w:hyperlink r:id="rId10" w:tooltip="California's Renewables Portfolio Standard program" w:history="1">
        <w:r w:rsidRPr="00B273AA">
          <w:rPr>
            <w:rStyle w:val="Hyperlink"/>
            <w:rFonts w:cs="Arial"/>
          </w:rPr>
          <w:t>http://www.cpuc.ca.gov/PUC/energ</w:t>
        </w:r>
        <w:r w:rsidRPr="00B273AA">
          <w:rPr>
            <w:rStyle w:val="Hyperlink"/>
            <w:rFonts w:cs="Arial"/>
          </w:rPr>
          <w:t>y</w:t>
        </w:r>
        <w:r w:rsidRPr="00B273AA">
          <w:rPr>
            <w:rStyle w:val="Hyperlink"/>
            <w:rFonts w:cs="Arial"/>
          </w:rPr>
          <w:t>/Renewables/</w:t>
        </w:r>
      </w:hyperlink>
    </w:p>
  </w:footnote>
  <w:footnote w:id="17">
    <w:p w:rsidR="00EE142C" w:rsidRDefault="00EE142C">
      <w:pPr>
        <w:pStyle w:val="FootnoteText"/>
      </w:pPr>
      <w:r>
        <w:rPr>
          <w:rStyle w:val="FootnoteReference"/>
        </w:rPr>
        <w:footnoteRef/>
      </w:r>
      <w:r>
        <w:t xml:space="preserve"> </w:t>
      </w:r>
      <w:hyperlink r:id="rId11" w:tooltip="LADWP's Power strategic long-term resource plan" w:history="1">
        <w:r w:rsidRPr="00530ECB">
          <w:rPr>
            <w:rStyle w:val="Hyperlink"/>
          </w:rPr>
          <w:t>https://www.ladwp.com/ladwp/faces/wcnav_externa</w:t>
        </w:r>
        <w:r w:rsidRPr="00530ECB">
          <w:rPr>
            <w:rStyle w:val="Hyperlink"/>
          </w:rPr>
          <w:t>l</w:t>
        </w:r>
        <w:r w:rsidRPr="00530ECB">
          <w:rPr>
            <w:rStyle w:val="Hyperlink"/>
          </w:rPr>
          <w:t>Id/a-p-doc?_adf.ctrl-state=r1wlftn8v_4&amp;_afrLoop=43721225950530</w:t>
        </w:r>
      </w:hyperlink>
    </w:p>
  </w:footnote>
  <w:footnote w:id="18">
    <w:p w:rsidR="00EE142C" w:rsidRDefault="00EE142C">
      <w:pPr>
        <w:pStyle w:val="FootnoteText"/>
      </w:pPr>
      <w:r>
        <w:rPr>
          <w:rStyle w:val="FootnoteReference"/>
        </w:rPr>
        <w:footnoteRef/>
      </w:r>
      <w:r>
        <w:t xml:space="preserve"> See 17</w:t>
      </w:r>
    </w:p>
  </w:footnote>
  <w:footnote w:id="19">
    <w:p w:rsidR="00EE142C" w:rsidRDefault="00EE142C">
      <w:pPr>
        <w:pStyle w:val="FootnoteText"/>
      </w:pPr>
      <w:r>
        <w:rPr>
          <w:rStyle w:val="FootnoteReference"/>
        </w:rPr>
        <w:footnoteRef/>
      </w:r>
      <w:r>
        <w:t xml:space="preserve"> based on data from the CSUN weather station</w:t>
      </w:r>
    </w:p>
  </w:footnote>
  <w:footnote w:id="20">
    <w:p w:rsidR="00EE142C" w:rsidRDefault="00EE142C">
      <w:pPr>
        <w:pStyle w:val="FootnoteText"/>
      </w:pPr>
      <w:r>
        <w:rPr>
          <w:rStyle w:val="FootnoteReference"/>
        </w:rPr>
        <w:footnoteRef/>
      </w:r>
      <w:r>
        <w:t xml:space="preserve"> </w:t>
      </w:r>
      <w:hyperlink r:id="rId12" w:history="1">
        <w:r w:rsidRPr="00A7750A">
          <w:rPr>
            <w:rStyle w:val="Hyperlink"/>
          </w:rPr>
          <w:t>http://www.nrel.gov/gis/images/eere_pv/nation</w:t>
        </w:r>
        <w:r w:rsidRPr="00A7750A">
          <w:rPr>
            <w:rStyle w:val="Hyperlink"/>
          </w:rPr>
          <w:t>a</w:t>
        </w:r>
        <w:r w:rsidRPr="00A7750A">
          <w:rPr>
            <w:rStyle w:val="Hyperlink"/>
          </w:rPr>
          <w:t>l_photovoltaic_2012-01.jpg</w:t>
        </w:r>
      </w:hyperlink>
    </w:p>
    <w:p w:rsidR="00EE142C" w:rsidRDefault="00EE142C">
      <w:pPr>
        <w:pStyle w:val="FootnoteText"/>
      </w:pPr>
    </w:p>
  </w:footnote>
  <w:footnote w:id="21">
    <w:p w:rsidR="00EE142C" w:rsidRDefault="00EE142C">
      <w:pPr>
        <w:pStyle w:val="FootnoteText"/>
      </w:pPr>
      <w:r>
        <w:rPr>
          <w:rStyle w:val="FootnoteReference"/>
        </w:rPr>
        <w:footnoteRef/>
      </w:r>
      <w:r>
        <w:t xml:space="preserve"> </w:t>
      </w:r>
      <w:hyperlink r:id="rId13" w:tooltip="Energy.gov tax credits, rebates and savings" w:history="1">
        <w:r w:rsidRPr="00A7750A">
          <w:rPr>
            <w:rStyle w:val="Hyperlink"/>
          </w:rPr>
          <w:t>http://energy.gov/savings/clean-renewable-ene</w:t>
        </w:r>
        <w:r w:rsidRPr="00A7750A">
          <w:rPr>
            <w:rStyle w:val="Hyperlink"/>
          </w:rPr>
          <w:t>r</w:t>
        </w:r>
        <w:r w:rsidRPr="00A7750A">
          <w:rPr>
            <w:rStyle w:val="Hyperlink"/>
          </w:rPr>
          <w:t>gy-bonds-crebs</w:t>
        </w:r>
      </w:hyperlink>
    </w:p>
  </w:footnote>
  <w:footnote w:id="22">
    <w:p w:rsidR="00EE142C" w:rsidRDefault="00EE142C">
      <w:pPr>
        <w:pStyle w:val="FootnoteText"/>
      </w:pPr>
      <w:r>
        <w:rPr>
          <w:rStyle w:val="FootnoteReference"/>
        </w:rPr>
        <w:footnoteRef/>
      </w:r>
      <w:r>
        <w:t xml:space="preserve"> </w:t>
      </w:r>
      <w:hyperlink r:id="rId14" w:anchor="%40%3F_afrWindowId%3Dnull%26_afrLoop%3D413602254252248%26_afrWindowMode%3D0%26_adf.ctrl-state%3D1azswrlgum_4" w:tooltip="LADWP feed-in tariff program" w:history="1">
        <w:r w:rsidRPr="00A7750A">
          <w:rPr>
            <w:rStyle w:val="Hyperlink"/>
          </w:rPr>
          <w:t>https://www.la</w:t>
        </w:r>
        <w:r w:rsidRPr="00A7750A">
          <w:rPr>
            <w:rStyle w:val="Hyperlink"/>
          </w:rPr>
          <w:t>d</w:t>
        </w:r>
        <w:r w:rsidRPr="00A7750A">
          <w:rPr>
            <w:rStyle w:val="Hyperlink"/>
          </w:rPr>
          <w:t>wp.com/ladwp/faces/ladwp/partners/p-gogreen/p-gg-localrenewableenergyprogram?_afrLoop=413602254252248&amp;_afrWindowMode=0&amp;_afrWindowId=null#%40%3F_afrWindowId%3Dnull%26_afrLoop%3D413602254252248%26_afrWindowMode%3D0%26_adf.ctrl-state%3D1azswrlgum_4</w:t>
        </w:r>
      </w:hyperlink>
    </w:p>
  </w:footnote>
  <w:footnote w:id="23">
    <w:p w:rsidR="00EE142C" w:rsidRDefault="00EE142C">
      <w:pPr>
        <w:pStyle w:val="FootnoteText"/>
      </w:pPr>
      <w:r>
        <w:rPr>
          <w:rStyle w:val="FootnoteReference"/>
        </w:rPr>
        <w:footnoteRef/>
      </w:r>
      <w:r>
        <w:t xml:space="preserve"> Personal communication with CSU CO (Aaron Klemm/Helen Cox) and Borrego Solar proposal.</w:t>
      </w:r>
    </w:p>
  </w:footnote>
  <w:footnote w:id="24">
    <w:p w:rsidR="00EE142C" w:rsidRDefault="00EE142C" w:rsidP="006950C3">
      <w:pPr>
        <w:pStyle w:val="FootnoteText"/>
      </w:pPr>
      <w:r>
        <w:rPr>
          <w:rStyle w:val="FootnoteReference"/>
        </w:rPr>
        <w:footnoteRef/>
      </w:r>
      <w:r>
        <w:t xml:space="preserve"> </w:t>
      </w:r>
      <w:hyperlink r:id="rId15" w:tooltip="Energy.gov tax credits, rebates and savings page" w:history="1">
        <w:r w:rsidRPr="00F63F5F">
          <w:rPr>
            <w:rStyle w:val="Hyperlink"/>
          </w:rPr>
          <w:t>http://energy.gov/savings/clean-renewable</w:t>
        </w:r>
        <w:r w:rsidRPr="00F63F5F">
          <w:rPr>
            <w:rStyle w:val="Hyperlink"/>
          </w:rPr>
          <w:t>-</w:t>
        </w:r>
        <w:r w:rsidRPr="00F63F5F">
          <w:rPr>
            <w:rStyle w:val="Hyperlink"/>
          </w:rPr>
          <w:t>energy-bonds-crebs</w:t>
        </w:r>
      </w:hyperlink>
    </w:p>
  </w:footnote>
  <w:footnote w:id="25">
    <w:p w:rsidR="00EE142C" w:rsidRDefault="00EE142C">
      <w:pPr>
        <w:pStyle w:val="FootnoteText"/>
      </w:pPr>
      <w:r>
        <w:rPr>
          <w:rStyle w:val="FootnoteReference"/>
        </w:rPr>
        <w:footnoteRef/>
      </w:r>
      <w:r>
        <w:t xml:space="preserve"> Sustainability Tracking and Rating System (</w:t>
      </w:r>
      <w:hyperlink r:id="rId16" w:tooltip="Sustainability Tracking, Assessment and Rating System for higher education institutions." w:history="1">
        <w:r w:rsidRPr="00530ECB">
          <w:rPr>
            <w:rStyle w:val="Hyperlink"/>
          </w:rPr>
          <w:t>https://stars.aashe.org/</w:t>
        </w:r>
      </w:hyperlink>
      <w:r>
        <w:t>)</w:t>
      </w:r>
    </w:p>
  </w:footnote>
  <w:footnote w:id="26">
    <w:p w:rsidR="00EE142C" w:rsidRDefault="00EE142C">
      <w:pPr>
        <w:pStyle w:val="FootnoteText"/>
      </w:pPr>
      <w:r>
        <w:rPr>
          <w:rStyle w:val="FootnoteReference"/>
        </w:rPr>
        <w:footnoteRef/>
      </w:r>
      <w:hyperlink r:id="rId17" w:tooltip="100 resilient cities website" w:history="1">
        <w:r w:rsidRPr="008D79FF">
          <w:rPr>
            <w:rStyle w:val="Hyperlink"/>
            <w:rFonts w:eastAsia="Times New Roman"/>
          </w:rPr>
          <w:t>http://www.100resilient</w:t>
        </w:r>
        <w:r w:rsidRPr="008D79FF">
          <w:rPr>
            <w:rStyle w:val="Hyperlink"/>
            <w:rFonts w:eastAsia="Times New Roman"/>
          </w:rPr>
          <w:t>c</w:t>
        </w:r>
        <w:r w:rsidRPr="008D79FF">
          <w:rPr>
            <w:rStyle w:val="Hyperlink"/>
            <w:rFonts w:eastAsia="Times New Roman"/>
          </w:rPr>
          <w:t>ities.org</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Pr>
        <w:noProof/>
      </w:rPr>
      <w:drawing>
        <wp:anchor distT="0" distB="0" distL="114300" distR="114300" simplePos="0" relativeHeight="251747328" behindDoc="0" locked="0" layoutInCell="1" allowOverlap="1">
          <wp:simplePos x="0" y="0"/>
          <wp:positionH relativeFrom="column">
            <wp:posOffset>9525</wp:posOffset>
          </wp:positionH>
          <wp:positionV relativeFrom="paragraph">
            <wp:posOffset>-171450</wp:posOffset>
          </wp:positionV>
          <wp:extent cx="876300" cy="533400"/>
          <wp:effectExtent l="0" t="0" r="0" b="0"/>
          <wp:wrapNone/>
          <wp:docPr id="8" name="Picture 2"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76300" cy="533400"/>
                  </a:xfrm>
                  <a:prstGeom prst="rect">
                    <a:avLst/>
                  </a:prstGeom>
                  <a:noFill/>
                  <a:ln w="9525">
                    <a:noFill/>
                    <a:miter lim="800000"/>
                    <a:headEnd/>
                    <a:tailEnd/>
                  </a:ln>
                </pic:spPr>
              </pic:pic>
            </a:graphicData>
          </a:graphic>
        </wp:anchor>
      </w:drawing>
    </w:r>
  </w:p>
  <w:p w:rsidR="00EE142C" w:rsidRDefault="00EE142C">
    <w:pPr>
      <w:pStyle w:val="Header"/>
    </w:pPr>
    <w:r>
      <w:rPr>
        <w:noProof/>
      </w:rPr>
      <mc:AlternateContent>
        <mc:Choice Requires="wps">
          <w:drawing>
            <wp:anchor distT="4294967293" distB="4294967293" distL="114300" distR="114300" simplePos="0" relativeHeight="251676672" behindDoc="0" locked="0" layoutInCell="1" allowOverlap="1">
              <wp:simplePos x="0" y="0"/>
              <wp:positionH relativeFrom="column">
                <wp:posOffset>0</wp:posOffset>
              </wp:positionH>
              <wp:positionV relativeFrom="paragraph">
                <wp:posOffset>245109</wp:posOffset>
              </wp:positionV>
              <wp:extent cx="5715000" cy="0"/>
              <wp:effectExtent l="0" t="19050" r="19050" b="19050"/>
              <wp:wrapNone/>
              <wp:docPr id="80" name="AutoShape 1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EA49B10" id="_x0000_t32" coordsize="21600,21600" o:spt="32" o:oned="t" path="m,l21600,21600e" filled="f">
              <v:path arrowok="t" fillok="f" o:connecttype="none"/>
              <o:lock v:ext="edit" shapetype="t"/>
            </v:shapetype>
            <v:shape id="AutoShape 12" o:spid="_x0000_s1026" type="#_x0000_t32" alt="&quot;&quot;" style="position:absolute;margin-left:0;margin-top:19.3pt;width:450pt;height:0;z-index:25167667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" strokecolor="teal" strokeweight="2.25p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Pr>
        <w:noProof/>
      </w:rPr>
      <w:drawing>
        <wp:anchor distT="0" distB="0" distL="114300" distR="114300" simplePos="0" relativeHeight="251844608" behindDoc="0" locked="0" layoutInCell="1" allowOverlap="1" wp14:anchorId="4BF7A972" wp14:editId="772C5560">
          <wp:simplePos x="0" y="0"/>
          <wp:positionH relativeFrom="column">
            <wp:posOffset>9525</wp:posOffset>
          </wp:positionH>
          <wp:positionV relativeFrom="paragraph">
            <wp:posOffset>-171450</wp:posOffset>
          </wp:positionV>
          <wp:extent cx="876300" cy="533400"/>
          <wp:effectExtent l="0" t="0" r="0" b="0"/>
          <wp:wrapNone/>
          <wp:docPr id="136" name="Picture 2"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76300" cy="533400"/>
                  </a:xfrm>
                  <a:prstGeom prst="rect">
                    <a:avLst/>
                  </a:prstGeom>
                  <a:noFill/>
                  <a:ln w="9525">
                    <a:noFill/>
                    <a:miter lim="800000"/>
                    <a:headEnd/>
                    <a:tailEnd/>
                  </a:ln>
                </pic:spPr>
              </pic:pic>
            </a:graphicData>
          </a:graphic>
        </wp:anchor>
      </w:drawing>
    </w:r>
  </w:p>
  <w:p w:rsidR="00EE142C" w:rsidRDefault="00EE142C">
    <w:pPr>
      <w:pStyle w:val="Header"/>
    </w:pPr>
    <w:r>
      <w:rPr>
        <w:noProof/>
      </w:rPr>
      <mc:AlternateContent>
        <mc:Choice Requires="wps">
          <w:drawing>
            <wp:anchor distT="4294967293" distB="4294967293" distL="114300" distR="114300" simplePos="0" relativeHeight="251843584" behindDoc="0" locked="0" layoutInCell="1" allowOverlap="1" wp14:anchorId="7AD43158" wp14:editId="3975E558">
              <wp:simplePos x="0" y="0"/>
              <wp:positionH relativeFrom="column">
                <wp:posOffset>0</wp:posOffset>
              </wp:positionH>
              <wp:positionV relativeFrom="paragraph">
                <wp:posOffset>245109</wp:posOffset>
              </wp:positionV>
              <wp:extent cx="5715000" cy="0"/>
              <wp:effectExtent l="0" t="19050" r="0" b="19050"/>
              <wp:wrapNone/>
              <wp:docPr id="73" name="AutoShape 1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F44DBBC" id="_x0000_t32" coordsize="21600,21600" o:spt="32" o:oned="t" path="m,l21600,21600e" filled="f">
              <v:path arrowok="t" fillok="f" o:connecttype="none"/>
              <o:lock v:ext="edit" shapetype="t"/>
            </v:shapetype>
            <v:shape id="AutoShape 12" o:spid="_x0000_s1026" type="#_x0000_t32" alt="&quot;&quot;" style="position:absolute;margin-left:0;margin-top:19.3pt;width:450pt;height:0;z-index:2518435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" strokecolor="teal" strokeweight="2.25p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sidRPr="00C93E08">
      <w:rPr>
        <w:noProof/>
      </w:rPr>
      <w:drawing>
        <wp:anchor distT="0" distB="0" distL="114300" distR="114300" simplePos="0" relativeHeight="251680256" behindDoc="0" locked="0" layoutInCell="1" allowOverlap="1" wp14:anchorId="7AEC3BDA" wp14:editId="53C1270F">
          <wp:simplePos x="0" y="0"/>
          <wp:positionH relativeFrom="column">
            <wp:posOffset>4962525</wp:posOffset>
          </wp:positionH>
          <wp:positionV relativeFrom="paragraph">
            <wp:posOffset>-152400</wp:posOffset>
          </wp:positionV>
          <wp:extent cx="812800" cy="523875"/>
          <wp:effectExtent l="0" t="0" r="6350" b="9525"/>
          <wp:wrapNone/>
          <wp:docPr id="137" name="Picture 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812800" cy="523875"/>
                  </a:xfrm>
                  <a:prstGeom prst="rect">
                    <a:avLst/>
                  </a:prstGeom>
                  <a:noFill/>
                  <a:ln w="9525">
                    <a:noFill/>
                    <a:miter lim="800000"/>
                    <a:headEnd/>
                    <a:tailEnd/>
                  </a:ln>
                </pic:spPr>
              </pic:pic>
            </a:graphicData>
          </a:graphic>
        </wp:anchor>
      </w:drawing>
    </w:r>
  </w:p>
  <w:p w:rsidR="00EE142C" w:rsidRDefault="00EE142C">
    <w:pPr>
      <w:pStyle w:val="Header"/>
    </w:pPr>
  </w:p>
  <w:p w:rsidR="00EE142C" w:rsidRDefault="00EE142C">
    <w:pPr>
      <w:pStyle w:val="Header"/>
    </w:pPr>
    <w:r>
      <w:rPr>
        <w:noProof/>
      </w:rPr>
      <mc:AlternateContent>
        <mc:Choice Requires="wps">
          <w:drawing>
            <wp:anchor distT="4294967293" distB="4294967293" distL="114300" distR="114300" simplePos="0" relativeHeight="251803648" behindDoc="0" locked="0" layoutInCell="1" allowOverlap="1" wp14:anchorId="340456DF" wp14:editId="25857C7C">
              <wp:simplePos x="0" y="0"/>
              <wp:positionH relativeFrom="column">
                <wp:posOffset>12700</wp:posOffset>
              </wp:positionH>
              <wp:positionV relativeFrom="paragraph">
                <wp:posOffset>116205</wp:posOffset>
              </wp:positionV>
              <wp:extent cx="5715000" cy="0"/>
              <wp:effectExtent l="0" t="19050" r="19050" b="19050"/>
              <wp:wrapNone/>
              <wp:docPr id="72" name="AutoShape 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7A9FCE" id="_x0000_t32" coordsize="21600,21600" o:spt="32" o:oned="t" path="m,l21600,21600e" filled="f">
              <v:path arrowok="t" fillok="f" o:connecttype="none"/>
              <o:lock v:ext="edit" shapetype="t"/>
            </v:shapetype>
            <v:shape id="AutoShape 2" o:spid="_x0000_s1026" type="#_x0000_t32" alt="&quot;&quot;" style="position:absolute;margin-left:1pt;margin-top:9.15pt;width:450pt;height:0;z-index:25180364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" strokecolor="teal" strokeweight="2.25pt"/>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sidRPr="00C93E08">
      <w:rPr>
        <w:noProof/>
      </w:rPr>
      <w:drawing>
        <wp:anchor distT="0" distB="0" distL="114300" distR="114300" simplePos="0" relativeHeight="251926528" behindDoc="0" locked="0" layoutInCell="1" allowOverlap="1" wp14:anchorId="215CDD61" wp14:editId="02A5A63D">
          <wp:simplePos x="0" y="0"/>
          <wp:positionH relativeFrom="column">
            <wp:posOffset>4962525</wp:posOffset>
          </wp:positionH>
          <wp:positionV relativeFrom="paragraph">
            <wp:posOffset>-152400</wp:posOffset>
          </wp:positionV>
          <wp:extent cx="812800" cy="523875"/>
          <wp:effectExtent l="0" t="0" r="6350" b="9525"/>
          <wp:wrapNone/>
          <wp:docPr id="141" name="Picture 4"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812800" cy="523875"/>
                  </a:xfrm>
                  <a:prstGeom prst="rect">
                    <a:avLst/>
                  </a:prstGeom>
                  <a:noFill/>
                  <a:ln w="9525">
                    <a:noFill/>
                    <a:miter lim="800000"/>
                    <a:headEnd/>
                    <a:tailEnd/>
                  </a:ln>
                </pic:spPr>
              </pic:pic>
            </a:graphicData>
          </a:graphic>
        </wp:anchor>
      </w:drawing>
    </w:r>
  </w:p>
  <w:p w:rsidR="00EE142C" w:rsidRDefault="00EE142C">
    <w:pPr>
      <w:pStyle w:val="Header"/>
    </w:pPr>
  </w:p>
  <w:p w:rsidR="00EE142C" w:rsidRDefault="00EE142C">
    <w:pPr>
      <w:pStyle w:val="Header"/>
    </w:pPr>
    <w:r>
      <w:rPr>
        <w:noProof/>
      </w:rPr>
      <mc:AlternateContent>
        <mc:Choice Requires="wps">
          <w:drawing>
            <wp:anchor distT="4294967293" distB="4294967293" distL="114300" distR="114300" simplePos="0" relativeHeight="251927552" behindDoc="0" locked="0" layoutInCell="1" allowOverlap="1" wp14:anchorId="27E71707" wp14:editId="676B291B">
              <wp:simplePos x="0" y="0"/>
              <wp:positionH relativeFrom="column">
                <wp:posOffset>12700</wp:posOffset>
              </wp:positionH>
              <wp:positionV relativeFrom="paragraph">
                <wp:posOffset>116205</wp:posOffset>
              </wp:positionV>
              <wp:extent cx="5715000" cy="0"/>
              <wp:effectExtent l="22225" t="20955" r="15875" b="17145"/>
              <wp:wrapNone/>
              <wp:docPr id="140" name="AutoShape 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65AF1E4" id="_x0000_t32" coordsize="21600,21600" o:spt="32" o:oned="t" path="m,l21600,21600e" filled="f">
              <v:path arrowok="t" fillok="f" o:connecttype="none"/>
              <o:lock v:ext="edit" shapetype="t"/>
            </v:shapetype>
            <v:shape id="AutoShape 2" o:spid="_x0000_s1026" type="#_x0000_t32" alt="&quot;&quot;" style="position:absolute;margin-left:1pt;margin-top:9.15pt;width:450pt;height:0;z-index:2519275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" strokecolor="teal" strokeweight="2.25pt"/>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sidRPr="00C93E08">
      <w:rPr>
        <w:noProof/>
      </w:rPr>
      <w:drawing>
        <wp:anchor distT="0" distB="0" distL="114300" distR="114300" simplePos="0" relativeHeight="251815936" behindDoc="0" locked="0" layoutInCell="1" allowOverlap="1" wp14:anchorId="7BE0D625" wp14:editId="7B8440F3">
          <wp:simplePos x="0" y="0"/>
          <wp:positionH relativeFrom="column">
            <wp:posOffset>7202170</wp:posOffset>
          </wp:positionH>
          <wp:positionV relativeFrom="paragraph">
            <wp:posOffset>-152400</wp:posOffset>
          </wp:positionV>
          <wp:extent cx="812800" cy="523875"/>
          <wp:effectExtent l="0" t="0" r="6350" b="9525"/>
          <wp:wrapNone/>
          <wp:docPr id="12" name="Picture 4" descr="&quo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812800" cy="523875"/>
                  </a:xfrm>
                  <a:prstGeom prst="rect">
                    <a:avLst/>
                  </a:prstGeom>
                  <a:noFill/>
                  <a:ln w="9525">
                    <a:noFill/>
                    <a:miter lim="800000"/>
                    <a:headEnd/>
                    <a:tailEnd/>
                  </a:ln>
                </pic:spPr>
              </pic:pic>
            </a:graphicData>
          </a:graphic>
        </wp:anchor>
      </w:drawing>
    </w:r>
  </w:p>
  <w:p w:rsidR="00EE142C" w:rsidRDefault="00EE142C">
    <w:pPr>
      <w:pStyle w:val="Header"/>
    </w:pPr>
  </w:p>
  <w:p w:rsidR="00EE142C" w:rsidRDefault="00EE142C">
    <w:pPr>
      <w:pStyle w:val="Header"/>
    </w:pPr>
    <w:r>
      <w:rPr>
        <w:noProof/>
      </w:rPr>
      <mc:AlternateContent>
        <mc:Choice Requires="wps">
          <w:drawing>
            <wp:anchor distT="4294967293" distB="4294967293" distL="114300" distR="114300" simplePos="0" relativeHeight="251816960" behindDoc="0" locked="0" layoutInCell="1" allowOverlap="1" wp14:anchorId="1BBC9FB1" wp14:editId="2E47150E">
              <wp:simplePos x="0" y="0"/>
              <wp:positionH relativeFrom="column">
                <wp:posOffset>12700</wp:posOffset>
              </wp:positionH>
              <wp:positionV relativeFrom="paragraph">
                <wp:posOffset>116205</wp:posOffset>
              </wp:positionV>
              <wp:extent cx="8001000" cy="0"/>
              <wp:effectExtent l="0" t="19050" r="19050" b="19050"/>
              <wp:wrapNone/>
              <wp:docPr id="64" name="AutoShape 9"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001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E7F51D" id="_x0000_t32" coordsize="21600,21600" o:spt="32" o:oned="t" path="m,l21600,21600e" filled="f">
              <v:path arrowok="t" fillok="f" o:connecttype="none"/>
              <o:lock v:ext="edit" shapetype="t"/>
            </v:shapetype>
            <v:shape id="AutoShape 9" o:spid="_x0000_s1026" type="#_x0000_t32" alt="&quot;&quot;" style="position:absolute;margin-left:1pt;margin-top:9.15pt;width:630pt;height:0;z-index:2518169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" strokecolor="teal" strokeweight="2.25p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Pr>
        <w:noProof/>
      </w:rPr>
      <w:drawing>
        <wp:anchor distT="0" distB="0" distL="114300" distR="114300" simplePos="0" relativeHeight="251820032" behindDoc="0" locked="0" layoutInCell="1" allowOverlap="1" wp14:anchorId="56F2532D" wp14:editId="296DCBA0">
          <wp:simplePos x="0" y="0"/>
          <wp:positionH relativeFrom="column">
            <wp:posOffset>9525</wp:posOffset>
          </wp:positionH>
          <wp:positionV relativeFrom="paragraph">
            <wp:posOffset>-171450</wp:posOffset>
          </wp:positionV>
          <wp:extent cx="876300" cy="533400"/>
          <wp:effectExtent l="0" t="0" r="0" b="0"/>
          <wp:wrapNone/>
          <wp:docPr id="16" name="Picture 2"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lum/>
                  </a:blip>
                  <a:srcRect/>
                  <a:stretch>
                    <a:fillRect/>
                  </a:stretch>
                </pic:blipFill>
                <pic:spPr bwMode="auto">
                  <a:xfrm>
                    <a:off x="0" y="0"/>
                    <a:ext cx="876300" cy="533400"/>
                  </a:xfrm>
                  <a:prstGeom prst="rect">
                    <a:avLst/>
                  </a:prstGeom>
                  <a:noFill/>
                  <a:ln w="9525">
                    <a:noFill/>
                    <a:miter lim="800000"/>
                    <a:headEnd/>
                    <a:tailEnd/>
                  </a:ln>
                </pic:spPr>
              </pic:pic>
            </a:graphicData>
          </a:graphic>
        </wp:anchor>
      </w:drawing>
    </w:r>
  </w:p>
  <w:p w:rsidR="00EE142C" w:rsidRDefault="00EE142C">
    <w:pPr>
      <w:pStyle w:val="Header"/>
    </w:pPr>
    <w:r>
      <w:rPr>
        <w:noProof/>
      </w:rPr>
      <mc:AlternateContent>
        <mc:Choice Requires="wps">
          <w:drawing>
            <wp:anchor distT="4294967293" distB="4294967293" distL="114300" distR="114300" simplePos="0" relativeHeight="251819008" behindDoc="0" locked="0" layoutInCell="1" allowOverlap="1" wp14:anchorId="742990A3" wp14:editId="799EC369">
              <wp:simplePos x="0" y="0"/>
              <wp:positionH relativeFrom="column">
                <wp:posOffset>0</wp:posOffset>
              </wp:positionH>
              <wp:positionV relativeFrom="paragraph">
                <wp:posOffset>245109</wp:posOffset>
              </wp:positionV>
              <wp:extent cx="5715000" cy="0"/>
              <wp:effectExtent l="0" t="19050" r="0" b="19050"/>
              <wp:wrapNone/>
              <wp:docPr id="62" name="AutoShape 1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2ED47FE" id="_x0000_t32" coordsize="21600,21600" o:spt="32" o:oned="t" path="m,l21600,21600e" filled="f">
              <v:path arrowok="t" fillok="f" o:connecttype="none"/>
              <o:lock v:ext="edit" shapetype="t"/>
            </v:shapetype>
            <v:shape id="AutoShape 12" o:spid="_x0000_s1026" type="#_x0000_t32" alt="&quot;&quot;" style="position:absolute;margin-left:0;margin-top:19.3pt;width:450pt;height:0;z-index:25181900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" strokecolor="teal" strokeweight="2.25pt"/>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sidRPr="00C93E08">
      <w:rPr>
        <w:noProof/>
      </w:rPr>
      <w:drawing>
        <wp:anchor distT="0" distB="0" distL="114300" distR="114300" simplePos="0" relativeHeight="251825152" behindDoc="0" locked="0" layoutInCell="1" allowOverlap="1" wp14:anchorId="5ABB7945" wp14:editId="65283C15">
          <wp:simplePos x="0" y="0"/>
          <wp:positionH relativeFrom="column">
            <wp:posOffset>4962525</wp:posOffset>
          </wp:positionH>
          <wp:positionV relativeFrom="paragraph">
            <wp:posOffset>-152400</wp:posOffset>
          </wp:positionV>
          <wp:extent cx="812800" cy="523875"/>
          <wp:effectExtent l="0" t="0" r="6350" b="9525"/>
          <wp:wrapNone/>
          <wp:docPr id="27" name="Picture 4"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812800" cy="523875"/>
                  </a:xfrm>
                  <a:prstGeom prst="rect">
                    <a:avLst/>
                  </a:prstGeom>
                  <a:noFill/>
                  <a:ln w="9525">
                    <a:noFill/>
                    <a:miter lim="800000"/>
                    <a:headEnd/>
                    <a:tailEnd/>
                  </a:ln>
                </pic:spPr>
              </pic:pic>
            </a:graphicData>
          </a:graphic>
        </wp:anchor>
      </w:drawing>
    </w:r>
  </w:p>
  <w:p w:rsidR="00EE142C" w:rsidRDefault="00EE142C">
    <w:pPr>
      <w:pStyle w:val="Header"/>
    </w:pPr>
  </w:p>
  <w:p w:rsidR="00EE142C" w:rsidRDefault="00EE142C">
    <w:pPr>
      <w:pStyle w:val="Header"/>
    </w:pPr>
    <w:r>
      <w:rPr>
        <w:noProof/>
      </w:rPr>
      <mc:AlternateContent>
        <mc:Choice Requires="wps">
          <w:drawing>
            <wp:anchor distT="4294967293" distB="4294967293" distL="114300" distR="114300" simplePos="0" relativeHeight="251826176" behindDoc="0" locked="0" layoutInCell="1" allowOverlap="1" wp14:anchorId="5395E0AC" wp14:editId="37D907AB">
              <wp:simplePos x="0" y="0"/>
              <wp:positionH relativeFrom="column">
                <wp:posOffset>12700</wp:posOffset>
              </wp:positionH>
              <wp:positionV relativeFrom="paragraph">
                <wp:posOffset>116205</wp:posOffset>
              </wp:positionV>
              <wp:extent cx="5715000" cy="0"/>
              <wp:effectExtent l="22225" t="20955" r="15875" b="17145"/>
              <wp:wrapNone/>
              <wp:docPr id="34" name="AutoShape 1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1CFDC78" id="_x0000_t32" coordsize="21600,21600" o:spt="32" o:oned="t" path="m,l21600,21600e" filled="f">
              <v:path arrowok="t" fillok="f" o:connecttype="none"/>
              <o:lock v:ext="edit" shapetype="t"/>
            </v:shapetype>
            <v:shape id="AutoShape 12" o:spid="_x0000_s1026" type="#_x0000_t32" alt="&quot;&quot;" style="position:absolute;margin-left:1pt;margin-top:9.15pt;width:450pt;height:0;z-index:25182617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" strokecolor="teal" strokeweight="2.25p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sidRPr="00C93E08">
      <w:rPr>
        <w:noProof/>
      </w:rPr>
      <w:drawing>
        <wp:anchor distT="0" distB="0" distL="114300" distR="114300" simplePos="0" relativeHeight="251941888" behindDoc="0" locked="0" layoutInCell="1" allowOverlap="1" wp14:anchorId="6ECD0851" wp14:editId="4AC4F54D">
          <wp:simplePos x="0" y="0"/>
          <wp:positionH relativeFrom="column">
            <wp:posOffset>4962525</wp:posOffset>
          </wp:positionH>
          <wp:positionV relativeFrom="paragraph">
            <wp:posOffset>-152400</wp:posOffset>
          </wp:positionV>
          <wp:extent cx="812800" cy="523875"/>
          <wp:effectExtent l="0" t="0" r="6350" b="9525"/>
          <wp:wrapNone/>
          <wp:docPr id="154" name="Picture 4"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812800" cy="523875"/>
                  </a:xfrm>
                  <a:prstGeom prst="rect">
                    <a:avLst/>
                  </a:prstGeom>
                  <a:noFill/>
                  <a:ln w="9525">
                    <a:noFill/>
                    <a:miter lim="800000"/>
                    <a:headEnd/>
                    <a:tailEnd/>
                  </a:ln>
                </pic:spPr>
              </pic:pic>
            </a:graphicData>
          </a:graphic>
        </wp:anchor>
      </w:drawing>
    </w:r>
  </w:p>
  <w:p w:rsidR="00EE142C" w:rsidRDefault="00EE142C">
    <w:pPr>
      <w:pStyle w:val="Header"/>
    </w:pPr>
  </w:p>
  <w:p w:rsidR="00EE142C" w:rsidRDefault="00EE142C">
    <w:pPr>
      <w:pStyle w:val="Header"/>
    </w:pPr>
    <w:r>
      <w:rPr>
        <w:noProof/>
      </w:rPr>
      <mc:AlternateContent>
        <mc:Choice Requires="wps">
          <w:drawing>
            <wp:anchor distT="4294967293" distB="4294967293" distL="114300" distR="114300" simplePos="0" relativeHeight="251942912" behindDoc="0" locked="0" layoutInCell="1" allowOverlap="1" wp14:anchorId="010357C7" wp14:editId="784B27BC">
              <wp:simplePos x="0" y="0"/>
              <wp:positionH relativeFrom="column">
                <wp:posOffset>12700</wp:posOffset>
              </wp:positionH>
              <wp:positionV relativeFrom="paragraph">
                <wp:posOffset>116205</wp:posOffset>
              </wp:positionV>
              <wp:extent cx="5715000" cy="0"/>
              <wp:effectExtent l="22225" t="20955" r="15875" b="17145"/>
              <wp:wrapNone/>
              <wp:docPr id="153" name="AutoShape 1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066A5FB3" id="_x0000_t32" coordsize="21600,21600" o:spt="32" o:oned="t" path="m,l21600,21600e" filled="f">
              <v:path arrowok="t" fillok="f" o:connecttype="none"/>
              <o:lock v:ext="edit" shapetype="t"/>
            </v:shapetype>
            <v:shape id="AutoShape 12" o:spid="_x0000_s1026" type="#_x0000_t32" alt="&quot;&quot;" style="position:absolute;margin-left:1pt;margin-top:9.15pt;width:450pt;height:0;z-index:25194291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" strokecolor="teal" strokeweight="2.25pt"/>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Pr="005E4892" w:rsidRDefault="00EE142C" w:rsidP="005E4892">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rsidP="00624780">
    <w:pPr>
      <w:pStyle w:val="Header"/>
    </w:pPr>
    <w:r>
      <w:rPr>
        <w:noProof/>
      </w:rPr>
      <w:drawing>
        <wp:anchor distT="0" distB="0" distL="114300" distR="114300" simplePos="0" relativeHeight="251924480" behindDoc="0" locked="0" layoutInCell="1" allowOverlap="1" wp14:anchorId="427AE86A" wp14:editId="0033118A">
          <wp:simplePos x="0" y="0"/>
          <wp:positionH relativeFrom="column">
            <wp:posOffset>9525</wp:posOffset>
          </wp:positionH>
          <wp:positionV relativeFrom="paragraph">
            <wp:posOffset>-171450</wp:posOffset>
          </wp:positionV>
          <wp:extent cx="876300" cy="533400"/>
          <wp:effectExtent l="0" t="0" r="0" b="0"/>
          <wp:wrapNone/>
          <wp:docPr id="3" name="Picture 2"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76300" cy="533400"/>
                  </a:xfrm>
                  <a:prstGeom prst="rect">
                    <a:avLst/>
                  </a:prstGeom>
                  <a:noFill/>
                  <a:ln w="9525">
                    <a:noFill/>
                    <a:miter lim="800000"/>
                    <a:headEnd/>
                    <a:tailEnd/>
                  </a:ln>
                </pic:spPr>
              </pic:pic>
            </a:graphicData>
          </a:graphic>
        </wp:anchor>
      </w:drawing>
    </w:r>
  </w:p>
  <w:p w:rsidR="00EE142C" w:rsidRDefault="00EE142C" w:rsidP="00624780">
    <w:pPr>
      <w:pStyle w:val="Header"/>
    </w:pPr>
    <w:r>
      <w:rPr>
        <w:noProof/>
      </w:rPr>
      <mc:AlternateContent>
        <mc:Choice Requires="wps">
          <w:drawing>
            <wp:anchor distT="4294967293" distB="4294967293" distL="114300" distR="114300" simplePos="0" relativeHeight="251923456" behindDoc="0" locked="0" layoutInCell="1" allowOverlap="1" wp14:anchorId="4234853E" wp14:editId="73E87882">
              <wp:simplePos x="0" y="0"/>
              <wp:positionH relativeFrom="column">
                <wp:posOffset>0</wp:posOffset>
              </wp:positionH>
              <wp:positionV relativeFrom="paragraph">
                <wp:posOffset>245109</wp:posOffset>
              </wp:positionV>
              <wp:extent cx="5715000" cy="0"/>
              <wp:effectExtent l="0" t="19050" r="0" b="19050"/>
              <wp:wrapNone/>
              <wp:docPr id="78" name="AutoShape 12"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79D735F" id="_x0000_t32" coordsize="21600,21600" o:spt="32" o:oned="t" path="m,l21600,21600e" filled="f">
              <v:path arrowok="t" fillok="f" o:connecttype="none"/>
              <o:lock v:ext="edit" shapetype="t"/>
            </v:shapetype>
            <v:shape id="AutoShape 12" o:spid="_x0000_s1026" type="#_x0000_t32" alt="&quot;&quot;" style="position:absolute;margin-left:0;margin-top:19.3pt;width:450pt;height:0;z-index:2519234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" strokecolor="teal" strokeweight="2.25pt"/>
          </w:pict>
        </mc:Fallback>
      </mc:AlternateContent>
    </w:r>
  </w:p>
  <w:p w:rsidR="00EE142C" w:rsidRDefault="00EE142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r w:rsidRPr="00C93E08">
      <w:rPr>
        <w:noProof/>
      </w:rPr>
      <w:drawing>
        <wp:anchor distT="0" distB="0" distL="114300" distR="114300" simplePos="0" relativeHeight="251751424" behindDoc="0" locked="0" layoutInCell="1" allowOverlap="1" wp14:anchorId="1598D2F5" wp14:editId="22E1C0C5">
          <wp:simplePos x="0" y="0"/>
          <wp:positionH relativeFrom="column">
            <wp:posOffset>4924425</wp:posOffset>
          </wp:positionH>
          <wp:positionV relativeFrom="paragraph">
            <wp:posOffset>-114300</wp:posOffset>
          </wp:positionV>
          <wp:extent cx="812800" cy="523875"/>
          <wp:effectExtent l="0" t="0" r="6350" b="9525"/>
          <wp:wrapNone/>
          <wp:docPr id="68" name="Picture 4" descr="Institute for Sustainabil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812800" cy="523875"/>
                  </a:xfrm>
                  <a:prstGeom prst="rect">
                    <a:avLst/>
                  </a:prstGeom>
                  <a:noFill/>
                  <a:ln w="9525">
                    <a:noFill/>
                    <a:miter lim="800000"/>
                    <a:headEnd/>
                    <a:tailEnd/>
                  </a:ln>
                </pic:spPr>
              </pic:pic>
            </a:graphicData>
          </a:graphic>
        </wp:anchor>
      </w:drawing>
    </w:r>
  </w:p>
  <w:p w:rsidR="00EE142C" w:rsidRDefault="00EE142C">
    <w:pPr>
      <w:pStyle w:val="Header"/>
    </w:pPr>
  </w:p>
  <w:p w:rsidR="00EE142C" w:rsidRDefault="00EE142C">
    <w:pPr>
      <w:pStyle w:val="Header"/>
    </w:pPr>
    <w:r>
      <w:rPr>
        <w:noProof/>
      </w:rPr>
      <mc:AlternateContent>
        <mc:Choice Requires="wps">
          <w:drawing>
            <wp:anchor distT="4294967293" distB="4294967293" distL="114300" distR="114300" simplePos="0" relativeHeight="251709440" behindDoc="0" locked="0" layoutInCell="1" allowOverlap="1" wp14:anchorId="49AD0F25" wp14:editId="0F2AE685">
              <wp:simplePos x="0" y="0"/>
              <wp:positionH relativeFrom="column">
                <wp:posOffset>12700</wp:posOffset>
              </wp:positionH>
              <wp:positionV relativeFrom="paragraph">
                <wp:posOffset>116204</wp:posOffset>
              </wp:positionV>
              <wp:extent cx="5715000" cy="0"/>
              <wp:effectExtent l="0" t="19050" r="0" b="19050"/>
              <wp:wrapNone/>
              <wp:docPr id="87" name="AutoShape 36" descr="&quot;&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0" cy="0"/>
                      </a:xfrm>
                      <a:prstGeom prst="straightConnector1">
                        <a:avLst/>
                      </a:prstGeom>
                      <a:noFill/>
                      <a:ln w="28575">
                        <a:solidFill>
                          <a:srgbClr val="0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D797C87" id="_x0000_t32" coordsize="21600,21600" o:spt="32" o:oned="t" path="m,l21600,21600e" filled="f">
              <v:path arrowok="t" fillok="f" o:connecttype="none"/>
              <o:lock v:ext="edit" shapetype="t"/>
            </v:shapetype>
            <v:shape id="AutoShape 36" o:spid="_x0000_s1026" type="#_x0000_t32" alt="&quot;&quot;" style="position:absolute;margin-left:1pt;margin-top:9.15pt;width:450pt;height:0;z-index:25170944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" strokecolor="teal" strokeweight="2.25pt"/>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E142C" w:rsidRDefault="00EE142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B0F4F"/>
    <w:multiLevelType w:val="hybridMultilevel"/>
    <w:tmpl w:val="BF92E6C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2CA2FAE"/>
    <w:multiLevelType w:val="hybridMultilevel"/>
    <w:tmpl w:val="B3DC99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D6FA7"/>
    <w:multiLevelType w:val="multilevel"/>
    <w:tmpl w:val="2FEE13DE"/>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63C59A0"/>
    <w:multiLevelType w:val="multilevel"/>
    <w:tmpl w:val="22384AE0"/>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91C3199"/>
    <w:multiLevelType w:val="hybridMultilevel"/>
    <w:tmpl w:val="CF6041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A197FA3"/>
    <w:multiLevelType w:val="multilevel"/>
    <w:tmpl w:val="ABAED9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0652B11"/>
    <w:multiLevelType w:val="hybridMultilevel"/>
    <w:tmpl w:val="D2882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1A1459"/>
    <w:multiLevelType w:val="multilevel"/>
    <w:tmpl w:val="7BC6C282"/>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518788A"/>
    <w:multiLevelType w:val="multilevel"/>
    <w:tmpl w:val="26142DF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164911EF"/>
    <w:multiLevelType w:val="hybridMultilevel"/>
    <w:tmpl w:val="458EE9B0"/>
    <w:lvl w:ilvl="0" w:tplc="04090003">
      <w:start w:val="1"/>
      <w:numFmt w:val="bullet"/>
      <w:lvlText w:val="o"/>
      <w:lvlJc w:val="left"/>
      <w:pPr>
        <w:ind w:left="765" w:hanging="360"/>
      </w:pPr>
      <w:rPr>
        <w:rFonts w:ascii="Courier New" w:hAnsi="Courier New" w:cs="Courier New"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0" w15:restartNumberingAfterBreak="0">
    <w:nsid w:val="19977C48"/>
    <w:multiLevelType w:val="hybridMultilevel"/>
    <w:tmpl w:val="447CD1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FC70B9"/>
    <w:multiLevelType w:val="hybridMultilevel"/>
    <w:tmpl w:val="35123F76"/>
    <w:lvl w:ilvl="0" w:tplc="22B00D58">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4B26F4F"/>
    <w:multiLevelType w:val="hybridMultilevel"/>
    <w:tmpl w:val="D42AFF62"/>
    <w:lvl w:ilvl="0" w:tplc="04090003">
      <w:start w:val="1"/>
      <w:numFmt w:val="bullet"/>
      <w:lvlText w:val="o"/>
      <w:lvlJc w:val="left"/>
      <w:pPr>
        <w:ind w:left="765" w:hanging="360"/>
      </w:pPr>
      <w:rPr>
        <w:rFonts w:ascii="Courier New" w:hAnsi="Courier New" w:cs="Courier New"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13" w15:restartNumberingAfterBreak="0">
    <w:nsid w:val="25957427"/>
    <w:multiLevelType w:val="multilevel"/>
    <w:tmpl w:val="91E4766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A0244EA"/>
    <w:multiLevelType w:val="hybridMultilevel"/>
    <w:tmpl w:val="6F7C50F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C434E26"/>
    <w:multiLevelType w:val="hybridMultilevel"/>
    <w:tmpl w:val="A7A86A96"/>
    <w:lvl w:ilvl="0" w:tplc="04090001">
      <w:start w:val="1"/>
      <w:numFmt w:val="bullet"/>
      <w:lvlText w:val=""/>
      <w:lvlJc w:val="left"/>
      <w:pPr>
        <w:ind w:left="774" w:hanging="360"/>
      </w:pPr>
      <w:rPr>
        <w:rFonts w:ascii="Symbol" w:hAnsi="Symbol" w:hint="default"/>
      </w:rPr>
    </w:lvl>
    <w:lvl w:ilvl="1" w:tplc="04090003">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6" w15:restartNumberingAfterBreak="0">
    <w:nsid w:val="2C543B5A"/>
    <w:multiLevelType w:val="multilevel"/>
    <w:tmpl w:val="4E1E4DDC"/>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D6656B8"/>
    <w:multiLevelType w:val="multilevel"/>
    <w:tmpl w:val="3DC4EBC2"/>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F7027DA"/>
    <w:multiLevelType w:val="multilevel"/>
    <w:tmpl w:val="1FB822AE"/>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308B7F48"/>
    <w:multiLevelType w:val="multilevel"/>
    <w:tmpl w:val="68F2692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3F91594"/>
    <w:multiLevelType w:val="multilevel"/>
    <w:tmpl w:val="13E498F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BCE1825"/>
    <w:multiLevelType w:val="multilevel"/>
    <w:tmpl w:val="076611A4"/>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3C8445C1"/>
    <w:multiLevelType w:val="hybridMultilevel"/>
    <w:tmpl w:val="A39E7FF6"/>
    <w:lvl w:ilvl="0" w:tplc="0409000F">
      <w:start w:val="1"/>
      <w:numFmt w:val="decimal"/>
      <w:lvlText w:val="%1."/>
      <w:lvlJc w:val="left"/>
      <w:pPr>
        <w:ind w:left="360" w:hanging="360"/>
      </w:pPr>
    </w:lvl>
    <w:lvl w:ilvl="1" w:tplc="04090001">
      <w:start w:val="1"/>
      <w:numFmt w:val="bullet"/>
      <w:lvlText w:val=""/>
      <w:lvlJc w:val="left"/>
      <w:pPr>
        <w:ind w:left="1080" w:hanging="360"/>
      </w:pPr>
      <w:rPr>
        <w:rFonts w:ascii="Symbol" w:hAnsi="Symbol"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3D077020"/>
    <w:multiLevelType w:val="hybridMultilevel"/>
    <w:tmpl w:val="77C2D6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D0F2258"/>
    <w:multiLevelType w:val="hybridMultilevel"/>
    <w:tmpl w:val="68DAD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6A2785"/>
    <w:multiLevelType w:val="multilevel"/>
    <w:tmpl w:val="C316D15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4134F12"/>
    <w:multiLevelType w:val="multilevel"/>
    <w:tmpl w:val="422E641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7A1374D"/>
    <w:multiLevelType w:val="hybridMultilevel"/>
    <w:tmpl w:val="8FD8B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818051A"/>
    <w:multiLevelType w:val="multilevel"/>
    <w:tmpl w:val="CE1C9574"/>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4C050E33"/>
    <w:multiLevelType w:val="hybridMultilevel"/>
    <w:tmpl w:val="182A695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50CE3786"/>
    <w:multiLevelType w:val="hybridMultilevel"/>
    <w:tmpl w:val="65B4192C"/>
    <w:lvl w:ilvl="0" w:tplc="394C9F54">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F93E6A1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E716FE4"/>
    <w:multiLevelType w:val="multilevel"/>
    <w:tmpl w:val="8F427704"/>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60A27FAA"/>
    <w:multiLevelType w:val="multilevel"/>
    <w:tmpl w:val="E05A8EAE"/>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26E51CD"/>
    <w:multiLevelType w:val="hybridMultilevel"/>
    <w:tmpl w:val="B69AE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551707"/>
    <w:multiLevelType w:val="multilevel"/>
    <w:tmpl w:val="184A49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6D580947"/>
    <w:multiLevelType w:val="hybridMultilevel"/>
    <w:tmpl w:val="1D9C725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17C7B06"/>
    <w:multiLevelType w:val="hybridMultilevel"/>
    <w:tmpl w:val="C43CD4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1EF2CC9"/>
    <w:multiLevelType w:val="multilevel"/>
    <w:tmpl w:val="88D4906E"/>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8" w15:restartNumberingAfterBreak="0">
    <w:nsid w:val="75522497"/>
    <w:multiLevelType w:val="multilevel"/>
    <w:tmpl w:val="B7FCBC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770A1198"/>
    <w:multiLevelType w:val="multilevel"/>
    <w:tmpl w:val="4DC4B1A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73502E5"/>
    <w:multiLevelType w:val="multilevel"/>
    <w:tmpl w:val="8C5AE48C"/>
    <w:lvl w:ilvl="0">
      <w:start w:val="1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78261336"/>
    <w:multiLevelType w:val="multilevel"/>
    <w:tmpl w:val="507650C8"/>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9B61FE7"/>
    <w:multiLevelType w:val="multilevel"/>
    <w:tmpl w:val="192E67A4"/>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BE31430"/>
    <w:multiLevelType w:val="multilevel"/>
    <w:tmpl w:val="867CD98E"/>
    <w:lvl w:ilvl="0">
      <w:start w:val="1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4"/>
  </w:num>
  <w:num w:numId="2">
    <w:abstractNumId w:val="4"/>
  </w:num>
  <w:num w:numId="3">
    <w:abstractNumId w:val="27"/>
  </w:num>
  <w:num w:numId="4">
    <w:abstractNumId w:val="24"/>
  </w:num>
  <w:num w:numId="5">
    <w:abstractNumId w:val="35"/>
  </w:num>
  <w:num w:numId="6">
    <w:abstractNumId w:val="36"/>
  </w:num>
  <w:num w:numId="7">
    <w:abstractNumId w:val="9"/>
  </w:num>
  <w:num w:numId="8">
    <w:abstractNumId w:val="12"/>
  </w:num>
  <w:num w:numId="9">
    <w:abstractNumId w:val="30"/>
  </w:num>
  <w:num w:numId="10">
    <w:abstractNumId w:val="11"/>
  </w:num>
  <w:num w:numId="11">
    <w:abstractNumId w:val="34"/>
  </w:num>
  <w:num w:numId="12">
    <w:abstractNumId w:val="5"/>
  </w:num>
  <w:num w:numId="13">
    <w:abstractNumId w:val="26"/>
    <w:lvlOverride w:ilvl="0">
      <w:lvl w:ilvl="0">
        <w:numFmt w:val="decimal"/>
        <w:lvlText w:val="%1."/>
        <w:lvlJc w:val="left"/>
      </w:lvl>
    </w:lvlOverride>
  </w:num>
  <w:num w:numId="14">
    <w:abstractNumId w:val="25"/>
    <w:lvlOverride w:ilvl="0">
      <w:lvl w:ilvl="0">
        <w:numFmt w:val="decimal"/>
        <w:lvlText w:val="%1."/>
        <w:lvlJc w:val="left"/>
      </w:lvl>
    </w:lvlOverride>
  </w:num>
  <w:num w:numId="15">
    <w:abstractNumId w:val="13"/>
    <w:lvlOverride w:ilvl="0">
      <w:lvl w:ilvl="0">
        <w:numFmt w:val="decimal"/>
        <w:lvlText w:val="%1."/>
        <w:lvlJc w:val="left"/>
      </w:lvl>
    </w:lvlOverride>
  </w:num>
  <w:num w:numId="16">
    <w:abstractNumId w:val="32"/>
    <w:lvlOverride w:ilvl="0">
      <w:lvl w:ilvl="0">
        <w:numFmt w:val="decimal"/>
        <w:lvlText w:val="%1."/>
        <w:lvlJc w:val="left"/>
      </w:lvl>
    </w:lvlOverride>
  </w:num>
  <w:num w:numId="17">
    <w:abstractNumId w:val="3"/>
    <w:lvlOverride w:ilvl="0">
      <w:lvl w:ilvl="0">
        <w:numFmt w:val="decimal"/>
        <w:lvlText w:val="%1."/>
        <w:lvlJc w:val="left"/>
      </w:lvl>
    </w:lvlOverride>
  </w:num>
  <w:num w:numId="18">
    <w:abstractNumId w:val="41"/>
    <w:lvlOverride w:ilvl="0">
      <w:lvl w:ilvl="0">
        <w:numFmt w:val="decimal"/>
        <w:lvlText w:val="%1."/>
        <w:lvlJc w:val="left"/>
      </w:lvl>
    </w:lvlOverride>
  </w:num>
  <w:num w:numId="19">
    <w:abstractNumId w:val="20"/>
    <w:lvlOverride w:ilvl="0">
      <w:lvl w:ilvl="0">
        <w:numFmt w:val="decimal"/>
        <w:lvlText w:val="%1."/>
        <w:lvlJc w:val="left"/>
      </w:lvl>
    </w:lvlOverride>
  </w:num>
  <w:num w:numId="20">
    <w:abstractNumId w:val="31"/>
    <w:lvlOverride w:ilvl="0">
      <w:lvl w:ilvl="0">
        <w:numFmt w:val="decimal"/>
        <w:lvlText w:val="%1."/>
        <w:lvlJc w:val="left"/>
      </w:lvl>
    </w:lvlOverride>
  </w:num>
  <w:num w:numId="21">
    <w:abstractNumId w:val="16"/>
    <w:lvlOverride w:ilvl="0">
      <w:lvl w:ilvl="0">
        <w:numFmt w:val="decimal"/>
        <w:lvlText w:val="%1."/>
        <w:lvlJc w:val="left"/>
      </w:lvl>
    </w:lvlOverride>
  </w:num>
  <w:num w:numId="22">
    <w:abstractNumId w:val="21"/>
    <w:lvlOverride w:ilvl="0">
      <w:lvl w:ilvl="0">
        <w:numFmt w:val="decimal"/>
        <w:lvlText w:val="%1."/>
        <w:lvlJc w:val="left"/>
      </w:lvl>
    </w:lvlOverride>
  </w:num>
  <w:num w:numId="23">
    <w:abstractNumId w:val="2"/>
    <w:lvlOverride w:ilvl="0">
      <w:lvl w:ilvl="0">
        <w:numFmt w:val="decimal"/>
        <w:lvlText w:val="%1."/>
        <w:lvlJc w:val="left"/>
      </w:lvl>
    </w:lvlOverride>
  </w:num>
  <w:num w:numId="24">
    <w:abstractNumId w:val="28"/>
    <w:lvlOverride w:ilvl="0">
      <w:lvl w:ilvl="0">
        <w:numFmt w:val="decimal"/>
        <w:lvlText w:val="%1."/>
        <w:lvlJc w:val="left"/>
      </w:lvl>
    </w:lvlOverride>
  </w:num>
  <w:num w:numId="25">
    <w:abstractNumId w:val="42"/>
    <w:lvlOverride w:ilvl="0">
      <w:lvl w:ilvl="0">
        <w:numFmt w:val="decimal"/>
        <w:lvlText w:val="%1."/>
        <w:lvlJc w:val="left"/>
      </w:lvl>
    </w:lvlOverride>
  </w:num>
  <w:num w:numId="26">
    <w:abstractNumId w:val="17"/>
    <w:lvlOverride w:ilvl="0">
      <w:lvl w:ilvl="0">
        <w:numFmt w:val="decimal"/>
        <w:lvlText w:val="%1."/>
        <w:lvlJc w:val="left"/>
      </w:lvl>
    </w:lvlOverride>
  </w:num>
  <w:num w:numId="27">
    <w:abstractNumId w:val="40"/>
    <w:lvlOverride w:ilvl="0">
      <w:lvl w:ilvl="0">
        <w:numFmt w:val="decimal"/>
        <w:lvlText w:val="%1."/>
        <w:lvlJc w:val="left"/>
      </w:lvl>
    </w:lvlOverride>
  </w:num>
  <w:num w:numId="28">
    <w:abstractNumId w:val="18"/>
    <w:lvlOverride w:ilvl="0">
      <w:lvl w:ilvl="0">
        <w:numFmt w:val="decimal"/>
        <w:lvlText w:val="%1."/>
        <w:lvlJc w:val="left"/>
      </w:lvl>
    </w:lvlOverride>
  </w:num>
  <w:num w:numId="29">
    <w:abstractNumId w:val="43"/>
    <w:lvlOverride w:ilvl="0">
      <w:lvl w:ilvl="0">
        <w:numFmt w:val="decimal"/>
        <w:lvlText w:val="%1."/>
        <w:lvlJc w:val="left"/>
        <w:rPr>
          <w:b/>
        </w:rPr>
      </w:lvl>
    </w:lvlOverride>
  </w:num>
  <w:num w:numId="30">
    <w:abstractNumId w:val="38"/>
  </w:num>
  <w:num w:numId="31">
    <w:abstractNumId w:val="8"/>
    <w:lvlOverride w:ilvl="0">
      <w:lvl w:ilvl="0">
        <w:numFmt w:val="decimal"/>
        <w:lvlText w:val="%1."/>
        <w:lvlJc w:val="left"/>
      </w:lvl>
    </w:lvlOverride>
  </w:num>
  <w:num w:numId="32">
    <w:abstractNumId w:val="39"/>
    <w:lvlOverride w:ilvl="0">
      <w:lvl w:ilvl="0">
        <w:numFmt w:val="decimal"/>
        <w:lvlText w:val="%1."/>
        <w:lvlJc w:val="left"/>
      </w:lvl>
    </w:lvlOverride>
  </w:num>
  <w:num w:numId="33">
    <w:abstractNumId w:val="7"/>
    <w:lvlOverride w:ilvl="0">
      <w:lvl w:ilvl="0">
        <w:numFmt w:val="decimal"/>
        <w:lvlText w:val="%1."/>
        <w:lvlJc w:val="left"/>
      </w:lvl>
    </w:lvlOverride>
  </w:num>
  <w:num w:numId="34">
    <w:abstractNumId w:val="37"/>
  </w:num>
  <w:num w:numId="35">
    <w:abstractNumId w:val="19"/>
    <w:lvlOverride w:ilvl="0">
      <w:lvl w:ilvl="0">
        <w:numFmt w:val="decimal"/>
        <w:lvlText w:val="%1."/>
        <w:lvlJc w:val="left"/>
      </w:lvl>
    </w:lvlOverride>
  </w:num>
  <w:num w:numId="36">
    <w:abstractNumId w:val="6"/>
  </w:num>
  <w:num w:numId="37">
    <w:abstractNumId w:val="0"/>
  </w:num>
  <w:num w:numId="38">
    <w:abstractNumId w:val="29"/>
  </w:num>
  <w:num w:numId="39">
    <w:abstractNumId w:val="15"/>
  </w:num>
  <w:num w:numId="40">
    <w:abstractNumId w:val="23"/>
  </w:num>
  <w:num w:numId="41">
    <w:abstractNumId w:val="10"/>
  </w:num>
  <w:num w:numId="42">
    <w:abstractNumId w:val="1"/>
  </w:num>
  <w:num w:numId="43">
    <w:abstractNumId w:val="33"/>
  </w:num>
  <w:num w:numId="44">
    <w:abstractNumId w:val="22"/>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activeWritingStyle w:appName="MSWord" w:lang="en-US" w:vendorID="64" w:dllVersion="131078" w:nlCheck="1" w:checkStyle="1"/>
  <w:activeWritingStyle w:appName="MSWord" w:lang="en-GB" w:vendorID="64" w:dllVersion="131078" w:nlCheck="1" w:checkStyle="1"/>
  <w:proofState w:spelling="clean" w:grammar="clean"/>
  <w:defaultTabStop w:val="720"/>
  <w:evenAndOddHeaders/>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20ED"/>
    <w:rsid w:val="000002A9"/>
    <w:rsid w:val="000008E7"/>
    <w:rsid w:val="00001AEB"/>
    <w:rsid w:val="00002FC1"/>
    <w:rsid w:val="00003853"/>
    <w:rsid w:val="00005789"/>
    <w:rsid w:val="00011762"/>
    <w:rsid w:val="0001211D"/>
    <w:rsid w:val="000128A3"/>
    <w:rsid w:val="00013B2D"/>
    <w:rsid w:val="000140FC"/>
    <w:rsid w:val="00016E04"/>
    <w:rsid w:val="0001708D"/>
    <w:rsid w:val="00017444"/>
    <w:rsid w:val="00025C11"/>
    <w:rsid w:val="000315C0"/>
    <w:rsid w:val="000317BE"/>
    <w:rsid w:val="00032166"/>
    <w:rsid w:val="0003673D"/>
    <w:rsid w:val="00036FC3"/>
    <w:rsid w:val="00037AC6"/>
    <w:rsid w:val="0004328B"/>
    <w:rsid w:val="00047E7C"/>
    <w:rsid w:val="00051659"/>
    <w:rsid w:val="00053382"/>
    <w:rsid w:val="0005780B"/>
    <w:rsid w:val="00057BB1"/>
    <w:rsid w:val="00072ABE"/>
    <w:rsid w:val="000734BE"/>
    <w:rsid w:val="00075A53"/>
    <w:rsid w:val="00077022"/>
    <w:rsid w:val="00080F01"/>
    <w:rsid w:val="000842EA"/>
    <w:rsid w:val="00085B98"/>
    <w:rsid w:val="000862F4"/>
    <w:rsid w:val="00091F68"/>
    <w:rsid w:val="00092871"/>
    <w:rsid w:val="0009546B"/>
    <w:rsid w:val="00096C60"/>
    <w:rsid w:val="00096D26"/>
    <w:rsid w:val="000A2913"/>
    <w:rsid w:val="000A4461"/>
    <w:rsid w:val="000A4B4B"/>
    <w:rsid w:val="000A7F41"/>
    <w:rsid w:val="000B1BD3"/>
    <w:rsid w:val="000B4502"/>
    <w:rsid w:val="000B5267"/>
    <w:rsid w:val="000B592C"/>
    <w:rsid w:val="000B5E9B"/>
    <w:rsid w:val="000C12FB"/>
    <w:rsid w:val="000D057E"/>
    <w:rsid w:val="000E14FB"/>
    <w:rsid w:val="000E45C8"/>
    <w:rsid w:val="000E46EB"/>
    <w:rsid w:val="000E615F"/>
    <w:rsid w:val="000F3246"/>
    <w:rsid w:val="000F4D0F"/>
    <w:rsid w:val="000F6065"/>
    <w:rsid w:val="00101DC5"/>
    <w:rsid w:val="001036BF"/>
    <w:rsid w:val="00105AB2"/>
    <w:rsid w:val="00105B1D"/>
    <w:rsid w:val="00113FBA"/>
    <w:rsid w:val="00114BC5"/>
    <w:rsid w:val="001217FC"/>
    <w:rsid w:val="00122643"/>
    <w:rsid w:val="00126380"/>
    <w:rsid w:val="00130F35"/>
    <w:rsid w:val="00131873"/>
    <w:rsid w:val="001353CA"/>
    <w:rsid w:val="0014311A"/>
    <w:rsid w:val="00143CB2"/>
    <w:rsid w:val="0014493E"/>
    <w:rsid w:val="00147CB1"/>
    <w:rsid w:val="00150BD0"/>
    <w:rsid w:val="00151302"/>
    <w:rsid w:val="001514C3"/>
    <w:rsid w:val="00151B47"/>
    <w:rsid w:val="0015397E"/>
    <w:rsid w:val="00156EE1"/>
    <w:rsid w:val="00161125"/>
    <w:rsid w:val="00164D64"/>
    <w:rsid w:val="00172A08"/>
    <w:rsid w:val="00176D4C"/>
    <w:rsid w:val="00181904"/>
    <w:rsid w:val="0018246F"/>
    <w:rsid w:val="00184436"/>
    <w:rsid w:val="001847C9"/>
    <w:rsid w:val="00185BED"/>
    <w:rsid w:val="001867BC"/>
    <w:rsid w:val="0019026E"/>
    <w:rsid w:val="001908EA"/>
    <w:rsid w:val="00190CF0"/>
    <w:rsid w:val="00192A14"/>
    <w:rsid w:val="00193787"/>
    <w:rsid w:val="00193CFC"/>
    <w:rsid w:val="00194307"/>
    <w:rsid w:val="0019776B"/>
    <w:rsid w:val="00197D19"/>
    <w:rsid w:val="001A26FF"/>
    <w:rsid w:val="001A3304"/>
    <w:rsid w:val="001A7B94"/>
    <w:rsid w:val="001A7E11"/>
    <w:rsid w:val="001B00C4"/>
    <w:rsid w:val="001B0EBE"/>
    <w:rsid w:val="001B0F25"/>
    <w:rsid w:val="001B6885"/>
    <w:rsid w:val="001C0B7D"/>
    <w:rsid w:val="001C2FE6"/>
    <w:rsid w:val="001C3094"/>
    <w:rsid w:val="001C33EB"/>
    <w:rsid w:val="001C4434"/>
    <w:rsid w:val="001C514A"/>
    <w:rsid w:val="001C75FD"/>
    <w:rsid w:val="001D28C4"/>
    <w:rsid w:val="001D329D"/>
    <w:rsid w:val="001D5EFC"/>
    <w:rsid w:val="001E1A22"/>
    <w:rsid w:val="001E7148"/>
    <w:rsid w:val="001E7B16"/>
    <w:rsid w:val="001F26F7"/>
    <w:rsid w:val="001F2F57"/>
    <w:rsid w:val="001F3FBA"/>
    <w:rsid w:val="001F4236"/>
    <w:rsid w:val="001F4DC8"/>
    <w:rsid w:val="001F6753"/>
    <w:rsid w:val="001F7D27"/>
    <w:rsid w:val="001F7EDE"/>
    <w:rsid w:val="00203A4A"/>
    <w:rsid w:val="00207BEA"/>
    <w:rsid w:val="00211F33"/>
    <w:rsid w:val="0021589A"/>
    <w:rsid w:val="00215F1E"/>
    <w:rsid w:val="00217B02"/>
    <w:rsid w:val="00222DEB"/>
    <w:rsid w:val="00226166"/>
    <w:rsid w:val="00231AD6"/>
    <w:rsid w:val="00236097"/>
    <w:rsid w:val="00236171"/>
    <w:rsid w:val="002365FA"/>
    <w:rsid w:val="0024085D"/>
    <w:rsid w:val="00242E2E"/>
    <w:rsid w:val="00244BA9"/>
    <w:rsid w:val="002455D6"/>
    <w:rsid w:val="0024600C"/>
    <w:rsid w:val="00246C6E"/>
    <w:rsid w:val="002510E7"/>
    <w:rsid w:val="0025137D"/>
    <w:rsid w:val="002514D1"/>
    <w:rsid w:val="00256F8B"/>
    <w:rsid w:val="00265661"/>
    <w:rsid w:val="00266C48"/>
    <w:rsid w:val="002737A2"/>
    <w:rsid w:val="00281B0D"/>
    <w:rsid w:val="00283B25"/>
    <w:rsid w:val="00285300"/>
    <w:rsid w:val="002907F4"/>
    <w:rsid w:val="00291ADD"/>
    <w:rsid w:val="00292D79"/>
    <w:rsid w:val="00293BC1"/>
    <w:rsid w:val="002A22A0"/>
    <w:rsid w:val="002A238F"/>
    <w:rsid w:val="002A2665"/>
    <w:rsid w:val="002A2A20"/>
    <w:rsid w:val="002A2A7F"/>
    <w:rsid w:val="002A3BF5"/>
    <w:rsid w:val="002A4E83"/>
    <w:rsid w:val="002A582A"/>
    <w:rsid w:val="002A5924"/>
    <w:rsid w:val="002B234D"/>
    <w:rsid w:val="002B329D"/>
    <w:rsid w:val="002B421F"/>
    <w:rsid w:val="002B5E50"/>
    <w:rsid w:val="002B73E2"/>
    <w:rsid w:val="002C0686"/>
    <w:rsid w:val="002C096B"/>
    <w:rsid w:val="002C773D"/>
    <w:rsid w:val="002D1CC9"/>
    <w:rsid w:val="002E292F"/>
    <w:rsid w:val="002E37F1"/>
    <w:rsid w:val="002E4A24"/>
    <w:rsid w:val="002E5E65"/>
    <w:rsid w:val="002F4CC8"/>
    <w:rsid w:val="002F5856"/>
    <w:rsid w:val="002F644B"/>
    <w:rsid w:val="002F6C1D"/>
    <w:rsid w:val="00301D0B"/>
    <w:rsid w:val="00307174"/>
    <w:rsid w:val="0031243B"/>
    <w:rsid w:val="00316988"/>
    <w:rsid w:val="00317C64"/>
    <w:rsid w:val="00322107"/>
    <w:rsid w:val="00327D52"/>
    <w:rsid w:val="0033029F"/>
    <w:rsid w:val="00331D93"/>
    <w:rsid w:val="003364C0"/>
    <w:rsid w:val="00336D08"/>
    <w:rsid w:val="003423EA"/>
    <w:rsid w:val="00347410"/>
    <w:rsid w:val="00351880"/>
    <w:rsid w:val="003550A6"/>
    <w:rsid w:val="003570B5"/>
    <w:rsid w:val="00361FD2"/>
    <w:rsid w:val="00363EA6"/>
    <w:rsid w:val="00363EB4"/>
    <w:rsid w:val="00364A09"/>
    <w:rsid w:val="00365E9F"/>
    <w:rsid w:val="003663C2"/>
    <w:rsid w:val="00371F27"/>
    <w:rsid w:val="00372CBD"/>
    <w:rsid w:val="003825C8"/>
    <w:rsid w:val="00384C62"/>
    <w:rsid w:val="0039093C"/>
    <w:rsid w:val="003911FA"/>
    <w:rsid w:val="00393BC3"/>
    <w:rsid w:val="00394078"/>
    <w:rsid w:val="00394141"/>
    <w:rsid w:val="0039743C"/>
    <w:rsid w:val="003A262F"/>
    <w:rsid w:val="003A2B72"/>
    <w:rsid w:val="003A4D87"/>
    <w:rsid w:val="003A7138"/>
    <w:rsid w:val="003C0BC6"/>
    <w:rsid w:val="003C1280"/>
    <w:rsid w:val="003C2623"/>
    <w:rsid w:val="003C6286"/>
    <w:rsid w:val="003D0512"/>
    <w:rsid w:val="003D28D5"/>
    <w:rsid w:val="003D2AF3"/>
    <w:rsid w:val="003D2DA9"/>
    <w:rsid w:val="003E04AF"/>
    <w:rsid w:val="003E2802"/>
    <w:rsid w:val="003E4DBD"/>
    <w:rsid w:val="003E57F9"/>
    <w:rsid w:val="003F328F"/>
    <w:rsid w:val="003F4FD1"/>
    <w:rsid w:val="003F5CF0"/>
    <w:rsid w:val="00401418"/>
    <w:rsid w:val="004038A6"/>
    <w:rsid w:val="00404CE2"/>
    <w:rsid w:val="00405FAF"/>
    <w:rsid w:val="00410963"/>
    <w:rsid w:val="00411BA4"/>
    <w:rsid w:val="00412149"/>
    <w:rsid w:val="00412C9B"/>
    <w:rsid w:val="0041321C"/>
    <w:rsid w:val="00413900"/>
    <w:rsid w:val="00422C89"/>
    <w:rsid w:val="004245FE"/>
    <w:rsid w:val="00425B5A"/>
    <w:rsid w:val="004319E2"/>
    <w:rsid w:val="00433EAB"/>
    <w:rsid w:val="00434CE9"/>
    <w:rsid w:val="00437977"/>
    <w:rsid w:val="00441DD4"/>
    <w:rsid w:val="0044434A"/>
    <w:rsid w:val="00445655"/>
    <w:rsid w:val="00447243"/>
    <w:rsid w:val="00452893"/>
    <w:rsid w:val="0045673D"/>
    <w:rsid w:val="00456997"/>
    <w:rsid w:val="00456CC0"/>
    <w:rsid w:val="004604F4"/>
    <w:rsid w:val="00462E6D"/>
    <w:rsid w:val="00464A63"/>
    <w:rsid w:val="00467C93"/>
    <w:rsid w:val="00470042"/>
    <w:rsid w:val="00472BEB"/>
    <w:rsid w:val="00473946"/>
    <w:rsid w:val="004801D5"/>
    <w:rsid w:val="00494238"/>
    <w:rsid w:val="00494715"/>
    <w:rsid w:val="004A05F8"/>
    <w:rsid w:val="004A167D"/>
    <w:rsid w:val="004A1690"/>
    <w:rsid w:val="004A1A57"/>
    <w:rsid w:val="004A1DA6"/>
    <w:rsid w:val="004A3ED4"/>
    <w:rsid w:val="004A465D"/>
    <w:rsid w:val="004B29B0"/>
    <w:rsid w:val="004B533C"/>
    <w:rsid w:val="004B661A"/>
    <w:rsid w:val="004B6ED9"/>
    <w:rsid w:val="004C7E8B"/>
    <w:rsid w:val="004D0F95"/>
    <w:rsid w:val="004D51BC"/>
    <w:rsid w:val="004D54DE"/>
    <w:rsid w:val="004D7BD7"/>
    <w:rsid w:val="004E07C1"/>
    <w:rsid w:val="004E0B9B"/>
    <w:rsid w:val="004E0F5F"/>
    <w:rsid w:val="004E79C7"/>
    <w:rsid w:val="004F2BF6"/>
    <w:rsid w:val="004F45AA"/>
    <w:rsid w:val="004F5EC4"/>
    <w:rsid w:val="004F6094"/>
    <w:rsid w:val="005040D4"/>
    <w:rsid w:val="005119CD"/>
    <w:rsid w:val="00511E2D"/>
    <w:rsid w:val="00513213"/>
    <w:rsid w:val="00514789"/>
    <w:rsid w:val="005168F5"/>
    <w:rsid w:val="0052020F"/>
    <w:rsid w:val="00522E9F"/>
    <w:rsid w:val="00526D9C"/>
    <w:rsid w:val="0053303B"/>
    <w:rsid w:val="00540301"/>
    <w:rsid w:val="00543678"/>
    <w:rsid w:val="0054570E"/>
    <w:rsid w:val="00564A5E"/>
    <w:rsid w:val="0057094E"/>
    <w:rsid w:val="005814DA"/>
    <w:rsid w:val="00581511"/>
    <w:rsid w:val="00581BCE"/>
    <w:rsid w:val="0058451A"/>
    <w:rsid w:val="00585A0B"/>
    <w:rsid w:val="00586934"/>
    <w:rsid w:val="00586BC8"/>
    <w:rsid w:val="00595FAE"/>
    <w:rsid w:val="005974E5"/>
    <w:rsid w:val="005A0520"/>
    <w:rsid w:val="005A3A25"/>
    <w:rsid w:val="005B3B01"/>
    <w:rsid w:val="005B48F0"/>
    <w:rsid w:val="005C0013"/>
    <w:rsid w:val="005C157C"/>
    <w:rsid w:val="005C1A2D"/>
    <w:rsid w:val="005C301E"/>
    <w:rsid w:val="005C3FF8"/>
    <w:rsid w:val="005C6CF5"/>
    <w:rsid w:val="005D1517"/>
    <w:rsid w:val="005D2512"/>
    <w:rsid w:val="005D42F4"/>
    <w:rsid w:val="005D536C"/>
    <w:rsid w:val="005E0305"/>
    <w:rsid w:val="005E1809"/>
    <w:rsid w:val="005E1CFD"/>
    <w:rsid w:val="005E4892"/>
    <w:rsid w:val="005E6E7B"/>
    <w:rsid w:val="005E72D4"/>
    <w:rsid w:val="005F4165"/>
    <w:rsid w:val="0060135B"/>
    <w:rsid w:val="00602553"/>
    <w:rsid w:val="0060481D"/>
    <w:rsid w:val="00605D55"/>
    <w:rsid w:val="006102FB"/>
    <w:rsid w:val="00612519"/>
    <w:rsid w:val="00622A6A"/>
    <w:rsid w:val="00623214"/>
    <w:rsid w:val="00623B8D"/>
    <w:rsid w:val="00624780"/>
    <w:rsid w:val="006269EE"/>
    <w:rsid w:val="00627700"/>
    <w:rsid w:val="0063253B"/>
    <w:rsid w:val="00634092"/>
    <w:rsid w:val="006349AD"/>
    <w:rsid w:val="00635457"/>
    <w:rsid w:val="00635970"/>
    <w:rsid w:val="00643915"/>
    <w:rsid w:val="006443C1"/>
    <w:rsid w:val="00644494"/>
    <w:rsid w:val="00644A4C"/>
    <w:rsid w:val="006478CE"/>
    <w:rsid w:val="00652015"/>
    <w:rsid w:val="00655576"/>
    <w:rsid w:val="00655F53"/>
    <w:rsid w:val="00662813"/>
    <w:rsid w:val="006639F9"/>
    <w:rsid w:val="00663CF1"/>
    <w:rsid w:val="006665CF"/>
    <w:rsid w:val="0066736B"/>
    <w:rsid w:val="006728D3"/>
    <w:rsid w:val="00680AD7"/>
    <w:rsid w:val="00682037"/>
    <w:rsid w:val="006906FB"/>
    <w:rsid w:val="00694A62"/>
    <w:rsid w:val="006950C3"/>
    <w:rsid w:val="006952F2"/>
    <w:rsid w:val="00695B33"/>
    <w:rsid w:val="00696A37"/>
    <w:rsid w:val="006A0B6C"/>
    <w:rsid w:val="006A26D1"/>
    <w:rsid w:val="006A4BD4"/>
    <w:rsid w:val="006A526C"/>
    <w:rsid w:val="006A54F1"/>
    <w:rsid w:val="006A77BB"/>
    <w:rsid w:val="006B7D90"/>
    <w:rsid w:val="006C2146"/>
    <w:rsid w:val="006C47F2"/>
    <w:rsid w:val="006C5FEA"/>
    <w:rsid w:val="006D3214"/>
    <w:rsid w:val="006E17B3"/>
    <w:rsid w:val="006E5153"/>
    <w:rsid w:val="006F54D4"/>
    <w:rsid w:val="00700DD9"/>
    <w:rsid w:val="00701471"/>
    <w:rsid w:val="00703007"/>
    <w:rsid w:val="0070447F"/>
    <w:rsid w:val="00714215"/>
    <w:rsid w:val="00716295"/>
    <w:rsid w:val="00717F69"/>
    <w:rsid w:val="007207A1"/>
    <w:rsid w:val="00720B3D"/>
    <w:rsid w:val="00721C30"/>
    <w:rsid w:val="0072394C"/>
    <w:rsid w:val="00724167"/>
    <w:rsid w:val="00724685"/>
    <w:rsid w:val="00726B72"/>
    <w:rsid w:val="00727804"/>
    <w:rsid w:val="0073372C"/>
    <w:rsid w:val="00734927"/>
    <w:rsid w:val="00735C2A"/>
    <w:rsid w:val="0073765F"/>
    <w:rsid w:val="00745672"/>
    <w:rsid w:val="00746D9E"/>
    <w:rsid w:val="00753A1A"/>
    <w:rsid w:val="00754ED3"/>
    <w:rsid w:val="0076111A"/>
    <w:rsid w:val="00762611"/>
    <w:rsid w:val="00762786"/>
    <w:rsid w:val="00765F2B"/>
    <w:rsid w:val="00766798"/>
    <w:rsid w:val="007668CF"/>
    <w:rsid w:val="007717E9"/>
    <w:rsid w:val="00772EB9"/>
    <w:rsid w:val="00772ED0"/>
    <w:rsid w:val="007752C1"/>
    <w:rsid w:val="00775CE5"/>
    <w:rsid w:val="00783649"/>
    <w:rsid w:val="007853DE"/>
    <w:rsid w:val="0079093A"/>
    <w:rsid w:val="00791DA5"/>
    <w:rsid w:val="007948EF"/>
    <w:rsid w:val="00795F43"/>
    <w:rsid w:val="007963E4"/>
    <w:rsid w:val="007965A1"/>
    <w:rsid w:val="007A0343"/>
    <w:rsid w:val="007A4F15"/>
    <w:rsid w:val="007A6516"/>
    <w:rsid w:val="007B2031"/>
    <w:rsid w:val="007B587E"/>
    <w:rsid w:val="007C5050"/>
    <w:rsid w:val="007E0A9E"/>
    <w:rsid w:val="007E17EC"/>
    <w:rsid w:val="007E2343"/>
    <w:rsid w:val="007E39A2"/>
    <w:rsid w:val="007E4D1B"/>
    <w:rsid w:val="007E6382"/>
    <w:rsid w:val="007F2244"/>
    <w:rsid w:val="007F515C"/>
    <w:rsid w:val="007F5C5D"/>
    <w:rsid w:val="00804ED3"/>
    <w:rsid w:val="0080719C"/>
    <w:rsid w:val="00807DBF"/>
    <w:rsid w:val="00813E22"/>
    <w:rsid w:val="008172F2"/>
    <w:rsid w:val="00820D8E"/>
    <w:rsid w:val="008262C0"/>
    <w:rsid w:val="00831563"/>
    <w:rsid w:val="008325A6"/>
    <w:rsid w:val="00832E3B"/>
    <w:rsid w:val="00834E8F"/>
    <w:rsid w:val="00836BC5"/>
    <w:rsid w:val="00840FD0"/>
    <w:rsid w:val="00850BD4"/>
    <w:rsid w:val="00851277"/>
    <w:rsid w:val="00854237"/>
    <w:rsid w:val="00855725"/>
    <w:rsid w:val="00855AE7"/>
    <w:rsid w:val="00862300"/>
    <w:rsid w:val="008638B9"/>
    <w:rsid w:val="00863944"/>
    <w:rsid w:val="008654D6"/>
    <w:rsid w:val="00865769"/>
    <w:rsid w:val="00867473"/>
    <w:rsid w:val="008679FA"/>
    <w:rsid w:val="0087189C"/>
    <w:rsid w:val="00874B62"/>
    <w:rsid w:val="008759A4"/>
    <w:rsid w:val="00876FB2"/>
    <w:rsid w:val="008771E1"/>
    <w:rsid w:val="00877B1C"/>
    <w:rsid w:val="008833C9"/>
    <w:rsid w:val="008838C0"/>
    <w:rsid w:val="0088530C"/>
    <w:rsid w:val="008856AB"/>
    <w:rsid w:val="00887C41"/>
    <w:rsid w:val="00891013"/>
    <w:rsid w:val="0089419C"/>
    <w:rsid w:val="0089565A"/>
    <w:rsid w:val="008A30C8"/>
    <w:rsid w:val="008A4E8B"/>
    <w:rsid w:val="008A6505"/>
    <w:rsid w:val="008A6661"/>
    <w:rsid w:val="008B1CCC"/>
    <w:rsid w:val="008B2DE3"/>
    <w:rsid w:val="008B2E8C"/>
    <w:rsid w:val="008B3A68"/>
    <w:rsid w:val="008B5051"/>
    <w:rsid w:val="008B656A"/>
    <w:rsid w:val="008B7EA8"/>
    <w:rsid w:val="008C4213"/>
    <w:rsid w:val="008C42EA"/>
    <w:rsid w:val="008D185B"/>
    <w:rsid w:val="008D47EC"/>
    <w:rsid w:val="008D7FF9"/>
    <w:rsid w:val="008E0161"/>
    <w:rsid w:val="008E10BC"/>
    <w:rsid w:val="008E117F"/>
    <w:rsid w:val="008F0510"/>
    <w:rsid w:val="008F1CF5"/>
    <w:rsid w:val="008F4AE4"/>
    <w:rsid w:val="008F6CEF"/>
    <w:rsid w:val="009010CC"/>
    <w:rsid w:val="0090200B"/>
    <w:rsid w:val="009064BA"/>
    <w:rsid w:val="0090651B"/>
    <w:rsid w:val="00907B03"/>
    <w:rsid w:val="00911C3C"/>
    <w:rsid w:val="00912972"/>
    <w:rsid w:val="009139CC"/>
    <w:rsid w:val="009154E8"/>
    <w:rsid w:val="009176EA"/>
    <w:rsid w:val="00922357"/>
    <w:rsid w:val="0092334D"/>
    <w:rsid w:val="00927BAE"/>
    <w:rsid w:val="009311AB"/>
    <w:rsid w:val="00941B80"/>
    <w:rsid w:val="00946E01"/>
    <w:rsid w:val="009521E1"/>
    <w:rsid w:val="00964885"/>
    <w:rsid w:val="009654F0"/>
    <w:rsid w:val="0096791C"/>
    <w:rsid w:val="009711EC"/>
    <w:rsid w:val="0097135E"/>
    <w:rsid w:val="009728E6"/>
    <w:rsid w:val="00973BC5"/>
    <w:rsid w:val="00973DC5"/>
    <w:rsid w:val="00977203"/>
    <w:rsid w:val="00981263"/>
    <w:rsid w:val="00981C22"/>
    <w:rsid w:val="00985276"/>
    <w:rsid w:val="009860AD"/>
    <w:rsid w:val="00987A5B"/>
    <w:rsid w:val="00990D90"/>
    <w:rsid w:val="009A2781"/>
    <w:rsid w:val="009A4F12"/>
    <w:rsid w:val="009A6B90"/>
    <w:rsid w:val="009A6E63"/>
    <w:rsid w:val="009B1505"/>
    <w:rsid w:val="009B1B84"/>
    <w:rsid w:val="009B1C35"/>
    <w:rsid w:val="009B3C7D"/>
    <w:rsid w:val="009B5D2F"/>
    <w:rsid w:val="009B6A18"/>
    <w:rsid w:val="009B7348"/>
    <w:rsid w:val="009B7E55"/>
    <w:rsid w:val="009C6845"/>
    <w:rsid w:val="009C7EBE"/>
    <w:rsid w:val="009D02C0"/>
    <w:rsid w:val="009D1345"/>
    <w:rsid w:val="009D19A1"/>
    <w:rsid w:val="009D20F3"/>
    <w:rsid w:val="009D73D3"/>
    <w:rsid w:val="009E2ED2"/>
    <w:rsid w:val="009E4324"/>
    <w:rsid w:val="009E6A7A"/>
    <w:rsid w:val="009E6DB1"/>
    <w:rsid w:val="009F0DF4"/>
    <w:rsid w:val="009F3D89"/>
    <w:rsid w:val="009F4402"/>
    <w:rsid w:val="009F6101"/>
    <w:rsid w:val="00A0064D"/>
    <w:rsid w:val="00A01470"/>
    <w:rsid w:val="00A02C73"/>
    <w:rsid w:val="00A02D9A"/>
    <w:rsid w:val="00A0364B"/>
    <w:rsid w:val="00A0371C"/>
    <w:rsid w:val="00A115BA"/>
    <w:rsid w:val="00A169E3"/>
    <w:rsid w:val="00A17038"/>
    <w:rsid w:val="00A21430"/>
    <w:rsid w:val="00A2166B"/>
    <w:rsid w:val="00A22A46"/>
    <w:rsid w:val="00A27509"/>
    <w:rsid w:val="00A32B64"/>
    <w:rsid w:val="00A331B5"/>
    <w:rsid w:val="00A335FD"/>
    <w:rsid w:val="00A37A25"/>
    <w:rsid w:val="00A41328"/>
    <w:rsid w:val="00A46C1D"/>
    <w:rsid w:val="00A51B74"/>
    <w:rsid w:val="00A55BD7"/>
    <w:rsid w:val="00A55EDF"/>
    <w:rsid w:val="00A566A4"/>
    <w:rsid w:val="00A56901"/>
    <w:rsid w:val="00A616B2"/>
    <w:rsid w:val="00A6629D"/>
    <w:rsid w:val="00A70414"/>
    <w:rsid w:val="00A70A30"/>
    <w:rsid w:val="00A72FF1"/>
    <w:rsid w:val="00A74477"/>
    <w:rsid w:val="00A74D28"/>
    <w:rsid w:val="00A74FAB"/>
    <w:rsid w:val="00A776D1"/>
    <w:rsid w:val="00A8334B"/>
    <w:rsid w:val="00A859E4"/>
    <w:rsid w:val="00A85CE0"/>
    <w:rsid w:val="00AA0AFB"/>
    <w:rsid w:val="00AA32E2"/>
    <w:rsid w:val="00AA3553"/>
    <w:rsid w:val="00AB1BE2"/>
    <w:rsid w:val="00AB1FF8"/>
    <w:rsid w:val="00AB27FB"/>
    <w:rsid w:val="00AB35DF"/>
    <w:rsid w:val="00AB53E0"/>
    <w:rsid w:val="00AC0157"/>
    <w:rsid w:val="00AC4B91"/>
    <w:rsid w:val="00AC6862"/>
    <w:rsid w:val="00AC798C"/>
    <w:rsid w:val="00AD025A"/>
    <w:rsid w:val="00AD062F"/>
    <w:rsid w:val="00AD06B3"/>
    <w:rsid w:val="00AD58FF"/>
    <w:rsid w:val="00AD62D0"/>
    <w:rsid w:val="00AE0B01"/>
    <w:rsid w:val="00AE4CF5"/>
    <w:rsid w:val="00AF0F1E"/>
    <w:rsid w:val="00B006ED"/>
    <w:rsid w:val="00B031A6"/>
    <w:rsid w:val="00B04B8B"/>
    <w:rsid w:val="00B05E70"/>
    <w:rsid w:val="00B0600B"/>
    <w:rsid w:val="00B06A95"/>
    <w:rsid w:val="00B10026"/>
    <w:rsid w:val="00B117AB"/>
    <w:rsid w:val="00B1305D"/>
    <w:rsid w:val="00B175D4"/>
    <w:rsid w:val="00B20735"/>
    <w:rsid w:val="00B22D36"/>
    <w:rsid w:val="00B266CD"/>
    <w:rsid w:val="00B273AA"/>
    <w:rsid w:val="00B307F3"/>
    <w:rsid w:val="00B30938"/>
    <w:rsid w:val="00B31A47"/>
    <w:rsid w:val="00B35ECE"/>
    <w:rsid w:val="00B40770"/>
    <w:rsid w:val="00B4501E"/>
    <w:rsid w:val="00B470C8"/>
    <w:rsid w:val="00B53550"/>
    <w:rsid w:val="00B545FD"/>
    <w:rsid w:val="00B60328"/>
    <w:rsid w:val="00B616F5"/>
    <w:rsid w:val="00B61B70"/>
    <w:rsid w:val="00B63E69"/>
    <w:rsid w:val="00B65637"/>
    <w:rsid w:val="00B66EBF"/>
    <w:rsid w:val="00B75071"/>
    <w:rsid w:val="00B758FB"/>
    <w:rsid w:val="00B804CA"/>
    <w:rsid w:val="00B845AE"/>
    <w:rsid w:val="00B855CA"/>
    <w:rsid w:val="00B92B6B"/>
    <w:rsid w:val="00BA125F"/>
    <w:rsid w:val="00BA15D6"/>
    <w:rsid w:val="00BA2848"/>
    <w:rsid w:val="00BA5DAB"/>
    <w:rsid w:val="00BA69EB"/>
    <w:rsid w:val="00BB0A1C"/>
    <w:rsid w:val="00BB1F86"/>
    <w:rsid w:val="00BB544B"/>
    <w:rsid w:val="00BB596B"/>
    <w:rsid w:val="00BB5B6E"/>
    <w:rsid w:val="00BB75FE"/>
    <w:rsid w:val="00BB7C17"/>
    <w:rsid w:val="00BC25D5"/>
    <w:rsid w:val="00BC7434"/>
    <w:rsid w:val="00BD0C02"/>
    <w:rsid w:val="00BD1748"/>
    <w:rsid w:val="00BD4F3F"/>
    <w:rsid w:val="00BD5BFF"/>
    <w:rsid w:val="00BE3564"/>
    <w:rsid w:val="00BE4983"/>
    <w:rsid w:val="00BE6C57"/>
    <w:rsid w:val="00BE6FC2"/>
    <w:rsid w:val="00BE7A1E"/>
    <w:rsid w:val="00BE7A6C"/>
    <w:rsid w:val="00BF1009"/>
    <w:rsid w:val="00BF1467"/>
    <w:rsid w:val="00BF27B8"/>
    <w:rsid w:val="00BF5185"/>
    <w:rsid w:val="00BF6078"/>
    <w:rsid w:val="00BF6B89"/>
    <w:rsid w:val="00BF7819"/>
    <w:rsid w:val="00C01E6C"/>
    <w:rsid w:val="00C02D19"/>
    <w:rsid w:val="00C039C7"/>
    <w:rsid w:val="00C04650"/>
    <w:rsid w:val="00C049FC"/>
    <w:rsid w:val="00C06DBF"/>
    <w:rsid w:val="00C13F6B"/>
    <w:rsid w:val="00C14F5F"/>
    <w:rsid w:val="00C168A3"/>
    <w:rsid w:val="00C16D20"/>
    <w:rsid w:val="00C17587"/>
    <w:rsid w:val="00C17DDE"/>
    <w:rsid w:val="00C26C3E"/>
    <w:rsid w:val="00C300A1"/>
    <w:rsid w:val="00C3653D"/>
    <w:rsid w:val="00C37329"/>
    <w:rsid w:val="00C40C3C"/>
    <w:rsid w:val="00C44310"/>
    <w:rsid w:val="00C52739"/>
    <w:rsid w:val="00C5713C"/>
    <w:rsid w:val="00C57903"/>
    <w:rsid w:val="00C6085C"/>
    <w:rsid w:val="00C620FC"/>
    <w:rsid w:val="00C673BF"/>
    <w:rsid w:val="00C703A9"/>
    <w:rsid w:val="00C7078B"/>
    <w:rsid w:val="00C77A02"/>
    <w:rsid w:val="00C84BBA"/>
    <w:rsid w:val="00C922D9"/>
    <w:rsid w:val="00C93210"/>
    <w:rsid w:val="00C93E08"/>
    <w:rsid w:val="00C94AFA"/>
    <w:rsid w:val="00C978A8"/>
    <w:rsid w:val="00CA051C"/>
    <w:rsid w:val="00CA1E77"/>
    <w:rsid w:val="00CA3AAC"/>
    <w:rsid w:val="00CA4F66"/>
    <w:rsid w:val="00CA4FD6"/>
    <w:rsid w:val="00CA50C7"/>
    <w:rsid w:val="00CB60C3"/>
    <w:rsid w:val="00CC1092"/>
    <w:rsid w:val="00CC1A18"/>
    <w:rsid w:val="00CC4189"/>
    <w:rsid w:val="00CC598F"/>
    <w:rsid w:val="00CD2ACF"/>
    <w:rsid w:val="00CD4BE1"/>
    <w:rsid w:val="00CD60BA"/>
    <w:rsid w:val="00CD7BE3"/>
    <w:rsid w:val="00CE1AEC"/>
    <w:rsid w:val="00CE21B9"/>
    <w:rsid w:val="00D046AD"/>
    <w:rsid w:val="00D15A22"/>
    <w:rsid w:val="00D16FBC"/>
    <w:rsid w:val="00D172A9"/>
    <w:rsid w:val="00D21492"/>
    <w:rsid w:val="00D2149B"/>
    <w:rsid w:val="00D35509"/>
    <w:rsid w:val="00D4008A"/>
    <w:rsid w:val="00D42F6C"/>
    <w:rsid w:val="00D45C93"/>
    <w:rsid w:val="00D467CF"/>
    <w:rsid w:val="00D47E58"/>
    <w:rsid w:val="00D5104A"/>
    <w:rsid w:val="00D5340A"/>
    <w:rsid w:val="00D54443"/>
    <w:rsid w:val="00D54B83"/>
    <w:rsid w:val="00D56BB6"/>
    <w:rsid w:val="00D676CA"/>
    <w:rsid w:val="00D7295C"/>
    <w:rsid w:val="00D74572"/>
    <w:rsid w:val="00D76EAD"/>
    <w:rsid w:val="00D80269"/>
    <w:rsid w:val="00D804A9"/>
    <w:rsid w:val="00D81D55"/>
    <w:rsid w:val="00D860D3"/>
    <w:rsid w:val="00D86775"/>
    <w:rsid w:val="00D933F0"/>
    <w:rsid w:val="00D942B4"/>
    <w:rsid w:val="00DA0AC2"/>
    <w:rsid w:val="00DA104F"/>
    <w:rsid w:val="00DA5A23"/>
    <w:rsid w:val="00DA5D3D"/>
    <w:rsid w:val="00DA615F"/>
    <w:rsid w:val="00DA6839"/>
    <w:rsid w:val="00DB2BC8"/>
    <w:rsid w:val="00DB3CAC"/>
    <w:rsid w:val="00DB5B71"/>
    <w:rsid w:val="00DB68F3"/>
    <w:rsid w:val="00DC14EF"/>
    <w:rsid w:val="00DC36B2"/>
    <w:rsid w:val="00DC4237"/>
    <w:rsid w:val="00DC5148"/>
    <w:rsid w:val="00DD19F9"/>
    <w:rsid w:val="00DD2405"/>
    <w:rsid w:val="00DD4A29"/>
    <w:rsid w:val="00DD6650"/>
    <w:rsid w:val="00DD77AE"/>
    <w:rsid w:val="00DD7F52"/>
    <w:rsid w:val="00DE0D4F"/>
    <w:rsid w:val="00DE23A5"/>
    <w:rsid w:val="00DE2C95"/>
    <w:rsid w:val="00DE61AD"/>
    <w:rsid w:val="00DE7825"/>
    <w:rsid w:val="00DF0B1E"/>
    <w:rsid w:val="00DF1509"/>
    <w:rsid w:val="00DF336B"/>
    <w:rsid w:val="00DF439C"/>
    <w:rsid w:val="00DF4F93"/>
    <w:rsid w:val="00E02EBE"/>
    <w:rsid w:val="00E061E8"/>
    <w:rsid w:val="00E06410"/>
    <w:rsid w:val="00E07920"/>
    <w:rsid w:val="00E1167E"/>
    <w:rsid w:val="00E1288C"/>
    <w:rsid w:val="00E136FE"/>
    <w:rsid w:val="00E16F8B"/>
    <w:rsid w:val="00E20AF8"/>
    <w:rsid w:val="00E23561"/>
    <w:rsid w:val="00E255DF"/>
    <w:rsid w:val="00E31295"/>
    <w:rsid w:val="00E31C0A"/>
    <w:rsid w:val="00E42EC0"/>
    <w:rsid w:val="00E43C76"/>
    <w:rsid w:val="00E43D9A"/>
    <w:rsid w:val="00E44C90"/>
    <w:rsid w:val="00E47DE4"/>
    <w:rsid w:val="00E5021F"/>
    <w:rsid w:val="00E505F2"/>
    <w:rsid w:val="00E51BCD"/>
    <w:rsid w:val="00E52786"/>
    <w:rsid w:val="00E54197"/>
    <w:rsid w:val="00E546EF"/>
    <w:rsid w:val="00E57009"/>
    <w:rsid w:val="00E614CB"/>
    <w:rsid w:val="00E62624"/>
    <w:rsid w:val="00E659D9"/>
    <w:rsid w:val="00E666E5"/>
    <w:rsid w:val="00E66E87"/>
    <w:rsid w:val="00E70A6C"/>
    <w:rsid w:val="00E73E2F"/>
    <w:rsid w:val="00E809E7"/>
    <w:rsid w:val="00E855BA"/>
    <w:rsid w:val="00E86EB9"/>
    <w:rsid w:val="00E9259D"/>
    <w:rsid w:val="00E933F5"/>
    <w:rsid w:val="00E95509"/>
    <w:rsid w:val="00E979F3"/>
    <w:rsid w:val="00EA5DFF"/>
    <w:rsid w:val="00EA62E8"/>
    <w:rsid w:val="00EB20E6"/>
    <w:rsid w:val="00EB3A52"/>
    <w:rsid w:val="00EC04E3"/>
    <w:rsid w:val="00EC052A"/>
    <w:rsid w:val="00EC0C6A"/>
    <w:rsid w:val="00ED3970"/>
    <w:rsid w:val="00ED4A1C"/>
    <w:rsid w:val="00ED534B"/>
    <w:rsid w:val="00ED5A06"/>
    <w:rsid w:val="00EE142C"/>
    <w:rsid w:val="00EE2FF7"/>
    <w:rsid w:val="00EE6B89"/>
    <w:rsid w:val="00EF101A"/>
    <w:rsid w:val="00EF3498"/>
    <w:rsid w:val="00EF42AF"/>
    <w:rsid w:val="00F064F6"/>
    <w:rsid w:val="00F11170"/>
    <w:rsid w:val="00F1370D"/>
    <w:rsid w:val="00F20DCB"/>
    <w:rsid w:val="00F2256B"/>
    <w:rsid w:val="00F2615F"/>
    <w:rsid w:val="00F32D30"/>
    <w:rsid w:val="00F43E76"/>
    <w:rsid w:val="00F457E7"/>
    <w:rsid w:val="00F50CD7"/>
    <w:rsid w:val="00F54992"/>
    <w:rsid w:val="00F54AD3"/>
    <w:rsid w:val="00F573D3"/>
    <w:rsid w:val="00F60F1F"/>
    <w:rsid w:val="00F6117F"/>
    <w:rsid w:val="00F61F8D"/>
    <w:rsid w:val="00F636FC"/>
    <w:rsid w:val="00F6497E"/>
    <w:rsid w:val="00F6582B"/>
    <w:rsid w:val="00F664EE"/>
    <w:rsid w:val="00F673FC"/>
    <w:rsid w:val="00F72F43"/>
    <w:rsid w:val="00F756C7"/>
    <w:rsid w:val="00F765EE"/>
    <w:rsid w:val="00F811D6"/>
    <w:rsid w:val="00F83E2F"/>
    <w:rsid w:val="00F84D6C"/>
    <w:rsid w:val="00F87606"/>
    <w:rsid w:val="00F8766A"/>
    <w:rsid w:val="00F9167B"/>
    <w:rsid w:val="00F92D67"/>
    <w:rsid w:val="00F96B6B"/>
    <w:rsid w:val="00FB41E0"/>
    <w:rsid w:val="00FB7584"/>
    <w:rsid w:val="00FC0137"/>
    <w:rsid w:val="00FC0744"/>
    <w:rsid w:val="00FC20B2"/>
    <w:rsid w:val="00FC40E6"/>
    <w:rsid w:val="00FC4F09"/>
    <w:rsid w:val="00FC7D17"/>
    <w:rsid w:val="00FD0AB9"/>
    <w:rsid w:val="00FD0E60"/>
    <w:rsid w:val="00FD20ED"/>
    <w:rsid w:val="00FD2E58"/>
    <w:rsid w:val="00FE00D7"/>
    <w:rsid w:val="00FE025C"/>
    <w:rsid w:val="00FF09F7"/>
    <w:rsid w:val="00FF25B6"/>
    <w:rsid w:val="00FF484C"/>
    <w:rsid w:val="00FF6F3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04F7767"/>
  <w15:docId w15:val="{DC07DFC8-6810-493E-9A50-E31B142CB2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D2E58"/>
  </w:style>
  <w:style w:type="paragraph" w:styleId="Heading1">
    <w:name w:val="heading 1"/>
    <w:basedOn w:val="Normal"/>
    <w:next w:val="Normal"/>
    <w:link w:val="Heading1Char"/>
    <w:uiPriority w:val="9"/>
    <w:qFormat/>
    <w:rsid w:val="00C300A1"/>
    <w:pPr>
      <w:keepNext/>
      <w:keepLines/>
      <w:spacing w:before="48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9B7E55"/>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072ABE"/>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02EBE"/>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E1AEC"/>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CE1AEC"/>
    <w:rPr>
      <w:sz w:val="16"/>
      <w:szCs w:val="16"/>
    </w:rPr>
  </w:style>
  <w:style w:type="paragraph" w:styleId="CommentText">
    <w:name w:val="annotation text"/>
    <w:basedOn w:val="Normal"/>
    <w:link w:val="CommentTextChar"/>
    <w:uiPriority w:val="99"/>
    <w:unhideWhenUsed/>
    <w:rsid w:val="00CE1AEC"/>
    <w:pPr>
      <w:spacing w:line="240" w:lineRule="auto"/>
    </w:pPr>
    <w:rPr>
      <w:sz w:val="20"/>
      <w:szCs w:val="20"/>
    </w:rPr>
  </w:style>
  <w:style w:type="character" w:customStyle="1" w:styleId="CommentTextChar">
    <w:name w:val="Comment Text Char"/>
    <w:basedOn w:val="DefaultParagraphFont"/>
    <w:link w:val="CommentText"/>
    <w:uiPriority w:val="99"/>
    <w:rsid w:val="00CE1AEC"/>
    <w:rPr>
      <w:sz w:val="20"/>
      <w:szCs w:val="20"/>
    </w:rPr>
  </w:style>
  <w:style w:type="paragraph" w:styleId="Header">
    <w:name w:val="header"/>
    <w:basedOn w:val="Normal"/>
    <w:link w:val="HeaderChar"/>
    <w:uiPriority w:val="99"/>
    <w:unhideWhenUsed/>
    <w:rsid w:val="00CE1AEC"/>
    <w:pPr>
      <w:tabs>
        <w:tab w:val="center" w:pos="4680"/>
        <w:tab w:val="right" w:pos="9360"/>
      </w:tabs>
      <w:spacing w:line="240" w:lineRule="auto"/>
    </w:pPr>
  </w:style>
  <w:style w:type="character" w:customStyle="1" w:styleId="HeaderChar">
    <w:name w:val="Header Char"/>
    <w:basedOn w:val="DefaultParagraphFont"/>
    <w:link w:val="Header"/>
    <w:uiPriority w:val="99"/>
    <w:rsid w:val="00CE1AEC"/>
  </w:style>
  <w:style w:type="paragraph" w:styleId="EndnoteText">
    <w:name w:val="endnote text"/>
    <w:basedOn w:val="Normal"/>
    <w:link w:val="EndnoteTextChar"/>
    <w:uiPriority w:val="99"/>
    <w:semiHidden/>
    <w:unhideWhenUsed/>
    <w:rsid w:val="00CE1AEC"/>
    <w:pPr>
      <w:spacing w:line="240" w:lineRule="auto"/>
    </w:pPr>
    <w:rPr>
      <w:sz w:val="20"/>
      <w:szCs w:val="20"/>
    </w:rPr>
  </w:style>
  <w:style w:type="character" w:customStyle="1" w:styleId="EndnoteTextChar">
    <w:name w:val="Endnote Text Char"/>
    <w:basedOn w:val="DefaultParagraphFont"/>
    <w:link w:val="EndnoteText"/>
    <w:uiPriority w:val="99"/>
    <w:semiHidden/>
    <w:rsid w:val="00CE1AEC"/>
    <w:rPr>
      <w:sz w:val="20"/>
      <w:szCs w:val="20"/>
    </w:rPr>
  </w:style>
  <w:style w:type="character" w:styleId="EndnoteReference">
    <w:name w:val="endnote reference"/>
    <w:basedOn w:val="DefaultParagraphFont"/>
    <w:uiPriority w:val="99"/>
    <w:unhideWhenUsed/>
    <w:rsid w:val="00CE1AEC"/>
    <w:rPr>
      <w:vertAlign w:val="superscript"/>
    </w:rPr>
  </w:style>
  <w:style w:type="character" w:styleId="Hyperlink">
    <w:name w:val="Hyperlink"/>
    <w:basedOn w:val="DefaultParagraphFont"/>
    <w:uiPriority w:val="99"/>
    <w:unhideWhenUsed/>
    <w:rsid w:val="00CE1AEC"/>
    <w:rPr>
      <w:color w:val="0000FF" w:themeColor="hyperlink"/>
      <w:u w:val="single"/>
    </w:rPr>
  </w:style>
  <w:style w:type="paragraph" w:styleId="BalloonText">
    <w:name w:val="Balloon Text"/>
    <w:basedOn w:val="Normal"/>
    <w:link w:val="BalloonTextChar"/>
    <w:uiPriority w:val="99"/>
    <w:semiHidden/>
    <w:unhideWhenUsed/>
    <w:rsid w:val="00CE1AE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1AEC"/>
    <w:rPr>
      <w:rFonts w:ascii="Tahoma" w:hAnsi="Tahoma" w:cs="Tahoma"/>
      <w:sz w:val="16"/>
      <w:szCs w:val="16"/>
    </w:rPr>
  </w:style>
  <w:style w:type="paragraph" w:customStyle="1" w:styleId="Pa13">
    <w:name w:val="Pa1+3"/>
    <w:basedOn w:val="Normal"/>
    <w:next w:val="Normal"/>
    <w:uiPriority w:val="99"/>
    <w:rsid w:val="00A115BA"/>
    <w:pPr>
      <w:widowControl w:val="0"/>
      <w:autoSpaceDE w:val="0"/>
      <w:autoSpaceDN w:val="0"/>
      <w:adjustRightInd w:val="0"/>
      <w:spacing w:line="241" w:lineRule="atLeast"/>
    </w:pPr>
    <w:rPr>
      <w:rFonts w:ascii="Arial" w:eastAsia="MS Mincho" w:hAnsi="Arial" w:cs="Times New Roman"/>
      <w:sz w:val="24"/>
      <w:szCs w:val="24"/>
    </w:rPr>
  </w:style>
  <w:style w:type="character" w:customStyle="1" w:styleId="A62">
    <w:name w:val="A6+2"/>
    <w:uiPriority w:val="99"/>
    <w:rsid w:val="00A115BA"/>
    <w:rPr>
      <w:rFonts w:cs="Arial"/>
      <w:color w:val="221E1F"/>
      <w:sz w:val="22"/>
      <w:szCs w:val="22"/>
    </w:rPr>
  </w:style>
  <w:style w:type="paragraph" w:customStyle="1" w:styleId="Pa03">
    <w:name w:val="Pa0+3"/>
    <w:basedOn w:val="Normal"/>
    <w:next w:val="Normal"/>
    <w:uiPriority w:val="99"/>
    <w:rsid w:val="00A115BA"/>
    <w:pPr>
      <w:widowControl w:val="0"/>
      <w:autoSpaceDE w:val="0"/>
      <w:autoSpaceDN w:val="0"/>
      <w:adjustRightInd w:val="0"/>
      <w:spacing w:line="241" w:lineRule="atLeast"/>
    </w:pPr>
    <w:rPr>
      <w:rFonts w:ascii="Arial" w:eastAsia="MS Mincho" w:hAnsi="Arial" w:cs="Times New Roman"/>
      <w:sz w:val="24"/>
      <w:szCs w:val="24"/>
    </w:rPr>
  </w:style>
  <w:style w:type="character" w:customStyle="1" w:styleId="A103">
    <w:name w:val="A10+3"/>
    <w:uiPriority w:val="99"/>
    <w:rsid w:val="00A115BA"/>
    <w:rPr>
      <w:rFonts w:cs="Arial"/>
      <w:color w:val="221E1F"/>
      <w:sz w:val="19"/>
      <w:szCs w:val="19"/>
    </w:rPr>
  </w:style>
  <w:style w:type="paragraph" w:styleId="ListParagraph">
    <w:name w:val="List Paragraph"/>
    <w:basedOn w:val="Normal"/>
    <w:uiPriority w:val="34"/>
    <w:qFormat/>
    <w:rsid w:val="00494238"/>
    <w:pPr>
      <w:ind w:left="720"/>
      <w:contextualSpacing/>
    </w:pPr>
  </w:style>
  <w:style w:type="paragraph" w:styleId="Footer">
    <w:name w:val="footer"/>
    <w:basedOn w:val="Normal"/>
    <w:link w:val="FooterChar"/>
    <w:uiPriority w:val="99"/>
    <w:unhideWhenUsed/>
    <w:rsid w:val="00494238"/>
    <w:pPr>
      <w:tabs>
        <w:tab w:val="center" w:pos="4680"/>
        <w:tab w:val="right" w:pos="9360"/>
      </w:tabs>
      <w:spacing w:line="240" w:lineRule="auto"/>
    </w:pPr>
  </w:style>
  <w:style w:type="character" w:customStyle="1" w:styleId="FooterChar">
    <w:name w:val="Footer Char"/>
    <w:basedOn w:val="DefaultParagraphFont"/>
    <w:link w:val="Footer"/>
    <w:uiPriority w:val="99"/>
    <w:rsid w:val="00494238"/>
  </w:style>
  <w:style w:type="character" w:styleId="Strong">
    <w:name w:val="Strong"/>
    <w:basedOn w:val="DefaultParagraphFont"/>
    <w:uiPriority w:val="22"/>
    <w:qFormat/>
    <w:rsid w:val="00A55EDF"/>
    <w:rPr>
      <w:b/>
      <w:bCs/>
    </w:rPr>
  </w:style>
  <w:style w:type="paragraph" w:customStyle="1" w:styleId="Default">
    <w:name w:val="Default"/>
    <w:rsid w:val="00A55EDF"/>
    <w:pPr>
      <w:autoSpaceDE w:val="0"/>
      <w:autoSpaceDN w:val="0"/>
      <w:adjustRightInd w:val="0"/>
      <w:spacing w:line="240" w:lineRule="auto"/>
    </w:pPr>
    <w:rPr>
      <w:rFonts w:ascii="Verdana" w:hAnsi="Verdana" w:cs="Verdana"/>
      <w:color w:val="000000"/>
      <w:sz w:val="24"/>
      <w:szCs w:val="24"/>
    </w:rPr>
  </w:style>
  <w:style w:type="paragraph" w:styleId="NormalWeb">
    <w:name w:val="Normal (Web)"/>
    <w:basedOn w:val="Normal"/>
    <w:uiPriority w:val="99"/>
    <w:unhideWhenUsed/>
    <w:rsid w:val="00A55ED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5">
    <w:name w:val="A5"/>
    <w:uiPriority w:val="99"/>
    <w:rsid w:val="00A55EDF"/>
    <w:rPr>
      <w:rFonts w:cs="Calibri"/>
      <w:i/>
      <w:iCs/>
      <w:color w:val="221E1F"/>
      <w:sz w:val="22"/>
      <w:szCs w:val="22"/>
    </w:rPr>
  </w:style>
  <w:style w:type="paragraph" w:styleId="NoSpacing">
    <w:name w:val="No Spacing"/>
    <w:uiPriority w:val="1"/>
    <w:qFormat/>
    <w:rsid w:val="00A55EDF"/>
    <w:pPr>
      <w:spacing w:line="240" w:lineRule="auto"/>
    </w:pPr>
  </w:style>
  <w:style w:type="paragraph" w:styleId="CommentSubject">
    <w:name w:val="annotation subject"/>
    <w:basedOn w:val="CommentText"/>
    <w:next w:val="CommentText"/>
    <w:link w:val="CommentSubjectChar"/>
    <w:uiPriority w:val="99"/>
    <w:semiHidden/>
    <w:unhideWhenUsed/>
    <w:rsid w:val="00927BAE"/>
    <w:rPr>
      <w:b/>
      <w:bCs/>
    </w:rPr>
  </w:style>
  <w:style w:type="character" w:customStyle="1" w:styleId="CommentSubjectChar">
    <w:name w:val="Comment Subject Char"/>
    <w:basedOn w:val="CommentTextChar"/>
    <w:link w:val="CommentSubject"/>
    <w:uiPriority w:val="99"/>
    <w:semiHidden/>
    <w:rsid w:val="00927BAE"/>
    <w:rPr>
      <w:b/>
      <w:bCs/>
      <w:sz w:val="20"/>
      <w:szCs w:val="20"/>
    </w:rPr>
  </w:style>
  <w:style w:type="paragraph" w:styleId="Revision">
    <w:name w:val="Revision"/>
    <w:hidden/>
    <w:uiPriority w:val="99"/>
    <w:semiHidden/>
    <w:rsid w:val="00D47E58"/>
    <w:pPr>
      <w:spacing w:line="240" w:lineRule="auto"/>
    </w:pPr>
  </w:style>
  <w:style w:type="paragraph" w:styleId="FootnoteText">
    <w:name w:val="footnote text"/>
    <w:basedOn w:val="Normal"/>
    <w:link w:val="FootnoteTextChar"/>
    <w:uiPriority w:val="99"/>
    <w:semiHidden/>
    <w:unhideWhenUsed/>
    <w:rsid w:val="001C4434"/>
    <w:pPr>
      <w:spacing w:line="240" w:lineRule="auto"/>
    </w:pPr>
    <w:rPr>
      <w:sz w:val="20"/>
      <w:szCs w:val="20"/>
    </w:rPr>
  </w:style>
  <w:style w:type="character" w:customStyle="1" w:styleId="FootnoteTextChar">
    <w:name w:val="Footnote Text Char"/>
    <w:basedOn w:val="DefaultParagraphFont"/>
    <w:link w:val="FootnoteText"/>
    <w:uiPriority w:val="99"/>
    <w:semiHidden/>
    <w:rsid w:val="001C4434"/>
    <w:rPr>
      <w:sz w:val="20"/>
      <w:szCs w:val="20"/>
    </w:rPr>
  </w:style>
  <w:style w:type="character" w:styleId="FootnoteReference">
    <w:name w:val="footnote reference"/>
    <w:basedOn w:val="DefaultParagraphFont"/>
    <w:uiPriority w:val="99"/>
    <w:semiHidden/>
    <w:unhideWhenUsed/>
    <w:rsid w:val="001C4434"/>
    <w:rPr>
      <w:vertAlign w:val="superscript"/>
    </w:rPr>
  </w:style>
  <w:style w:type="character" w:customStyle="1" w:styleId="Heading1Char">
    <w:name w:val="Heading 1 Char"/>
    <w:basedOn w:val="DefaultParagraphFont"/>
    <w:link w:val="Heading1"/>
    <w:uiPriority w:val="9"/>
    <w:rsid w:val="00C300A1"/>
    <w:rPr>
      <w:rFonts w:eastAsiaTheme="majorEastAsia" w:cstheme="majorBidi"/>
      <w:b/>
      <w:bCs/>
      <w:sz w:val="28"/>
      <w:szCs w:val="28"/>
    </w:rPr>
  </w:style>
  <w:style w:type="paragraph" w:styleId="TOCHeading">
    <w:name w:val="TOC Heading"/>
    <w:basedOn w:val="Heading1"/>
    <w:next w:val="Normal"/>
    <w:uiPriority w:val="39"/>
    <w:semiHidden/>
    <w:unhideWhenUsed/>
    <w:qFormat/>
    <w:rsid w:val="00E66E87"/>
    <w:pPr>
      <w:outlineLvl w:val="9"/>
    </w:pPr>
  </w:style>
  <w:style w:type="paragraph" w:styleId="TOC1">
    <w:name w:val="toc 1"/>
    <w:basedOn w:val="Normal"/>
    <w:next w:val="Normal"/>
    <w:autoRedefine/>
    <w:uiPriority w:val="39"/>
    <w:unhideWhenUsed/>
    <w:rsid w:val="00887C41"/>
    <w:pPr>
      <w:tabs>
        <w:tab w:val="right" w:leader="dot" w:pos="8990"/>
      </w:tabs>
      <w:spacing w:after="100" w:line="240" w:lineRule="auto"/>
    </w:pPr>
  </w:style>
  <w:style w:type="paragraph" w:styleId="PlainText">
    <w:name w:val="Plain Text"/>
    <w:basedOn w:val="Normal"/>
    <w:link w:val="PlainTextChar"/>
    <w:uiPriority w:val="99"/>
    <w:semiHidden/>
    <w:unhideWhenUsed/>
    <w:rsid w:val="001217FC"/>
    <w:pPr>
      <w:spacing w:line="240" w:lineRule="auto"/>
    </w:pPr>
    <w:rPr>
      <w:rFonts w:ascii="Calibri" w:hAnsi="Calibri"/>
      <w:szCs w:val="21"/>
    </w:rPr>
  </w:style>
  <w:style w:type="character" w:customStyle="1" w:styleId="PlainTextChar">
    <w:name w:val="Plain Text Char"/>
    <w:basedOn w:val="DefaultParagraphFont"/>
    <w:link w:val="PlainText"/>
    <w:uiPriority w:val="99"/>
    <w:semiHidden/>
    <w:rsid w:val="001217FC"/>
    <w:rPr>
      <w:rFonts w:ascii="Calibri" w:hAnsi="Calibri"/>
      <w:szCs w:val="21"/>
    </w:rPr>
  </w:style>
  <w:style w:type="character" w:customStyle="1" w:styleId="Heading2Char">
    <w:name w:val="Heading 2 Char"/>
    <w:basedOn w:val="DefaultParagraphFont"/>
    <w:link w:val="Heading2"/>
    <w:uiPriority w:val="9"/>
    <w:rsid w:val="009B7E55"/>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DA0AC2"/>
    <w:pPr>
      <w:tabs>
        <w:tab w:val="right" w:leader="dot" w:pos="8990"/>
      </w:tabs>
      <w:spacing w:after="100" w:line="240" w:lineRule="auto"/>
      <w:ind w:left="220"/>
    </w:pPr>
    <w:rPr>
      <w:noProof/>
    </w:rPr>
  </w:style>
  <w:style w:type="character" w:customStyle="1" w:styleId="Heading3Char">
    <w:name w:val="Heading 3 Char"/>
    <w:basedOn w:val="DefaultParagraphFont"/>
    <w:link w:val="Heading3"/>
    <w:uiPriority w:val="9"/>
    <w:rsid w:val="00072ABE"/>
    <w:rPr>
      <w:rFonts w:asciiTheme="majorHAnsi" w:eastAsiaTheme="majorEastAsia" w:hAnsiTheme="majorHAnsi" w:cstheme="majorBidi"/>
      <w:b/>
      <w:bCs/>
      <w:color w:val="4F81BD" w:themeColor="accent1"/>
    </w:rPr>
  </w:style>
  <w:style w:type="paragraph" w:styleId="TOC3">
    <w:name w:val="toc 3"/>
    <w:basedOn w:val="Normal"/>
    <w:next w:val="Normal"/>
    <w:autoRedefine/>
    <w:uiPriority w:val="39"/>
    <w:unhideWhenUsed/>
    <w:rsid w:val="00072ABE"/>
    <w:pPr>
      <w:spacing w:after="100"/>
      <w:ind w:left="440"/>
    </w:pPr>
  </w:style>
  <w:style w:type="character" w:styleId="FollowedHyperlink">
    <w:name w:val="FollowedHyperlink"/>
    <w:basedOn w:val="DefaultParagraphFont"/>
    <w:uiPriority w:val="99"/>
    <w:semiHidden/>
    <w:unhideWhenUsed/>
    <w:rsid w:val="00B545FD"/>
    <w:rPr>
      <w:color w:val="800080" w:themeColor="followedHyperlink"/>
      <w:u w:val="single"/>
    </w:rPr>
  </w:style>
  <w:style w:type="character" w:customStyle="1" w:styleId="apple-converted-space">
    <w:name w:val="apple-converted-space"/>
    <w:basedOn w:val="DefaultParagraphFont"/>
    <w:rsid w:val="000315C0"/>
  </w:style>
  <w:style w:type="character" w:customStyle="1" w:styleId="apple-tab-span">
    <w:name w:val="apple-tab-span"/>
    <w:basedOn w:val="DefaultParagraphFont"/>
    <w:rsid w:val="005B48F0"/>
  </w:style>
  <w:style w:type="character" w:customStyle="1" w:styleId="Heading4Char">
    <w:name w:val="Heading 4 Char"/>
    <w:basedOn w:val="DefaultParagraphFont"/>
    <w:link w:val="Heading4"/>
    <w:uiPriority w:val="9"/>
    <w:semiHidden/>
    <w:rsid w:val="00E02EBE"/>
    <w:rPr>
      <w:rFonts w:asciiTheme="majorHAnsi" w:eastAsiaTheme="majorEastAsia" w:hAnsiTheme="majorHAnsi" w:cstheme="majorBidi"/>
      <w:b/>
      <w:bCs/>
      <w:i/>
      <w:iCs/>
      <w:color w:val="4F81BD" w:themeColor="accent1"/>
    </w:rPr>
  </w:style>
  <w:style w:type="paragraph" w:styleId="Caption">
    <w:name w:val="caption"/>
    <w:basedOn w:val="Normal"/>
    <w:next w:val="Normal"/>
    <w:uiPriority w:val="35"/>
    <w:unhideWhenUsed/>
    <w:qFormat/>
    <w:rsid w:val="002A22A0"/>
    <w:pPr>
      <w:spacing w:after="200"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67766">
      <w:bodyDiv w:val="1"/>
      <w:marLeft w:val="0"/>
      <w:marRight w:val="0"/>
      <w:marTop w:val="0"/>
      <w:marBottom w:val="0"/>
      <w:divBdr>
        <w:top w:val="none" w:sz="0" w:space="0" w:color="auto"/>
        <w:left w:val="none" w:sz="0" w:space="0" w:color="auto"/>
        <w:bottom w:val="none" w:sz="0" w:space="0" w:color="auto"/>
        <w:right w:val="none" w:sz="0" w:space="0" w:color="auto"/>
      </w:divBdr>
    </w:div>
    <w:div w:id="15274409">
      <w:bodyDiv w:val="1"/>
      <w:marLeft w:val="0"/>
      <w:marRight w:val="0"/>
      <w:marTop w:val="0"/>
      <w:marBottom w:val="0"/>
      <w:divBdr>
        <w:top w:val="none" w:sz="0" w:space="0" w:color="auto"/>
        <w:left w:val="none" w:sz="0" w:space="0" w:color="auto"/>
        <w:bottom w:val="none" w:sz="0" w:space="0" w:color="auto"/>
        <w:right w:val="none" w:sz="0" w:space="0" w:color="auto"/>
      </w:divBdr>
    </w:div>
    <w:div w:id="36587446">
      <w:bodyDiv w:val="1"/>
      <w:marLeft w:val="0"/>
      <w:marRight w:val="0"/>
      <w:marTop w:val="0"/>
      <w:marBottom w:val="0"/>
      <w:divBdr>
        <w:top w:val="none" w:sz="0" w:space="0" w:color="auto"/>
        <w:left w:val="none" w:sz="0" w:space="0" w:color="auto"/>
        <w:bottom w:val="none" w:sz="0" w:space="0" w:color="auto"/>
        <w:right w:val="none" w:sz="0" w:space="0" w:color="auto"/>
      </w:divBdr>
    </w:div>
    <w:div w:id="79184307">
      <w:bodyDiv w:val="1"/>
      <w:marLeft w:val="0"/>
      <w:marRight w:val="0"/>
      <w:marTop w:val="0"/>
      <w:marBottom w:val="0"/>
      <w:divBdr>
        <w:top w:val="none" w:sz="0" w:space="0" w:color="auto"/>
        <w:left w:val="none" w:sz="0" w:space="0" w:color="auto"/>
        <w:bottom w:val="none" w:sz="0" w:space="0" w:color="auto"/>
        <w:right w:val="none" w:sz="0" w:space="0" w:color="auto"/>
      </w:divBdr>
    </w:div>
    <w:div w:id="188833498">
      <w:bodyDiv w:val="1"/>
      <w:marLeft w:val="0"/>
      <w:marRight w:val="0"/>
      <w:marTop w:val="0"/>
      <w:marBottom w:val="0"/>
      <w:divBdr>
        <w:top w:val="none" w:sz="0" w:space="0" w:color="auto"/>
        <w:left w:val="none" w:sz="0" w:space="0" w:color="auto"/>
        <w:bottom w:val="none" w:sz="0" w:space="0" w:color="auto"/>
        <w:right w:val="none" w:sz="0" w:space="0" w:color="auto"/>
      </w:divBdr>
    </w:div>
    <w:div w:id="242765028">
      <w:bodyDiv w:val="1"/>
      <w:marLeft w:val="0"/>
      <w:marRight w:val="0"/>
      <w:marTop w:val="0"/>
      <w:marBottom w:val="0"/>
      <w:divBdr>
        <w:top w:val="none" w:sz="0" w:space="0" w:color="auto"/>
        <w:left w:val="none" w:sz="0" w:space="0" w:color="auto"/>
        <w:bottom w:val="none" w:sz="0" w:space="0" w:color="auto"/>
        <w:right w:val="none" w:sz="0" w:space="0" w:color="auto"/>
      </w:divBdr>
    </w:div>
    <w:div w:id="389113421">
      <w:bodyDiv w:val="1"/>
      <w:marLeft w:val="0"/>
      <w:marRight w:val="0"/>
      <w:marTop w:val="0"/>
      <w:marBottom w:val="0"/>
      <w:divBdr>
        <w:top w:val="none" w:sz="0" w:space="0" w:color="auto"/>
        <w:left w:val="none" w:sz="0" w:space="0" w:color="auto"/>
        <w:bottom w:val="none" w:sz="0" w:space="0" w:color="auto"/>
        <w:right w:val="none" w:sz="0" w:space="0" w:color="auto"/>
      </w:divBdr>
    </w:div>
    <w:div w:id="393285526">
      <w:bodyDiv w:val="1"/>
      <w:marLeft w:val="0"/>
      <w:marRight w:val="0"/>
      <w:marTop w:val="0"/>
      <w:marBottom w:val="0"/>
      <w:divBdr>
        <w:top w:val="none" w:sz="0" w:space="0" w:color="auto"/>
        <w:left w:val="none" w:sz="0" w:space="0" w:color="auto"/>
        <w:bottom w:val="none" w:sz="0" w:space="0" w:color="auto"/>
        <w:right w:val="none" w:sz="0" w:space="0" w:color="auto"/>
      </w:divBdr>
      <w:divsChild>
        <w:div w:id="282348909">
          <w:marLeft w:val="-115"/>
          <w:marRight w:val="0"/>
          <w:marTop w:val="0"/>
          <w:marBottom w:val="0"/>
          <w:divBdr>
            <w:top w:val="none" w:sz="0" w:space="0" w:color="auto"/>
            <w:left w:val="none" w:sz="0" w:space="0" w:color="auto"/>
            <w:bottom w:val="none" w:sz="0" w:space="0" w:color="auto"/>
            <w:right w:val="none" w:sz="0" w:space="0" w:color="auto"/>
          </w:divBdr>
        </w:div>
      </w:divsChild>
    </w:div>
    <w:div w:id="414472443">
      <w:bodyDiv w:val="1"/>
      <w:marLeft w:val="0"/>
      <w:marRight w:val="0"/>
      <w:marTop w:val="0"/>
      <w:marBottom w:val="0"/>
      <w:divBdr>
        <w:top w:val="none" w:sz="0" w:space="0" w:color="auto"/>
        <w:left w:val="none" w:sz="0" w:space="0" w:color="auto"/>
        <w:bottom w:val="none" w:sz="0" w:space="0" w:color="auto"/>
        <w:right w:val="none" w:sz="0" w:space="0" w:color="auto"/>
      </w:divBdr>
    </w:div>
    <w:div w:id="455754926">
      <w:bodyDiv w:val="1"/>
      <w:marLeft w:val="0"/>
      <w:marRight w:val="0"/>
      <w:marTop w:val="0"/>
      <w:marBottom w:val="0"/>
      <w:divBdr>
        <w:top w:val="none" w:sz="0" w:space="0" w:color="auto"/>
        <w:left w:val="none" w:sz="0" w:space="0" w:color="auto"/>
        <w:bottom w:val="none" w:sz="0" w:space="0" w:color="auto"/>
        <w:right w:val="none" w:sz="0" w:space="0" w:color="auto"/>
      </w:divBdr>
    </w:div>
    <w:div w:id="484660903">
      <w:bodyDiv w:val="1"/>
      <w:marLeft w:val="0"/>
      <w:marRight w:val="0"/>
      <w:marTop w:val="0"/>
      <w:marBottom w:val="0"/>
      <w:divBdr>
        <w:top w:val="none" w:sz="0" w:space="0" w:color="auto"/>
        <w:left w:val="none" w:sz="0" w:space="0" w:color="auto"/>
        <w:bottom w:val="none" w:sz="0" w:space="0" w:color="auto"/>
        <w:right w:val="none" w:sz="0" w:space="0" w:color="auto"/>
      </w:divBdr>
    </w:div>
    <w:div w:id="608663396">
      <w:bodyDiv w:val="1"/>
      <w:marLeft w:val="0"/>
      <w:marRight w:val="0"/>
      <w:marTop w:val="0"/>
      <w:marBottom w:val="0"/>
      <w:divBdr>
        <w:top w:val="none" w:sz="0" w:space="0" w:color="auto"/>
        <w:left w:val="none" w:sz="0" w:space="0" w:color="auto"/>
        <w:bottom w:val="none" w:sz="0" w:space="0" w:color="auto"/>
        <w:right w:val="none" w:sz="0" w:space="0" w:color="auto"/>
      </w:divBdr>
    </w:div>
    <w:div w:id="615984000">
      <w:bodyDiv w:val="1"/>
      <w:marLeft w:val="0"/>
      <w:marRight w:val="0"/>
      <w:marTop w:val="0"/>
      <w:marBottom w:val="0"/>
      <w:divBdr>
        <w:top w:val="none" w:sz="0" w:space="0" w:color="auto"/>
        <w:left w:val="none" w:sz="0" w:space="0" w:color="auto"/>
        <w:bottom w:val="none" w:sz="0" w:space="0" w:color="auto"/>
        <w:right w:val="none" w:sz="0" w:space="0" w:color="auto"/>
      </w:divBdr>
    </w:div>
    <w:div w:id="624194060">
      <w:bodyDiv w:val="1"/>
      <w:marLeft w:val="0"/>
      <w:marRight w:val="0"/>
      <w:marTop w:val="0"/>
      <w:marBottom w:val="0"/>
      <w:divBdr>
        <w:top w:val="none" w:sz="0" w:space="0" w:color="auto"/>
        <w:left w:val="none" w:sz="0" w:space="0" w:color="auto"/>
        <w:bottom w:val="none" w:sz="0" w:space="0" w:color="auto"/>
        <w:right w:val="none" w:sz="0" w:space="0" w:color="auto"/>
      </w:divBdr>
    </w:div>
    <w:div w:id="658459433">
      <w:bodyDiv w:val="1"/>
      <w:marLeft w:val="0"/>
      <w:marRight w:val="0"/>
      <w:marTop w:val="0"/>
      <w:marBottom w:val="0"/>
      <w:divBdr>
        <w:top w:val="none" w:sz="0" w:space="0" w:color="auto"/>
        <w:left w:val="none" w:sz="0" w:space="0" w:color="auto"/>
        <w:bottom w:val="none" w:sz="0" w:space="0" w:color="auto"/>
        <w:right w:val="none" w:sz="0" w:space="0" w:color="auto"/>
      </w:divBdr>
    </w:div>
    <w:div w:id="770249247">
      <w:bodyDiv w:val="1"/>
      <w:marLeft w:val="0"/>
      <w:marRight w:val="0"/>
      <w:marTop w:val="0"/>
      <w:marBottom w:val="0"/>
      <w:divBdr>
        <w:top w:val="none" w:sz="0" w:space="0" w:color="auto"/>
        <w:left w:val="none" w:sz="0" w:space="0" w:color="auto"/>
        <w:bottom w:val="none" w:sz="0" w:space="0" w:color="auto"/>
        <w:right w:val="none" w:sz="0" w:space="0" w:color="auto"/>
      </w:divBdr>
    </w:div>
    <w:div w:id="780420472">
      <w:bodyDiv w:val="1"/>
      <w:marLeft w:val="0"/>
      <w:marRight w:val="0"/>
      <w:marTop w:val="0"/>
      <w:marBottom w:val="0"/>
      <w:divBdr>
        <w:top w:val="none" w:sz="0" w:space="0" w:color="auto"/>
        <w:left w:val="none" w:sz="0" w:space="0" w:color="auto"/>
        <w:bottom w:val="none" w:sz="0" w:space="0" w:color="auto"/>
        <w:right w:val="none" w:sz="0" w:space="0" w:color="auto"/>
      </w:divBdr>
    </w:div>
    <w:div w:id="785539249">
      <w:bodyDiv w:val="1"/>
      <w:marLeft w:val="0"/>
      <w:marRight w:val="0"/>
      <w:marTop w:val="0"/>
      <w:marBottom w:val="0"/>
      <w:divBdr>
        <w:top w:val="none" w:sz="0" w:space="0" w:color="auto"/>
        <w:left w:val="none" w:sz="0" w:space="0" w:color="auto"/>
        <w:bottom w:val="none" w:sz="0" w:space="0" w:color="auto"/>
        <w:right w:val="none" w:sz="0" w:space="0" w:color="auto"/>
      </w:divBdr>
    </w:div>
    <w:div w:id="799151289">
      <w:bodyDiv w:val="1"/>
      <w:marLeft w:val="0"/>
      <w:marRight w:val="0"/>
      <w:marTop w:val="0"/>
      <w:marBottom w:val="0"/>
      <w:divBdr>
        <w:top w:val="none" w:sz="0" w:space="0" w:color="auto"/>
        <w:left w:val="none" w:sz="0" w:space="0" w:color="auto"/>
        <w:bottom w:val="none" w:sz="0" w:space="0" w:color="auto"/>
        <w:right w:val="none" w:sz="0" w:space="0" w:color="auto"/>
      </w:divBdr>
    </w:div>
    <w:div w:id="809592480">
      <w:bodyDiv w:val="1"/>
      <w:marLeft w:val="0"/>
      <w:marRight w:val="0"/>
      <w:marTop w:val="0"/>
      <w:marBottom w:val="0"/>
      <w:divBdr>
        <w:top w:val="none" w:sz="0" w:space="0" w:color="auto"/>
        <w:left w:val="none" w:sz="0" w:space="0" w:color="auto"/>
        <w:bottom w:val="none" w:sz="0" w:space="0" w:color="auto"/>
        <w:right w:val="none" w:sz="0" w:space="0" w:color="auto"/>
      </w:divBdr>
    </w:div>
    <w:div w:id="833494828">
      <w:bodyDiv w:val="1"/>
      <w:marLeft w:val="0"/>
      <w:marRight w:val="0"/>
      <w:marTop w:val="0"/>
      <w:marBottom w:val="0"/>
      <w:divBdr>
        <w:top w:val="none" w:sz="0" w:space="0" w:color="auto"/>
        <w:left w:val="none" w:sz="0" w:space="0" w:color="auto"/>
        <w:bottom w:val="none" w:sz="0" w:space="0" w:color="auto"/>
        <w:right w:val="none" w:sz="0" w:space="0" w:color="auto"/>
      </w:divBdr>
    </w:div>
    <w:div w:id="842550433">
      <w:bodyDiv w:val="1"/>
      <w:marLeft w:val="0"/>
      <w:marRight w:val="0"/>
      <w:marTop w:val="0"/>
      <w:marBottom w:val="0"/>
      <w:divBdr>
        <w:top w:val="none" w:sz="0" w:space="0" w:color="auto"/>
        <w:left w:val="none" w:sz="0" w:space="0" w:color="auto"/>
        <w:bottom w:val="none" w:sz="0" w:space="0" w:color="auto"/>
        <w:right w:val="none" w:sz="0" w:space="0" w:color="auto"/>
      </w:divBdr>
    </w:div>
    <w:div w:id="861822266">
      <w:bodyDiv w:val="1"/>
      <w:marLeft w:val="0"/>
      <w:marRight w:val="0"/>
      <w:marTop w:val="0"/>
      <w:marBottom w:val="0"/>
      <w:divBdr>
        <w:top w:val="none" w:sz="0" w:space="0" w:color="auto"/>
        <w:left w:val="none" w:sz="0" w:space="0" w:color="auto"/>
        <w:bottom w:val="none" w:sz="0" w:space="0" w:color="auto"/>
        <w:right w:val="none" w:sz="0" w:space="0" w:color="auto"/>
      </w:divBdr>
    </w:div>
    <w:div w:id="878400445">
      <w:bodyDiv w:val="1"/>
      <w:marLeft w:val="0"/>
      <w:marRight w:val="0"/>
      <w:marTop w:val="0"/>
      <w:marBottom w:val="0"/>
      <w:divBdr>
        <w:top w:val="none" w:sz="0" w:space="0" w:color="auto"/>
        <w:left w:val="none" w:sz="0" w:space="0" w:color="auto"/>
        <w:bottom w:val="none" w:sz="0" w:space="0" w:color="auto"/>
        <w:right w:val="none" w:sz="0" w:space="0" w:color="auto"/>
      </w:divBdr>
    </w:div>
    <w:div w:id="885795167">
      <w:bodyDiv w:val="1"/>
      <w:marLeft w:val="0"/>
      <w:marRight w:val="0"/>
      <w:marTop w:val="0"/>
      <w:marBottom w:val="0"/>
      <w:divBdr>
        <w:top w:val="none" w:sz="0" w:space="0" w:color="auto"/>
        <w:left w:val="none" w:sz="0" w:space="0" w:color="auto"/>
        <w:bottom w:val="none" w:sz="0" w:space="0" w:color="auto"/>
        <w:right w:val="none" w:sz="0" w:space="0" w:color="auto"/>
      </w:divBdr>
    </w:div>
    <w:div w:id="989210435">
      <w:bodyDiv w:val="1"/>
      <w:marLeft w:val="0"/>
      <w:marRight w:val="0"/>
      <w:marTop w:val="0"/>
      <w:marBottom w:val="0"/>
      <w:divBdr>
        <w:top w:val="none" w:sz="0" w:space="0" w:color="auto"/>
        <w:left w:val="none" w:sz="0" w:space="0" w:color="auto"/>
        <w:bottom w:val="none" w:sz="0" w:space="0" w:color="auto"/>
        <w:right w:val="none" w:sz="0" w:space="0" w:color="auto"/>
      </w:divBdr>
    </w:div>
    <w:div w:id="1019433256">
      <w:bodyDiv w:val="1"/>
      <w:marLeft w:val="0"/>
      <w:marRight w:val="0"/>
      <w:marTop w:val="0"/>
      <w:marBottom w:val="0"/>
      <w:divBdr>
        <w:top w:val="none" w:sz="0" w:space="0" w:color="auto"/>
        <w:left w:val="none" w:sz="0" w:space="0" w:color="auto"/>
        <w:bottom w:val="none" w:sz="0" w:space="0" w:color="auto"/>
        <w:right w:val="none" w:sz="0" w:space="0" w:color="auto"/>
      </w:divBdr>
    </w:div>
    <w:div w:id="1061634996">
      <w:bodyDiv w:val="1"/>
      <w:marLeft w:val="0"/>
      <w:marRight w:val="0"/>
      <w:marTop w:val="0"/>
      <w:marBottom w:val="0"/>
      <w:divBdr>
        <w:top w:val="none" w:sz="0" w:space="0" w:color="auto"/>
        <w:left w:val="none" w:sz="0" w:space="0" w:color="auto"/>
        <w:bottom w:val="none" w:sz="0" w:space="0" w:color="auto"/>
        <w:right w:val="none" w:sz="0" w:space="0" w:color="auto"/>
      </w:divBdr>
    </w:div>
    <w:div w:id="1063793942">
      <w:bodyDiv w:val="1"/>
      <w:marLeft w:val="0"/>
      <w:marRight w:val="0"/>
      <w:marTop w:val="0"/>
      <w:marBottom w:val="0"/>
      <w:divBdr>
        <w:top w:val="none" w:sz="0" w:space="0" w:color="auto"/>
        <w:left w:val="none" w:sz="0" w:space="0" w:color="auto"/>
        <w:bottom w:val="none" w:sz="0" w:space="0" w:color="auto"/>
        <w:right w:val="none" w:sz="0" w:space="0" w:color="auto"/>
      </w:divBdr>
    </w:div>
    <w:div w:id="1078597679">
      <w:bodyDiv w:val="1"/>
      <w:marLeft w:val="0"/>
      <w:marRight w:val="0"/>
      <w:marTop w:val="0"/>
      <w:marBottom w:val="0"/>
      <w:divBdr>
        <w:top w:val="none" w:sz="0" w:space="0" w:color="auto"/>
        <w:left w:val="none" w:sz="0" w:space="0" w:color="auto"/>
        <w:bottom w:val="none" w:sz="0" w:space="0" w:color="auto"/>
        <w:right w:val="none" w:sz="0" w:space="0" w:color="auto"/>
      </w:divBdr>
    </w:div>
    <w:div w:id="1147865103">
      <w:bodyDiv w:val="1"/>
      <w:marLeft w:val="0"/>
      <w:marRight w:val="0"/>
      <w:marTop w:val="0"/>
      <w:marBottom w:val="0"/>
      <w:divBdr>
        <w:top w:val="none" w:sz="0" w:space="0" w:color="auto"/>
        <w:left w:val="none" w:sz="0" w:space="0" w:color="auto"/>
        <w:bottom w:val="none" w:sz="0" w:space="0" w:color="auto"/>
        <w:right w:val="none" w:sz="0" w:space="0" w:color="auto"/>
      </w:divBdr>
    </w:div>
    <w:div w:id="1180580949">
      <w:bodyDiv w:val="1"/>
      <w:marLeft w:val="0"/>
      <w:marRight w:val="0"/>
      <w:marTop w:val="0"/>
      <w:marBottom w:val="0"/>
      <w:divBdr>
        <w:top w:val="none" w:sz="0" w:space="0" w:color="auto"/>
        <w:left w:val="none" w:sz="0" w:space="0" w:color="auto"/>
        <w:bottom w:val="none" w:sz="0" w:space="0" w:color="auto"/>
        <w:right w:val="none" w:sz="0" w:space="0" w:color="auto"/>
      </w:divBdr>
    </w:div>
    <w:div w:id="1264344767">
      <w:bodyDiv w:val="1"/>
      <w:marLeft w:val="0"/>
      <w:marRight w:val="0"/>
      <w:marTop w:val="0"/>
      <w:marBottom w:val="0"/>
      <w:divBdr>
        <w:top w:val="none" w:sz="0" w:space="0" w:color="auto"/>
        <w:left w:val="none" w:sz="0" w:space="0" w:color="auto"/>
        <w:bottom w:val="none" w:sz="0" w:space="0" w:color="auto"/>
        <w:right w:val="none" w:sz="0" w:space="0" w:color="auto"/>
      </w:divBdr>
    </w:div>
    <w:div w:id="1287739013">
      <w:bodyDiv w:val="1"/>
      <w:marLeft w:val="0"/>
      <w:marRight w:val="0"/>
      <w:marTop w:val="0"/>
      <w:marBottom w:val="0"/>
      <w:divBdr>
        <w:top w:val="none" w:sz="0" w:space="0" w:color="auto"/>
        <w:left w:val="none" w:sz="0" w:space="0" w:color="auto"/>
        <w:bottom w:val="none" w:sz="0" w:space="0" w:color="auto"/>
        <w:right w:val="none" w:sz="0" w:space="0" w:color="auto"/>
      </w:divBdr>
    </w:div>
    <w:div w:id="1292980585">
      <w:bodyDiv w:val="1"/>
      <w:marLeft w:val="0"/>
      <w:marRight w:val="0"/>
      <w:marTop w:val="0"/>
      <w:marBottom w:val="0"/>
      <w:divBdr>
        <w:top w:val="none" w:sz="0" w:space="0" w:color="auto"/>
        <w:left w:val="none" w:sz="0" w:space="0" w:color="auto"/>
        <w:bottom w:val="none" w:sz="0" w:space="0" w:color="auto"/>
        <w:right w:val="none" w:sz="0" w:space="0" w:color="auto"/>
      </w:divBdr>
    </w:div>
    <w:div w:id="1333876964">
      <w:bodyDiv w:val="1"/>
      <w:marLeft w:val="0"/>
      <w:marRight w:val="0"/>
      <w:marTop w:val="0"/>
      <w:marBottom w:val="0"/>
      <w:divBdr>
        <w:top w:val="none" w:sz="0" w:space="0" w:color="auto"/>
        <w:left w:val="none" w:sz="0" w:space="0" w:color="auto"/>
        <w:bottom w:val="none" w:sz="0" w:space="0" w:color="auto"/>
        <w:right w:val="none" w:sz="0" w:space="0" w:color="auto"/>
      </w:divBdr>
      <w:divsChild>
        <w:div w:id="602806880">
          <w:marLeft w:val="-115"/>
          <w:marRight w:val="0"/>
          <w:marTop w:val="0"/>
          <w:marBottom w:val="0"/>
          <w:divBdr>
            <w:top w:val="none" w:sz="0" w:space="0" w:color="auto"/>
            <w:left w:val="none" w:sz="0" w:space="0" w:color="auto"/>
            <w:bottom w:val="none" w:sz="0" w:space="0" w:color="auto"/>
            <w:right w:val="none" w:sz="0" w:space="0" w:color="auto"/>
          </w:divBdr>
        </w:div>
      </w:divsChild>
    </w:div>
    <w:div w:id="1362825522">
      <w:bodyDiv w:val="1"/>
      <w:marLeft w:val="0"/>
      <w:marRight w:val="0"/>
      <w:marTop w:val="0"/>
      <w:marBottom w:val="0"/>
      <w:divBdr>
        <w:top w:val="none" w:sz="0" w:space="0" w:color="auto"/>
        <w:left w:val="none" w:sz="0" w:space="0" w:color="auto"/>
        <w:bottom w:val="none" w:sz="0" w:space="0" w:color="auto"/>
        <w:right w:val="none" w:sz="0" w:space="0" w:color="auto"/>
      </w:divBdr>
    </w:div>
    <w:div w:id="1363824747">
      <w:bodyDiv w:val="1"/>
      <w:marLeft w:val="0"/>
      <w:marRight w:val="0"/>
      <w:marTop w:val="0"/>
      <w:marBottom w:val="0"/>
      <w:divBdr>
        <w:top w:val="none" w:sz="0" w:space="0" w:color="auto"/>
        <w:left w:val="none" w:sz="0" w:space="0" w:color="auto"/>
        <w:bottom w:val="none" w:sz="0" w:space="0" w:color="auto"/>
        <w:right w:val="none" w:sz="0" w:space="0" w:color="auto"/>
      </w:divBdr>
    </w:div>
    <w:div w:id="1379747683">
      <w:bodyDiv w:val="1"/>
      <w:marLeft w:val="0"/>
      <w:marRight w:val="0"/>
      <w:marTop w:val="0"/>
      <w:marBottom w:val="0"/>
      <w:divBdr>
        <w:top w:val="none" w:sz="0" w:space="0" w:color="auto"/>
        <w:left w:val="none" w:sz="0" w:space="0" w:color="auto"/>
        <w:bottom w:val="none" w:sz="0" w:space="0" w:color="auto"/>
        <w:right w:val="none" w:sz="0" w:space="0" w:color="auto"/>
      </w:divBdr>
    </w:div>
    <w:div w:id="1413939802">
      <w:bodyDiv w:val="1"/>
      <w:marLeft w:val="0"/>
      <w:marRight w:val="0"/>
      <w:marTop w:val="0"/>
      <w:marBottom w:val="0"/>
      <w:divBdr>
        <w:top w:val="none" w:sz="0" w:space="0" w:color="auto"/>
        <w:left w:val="none" w:sz="0" w:space="0" w:color="auto"/>
        <w:bottom w:val="none" w:sz="0" w:space="0" w:color="auto"/>
        <w:right w:val="none" w:sz="0" w:space="0" w:color="auto"/>
      </w:divBdr>
    </w:div>
    <w:div w:id="1414745428">
      <w:bodyDiv w:val="1"/>
      <w:marLeft w:val="0"/>
      <w:marRight w:val="0"/>
      <w:marTop w:val="0"/>
      <w:marBottom w:val="0"/>
      <w:divBdr>
        <w:top w:val="none" w:sz="0" w:space="0" w:color="auto"/>
        <w:left w:val="none" w:sz="0" w:space="0" w:color="auto"/>
        <w:bottom w:val="none" w:sz="0" w:space="0" w:color="auto"/>
        <w:right w:val="none" w:sz="0" w:space="0" w:color="auto"/>
      </w:divBdr>
    </w:div>
    <w:div w:id="1420129579">
      <w:bodyDiv w:val="1"/>
      <w:marLeft w:val="0"/>
      <w:marRight w:val="0"/>
      <w:marTop w:val="0"/>
      <w:marBottom w:val="0"/>
      <w:divBdr>
        <w:top w:val="none" w:sz="0" w:space="0" w:color="auto"/>
        <w:left w:val="none" w:sz="0" w:space="0" w:color="auto"/>
        <w:bottom w:val="none" w:sz="0" w:space="0" w:color="auto"/>
        <w:right w:val="none" w:sz="0" w:space="0" w:color="auto"/>
      </w:divBdr>
      <w:divsChild>
        <w:div w:id="841121363">
          <w:marLeft w:val="-136"/>
          <w:marRight w:val="0"/>
          <w:marTop w:val="0"/>
          <w:marBottom w:val="0"/>
          <w:divBdr>
            <w:top w:val="none" w:sz="0" w:space="0" w:color="auto"/>
            <w:left w:val="none" w:sz="0" w:space="0" w:color="auto"/>
            <w:bottom w:val="none" w:sz="0" w:space="0" w:color="auto"/>
            <w:right w:val="none" w:sz="0" w:space="0" w:color="auto"/>
          </w:divBdr>
        </w:div>
      </w:divsChild>
    </w:div>
    <w:div w:id="1433235991">
      <w:bodyDiv w:val="1"/>
      <w:marLeft w:val="0"/>
      <w:marRight w:val="0"/>
      <w:marTop w:val="0"/>
      <w:marBottom w:val="0"/>
      <w:divBdr>
        <w:top w:val="none" w:sz="0" w:space="0" w:color="auto"/>
        <w:left w:val="none" w:sz="0" w:space="0" w:color="auto"/>
        <w:bottom w:val="none" w:sz="0" w:space="0" w:color="auto"/>
        <w:right w:val="none" w:sz="0" w:space="0" w:color="auto"/>
      </w:divBdr>
    </w:div>
    <w:div w:id="1447969809">
      <w:bodyDiv w:val="1"/>
      <w:marLeft w:val="0"/>
      <w:marRight w:val="0"/>
      <w:marTop w:val="0"/>
      <w:marBottom w:val="0"/>
      <w:divBdr>
        <w:top w:val="none" w:sz="0" w:space="0" w:color="auto"/>
        <w:left w:val="none" w:sz="0" w:space="0" w:color="auto"/>
        <w:bottom w:val="none" w:sz="0" w:space="0" w:color="auto"/>
        <w:right w:val="none" w:sz="0" w:space="0" w:color="auto"/>
      </w:divBdr>
    </w:div>
    <w:div w:id="1453131950">
      <w:bodyDiv w:val="1"/>
      <w:marLeft w:val="0"/>
      <w:marRight w:val="0"/>
      <w:marTop w:val="0"/>
      <w:marBottom w:val="0"/>
      <w:divBdr>
        <w:top w:val="none" w:sz="0" w:space="0" w:color="auto"/>
        <w:left w:val="none" w:sz="0" w:space="0" w:color="auto"/>
        <w:bottom w:val="none" w:sz="0" w:space="0" w:color="auto"/>
        <w:right w:val="none" w:sz="0" w:space="0" w:color="auto"/>
      </w:divBdr>
    </w:div>
    <w:div w:id="1482574642">
      <w:bodyDiv w:val="1"/>
      <w:marLeft w:val="0"/>
      <w:marRight w:val="0"/>
      <w:marTop w:val="0"/>
      <w:marBottom w:val="0"/>
      <w:divBdr>
        <w:top w:val="none" w:sz="0" w:space="0" w:color="auto"/>
        <w:left w:val="none" w:sz="0" w:space="0" w:color="auto"/>
        <w:bottom w:val="none" w:sz="0" w:space="0" w:color="auto"/>
        <w:right w:val="none" w:sz="0" w:space="0" w:color="auto"/>
      </w:divBdr>
    </w:div>
    <w:div w:id="1667784569">
      <w:bodyDiv w:val="1"/>
      <w:marLeft w:val="0"/>
      <w:marRight w:val="0"/>
      <w:marTop w:val="0"/>
      <w:marBottom w:val="0"/>
      <w:divBdr>
        <w:top w:val="none" w:sz="0" w:space="0" w:color="auto"/>
        <w:left w:val="none" w:sz="0" w:space="0" w:color="auto"/>
        <w:bottom w:val="none" w:sz="0" w:space="0" w:color="auto"/>
        <w:right w:val="none" w:sz="0" w:space="0" w:color="auto"/>
      </w:divBdr>
    </w:div>
    <w:div w:id="1670401669">
      <w:bodyDiv w:val="1"/>
      <w:marLeft w:val="0"/>
      <w:marRight w:val="0"/>
      <w:marTop w:val="0"/>
      <w:marBottom w:val="0"/>
      <w:divBdr>
        <w:top w:val="none" w:sz="0" w:space="0" w:color="auto"/>
        <w:left w:val="none" w:sz="0" w:space="0" w:color="auto"/>
        <w:bottom w:val="none" w:sz="0" w:space="0" w:color="auto"/>
        <w:right w:val="none" w:sz="0" w:space="0" w:color="auto"/>
      </w:divBdr>
    </w:div>
    <w:div w:id="1732656802">
      <w:bodyDiv w:val="1"/>
      <w:marLeft w:val="0"/>
      <w:marRight w:val="0"/>
      <w:marTop w:val="0"/>
      <w:marBottom w:val="0"/>
      <w:divBdr>
        <w:top w:val="none" w:sz="0" w:space="0" w:color="auto"/>
        <w:left w:val="none" w:sz="0" w:space="0" w:color="auto"/>
        <w:bottom w:val="none" w:sz="0" w:space="0" w:color="auto"/>
        <w:right w:val="none" w:sz="0" w:space="0" w:color="auto"/>
      </w:divBdr>
    </w:div>
    <w:div w:id="1734541494">
      <w:bodyDiv w:val="1"/>
      <w:marLeft w:val="0"/>
      <w:marRight w:val="0"/>
      <w:marTop w:val="0"/>
      <w:marBottom w:val="0"/>
      <w:divBdr>
        <w:top w:val="none" w:sz="0" w:space="0" w:color="auto"/>
        <w:left w:val="none" w:sz="0" w:space="0" w:color="auto"/>
        <w:bottom w:val="none" w:sz="0" w:space="0" w:color="auto"/>
        <w:right w:val="none" w:sz="0" w:space="0" w:color="auto"/>
      </w:divBdr>
    </w:div>
    <w:div w:id="1762290610">
      <w:bodyDiv w:val="1"/>
      <w:marLeft w:val="0"/>
      <w:marRight w:val="0"/>
      <w:marTop w:val="0"/>
      <w:marBottom w:val="0"/>
      <w:divBdr>
        <w:top w:val="none" w:sz="0" w:space="0" w:color="auto"/>
        <w:left w:val="none" w:sz="0" w:space="0" w:color="auto"/>
        <w:bottom w:val="none" w:sz="0" w:space="0" w:color="auto"/>
        <w:right w:val="none" w:sz="0" w:space="0" w:color="auto"/>
      </w:divBdr>
    </w:div>
    <w:div w:id="1778984445">
      <w:bodyDiv w:val="1"/>
      <w:marLeft w:val="0"/>
      <w:marRight w:val="0"/>
      <w:marTop w:val="0"/>
      <w:marBottom w:val="0"/>
      <w:divBdr>
        <w:top w:val="none" w:sz="0" w:space="0" w:color="auto"/>
        <w:left w:val="none" w:sz="0" w:space="0" w:color="auto"/>
        <w:bottom w:val="none" w:sz="0" w:space="0" w:color="auto"/>
        <w:right w:val="none" w:sz="0" w:space="0" w:color="auto"/>
      </w:divBdr>
    </w:div>
    <w:div w:id="1805153825">
      <w:bodyDiv w:val="1"/>
      <w:marLeft w:val="0"/>
      <w:marRight w:val="0"/>
      <w:marTop w:val="0"/>
      <w:marBottom w:val="0"/>
      <w:divBdr>
        <w:top w:val="none" w:sz="0" w:space="0" w:color="auto"/>
        <w:left w:val="none" w:sz="0" w:space="0" w:color="auto"/>
        <w:bottom w:val="none" w:sz="0" w:space="0" w:color="auto"/>
        <w:right w:val="none" w:sz="0" w:space="0" w:color="auto"/>
      </w:divBdr>
    </w:div>
    <w:div w:id="1813861463">
      <w:bodyDiv w:val="1"/>
      <w:marLeft w:val="0"/>
      <w:marRight w:val="0"/>
      <w:marTop w:val="0"/>
      <w:marBottom w:val="0"/>
      <w:divBdr>
        <w:top w:val="none" w:sz="0" w:space="0" w:color="auto"/>
        <w:left w:val="none" w:sz="0" w:space="0" w:color="auto"/>
        <w:bottom w:val="none" w:sz="0" w:space="0" w:color="auto"/>
        <w:right w:val="none" w:sz="0" w:space="0" w:color="auto"/>
      </w:divBdr>
    </w:div>
    <w:div w:id="1831747797">
      <w:bodyDiv w:val="1"/>
      <w:marLeft w:val="0"/>
      <w:marRight w:val="0"/>
      <w:marTop w:val="0"/>
      <w:marBottom w:val="0"/>
      <w:divBdr>
        <w:top w:val="none" w:sz="0" w:space="0" w:color="auto"/>
        <w:left w:val="none" w:sz="0" w:space="0" w:color="auto"/>
        <w:bottom w:val="none" w:sz="0" w:space="0" w:color="auto"/>
        <w:right w:val="none" w:sz="0" w:space="0" w:color="auto"/>
      </w:divBdr>
    </w:div>
    <w:div w:id="1847011487">
      <w:bodyDiv w:val="1"/>
      <w:marLeft w:val="0"/>
      <w:marRight w:val="0"/>
      <w:marTop w:val="0"/>
      <w:marBottom w:val="0"/>
      <w:divBdr>
        <w:top w:val="none" w:sz="0" w:space="0" w:color="auto"/>
        <w:left w:val="none" w:sz="0" w:space="0" w:color="auto"/>
        <w:bottom w:val="none" w:sz="0" w:space="0" w:color="auto"/>
        <w:right w:val="none" w:sz="0" w:space="0" w:color="auto"/>
      </w:divBdr>
    </w:div>
    <w:div w:id="1862670250">
      <w:bodyDiv w:val="1"/>
      <w:marLeft w:val="0"/>
      <w:marRight w:val="0"/>
      <w:marTop w:val="0"/>
      <w:marBottom w:val="0"/>
      <w:divBdr>
        <w:top w:val="none" w:sz="0" w:space="0" w:color="auto"/>
        <w:left w:val="none" w:sz="0" w:space="0" w:color="auto"/>
        <w:bottom w:val="none" w:sz="0" w:space="0" w:color="auto"/>
        <w:right w:val="none" w:sz="0" w:space="0" w:color="auto"/>
      </w:divBdr>
    </w:div>
    <w:div w:id="1874925198">
      <w:bodyDiv w:val="1"/>
      <w:marLeft w:val="0"/>
      <w:marRight w:val="0"/>
      <w:marTop w:val="0"/>
      <w:marBottom w:val="0"/>
      <w:divBdr>
        <w:top w:val="none" w:sz="0" w:space="0" w:color="auto"/>
        <w:left w:val="none" w:sz="0" w:space="0" w:color="auto"/>
        <w:bottom w:val="none" w:sz="0" w:space="0" w:color="auto"/>
        <w:right w:val="none" w:sz="0" w:space="0" w:color="auto"/>
      </w:divBdr>
    </w:div>
    <w:div w:id="1880363337">
      <w:bodyDiv w:val="1"/>
      <w:marLeft w:val="0"/>
      <w:marRight w:val="0"/>
      <w:marTop w:val="0"/>
      <w:marBottom w:val="0"/>
      <w:divBdr>
        <w:top w:val="none" w:sz="0" w:space="0" w:color="auto"/>
        <w:left w:val="none" w:sz="0" w:space="0" w:color="auto"/>
        <w:bottom w:val="none" w:sz="0" w:space="0" w:color="auto"/>
        <w:right w:val="none" w:sz="0" w:space="0" w:color="auto"/>
      </w:divBdr>
      <w:divsChild>
        <w:div w:id="1091856341">
          <w:marLeft w:val="-22"/>
          <w:marRight w:val="0"/>
          <w:marTop w:val="0"/>
          <w:marBottom w:val="0"/>
          <w:divBdr>
            <w:top w:val="none" w:sz="0" w:space="0" w:color="auto"/>
            <w:left w:val="none" w:sz="0" w:space="0" w:color="auto"/>
            <w:bottom w:val="none" w:sz="0" w:space="0" w:color="auto"/>
            <w:right w:val="none" w:sz="0" w:space="0" w:color="auto"/>
          </w:divBdr>
        </w:div>
      </w:divsChild>
    </w:div>
    <w:div w:id="2010595523">
      <w:bodyDiv w:val="1"/>
      <w:marLeft w:val="0"/>
      <w:marRight w:val="0"/>
      <w:marTop w:val="0"/>
      <w:marBottom w:val="0"/>
      <w:divBdr>
        <w:top w:val="none" w:sz="0" w:space="0" w:color="auto"/>
        <w:left w:val="none" w:sz="0" w:space="0" w:color="auto"/>
        <w:bottom w:val="none" w:sz="0" w:space="0" w:color="auto"/>
        <w:right w:val="none" w:sz="0" w:space="0" w:color="auto"/>
      </w:divBdr>
    </w:div>
    <w:div w:id="2113233406">
      <w:bodyDiv w:val="1"/>
      <w:marLeft w:val="0"/>
      <w:marRight w:val="0"/>
      <w:marTop w:val="0"/>
      <w:marBottom w:val="0"/>
      <w:divBdr>
        <w:top w:val="none" w:sz="0" w:space="0" w:color="auto"/>
        <w:left w:val="none" w:sz="0" w:space="0" w:color="auto"/>
        <w:bottom w:val="none" w:sz="0" w:space="0" w:color="auto"/>
        <w:right w:val="none" w:sz="0" w:space="0" w:color="auto"/>
      </w:divBdr>
    </w:div>
    <w:div w:id="2117213630">
      <w:bodyDiv w:val="1"/>
      <w:marLeft w:val="0"/>
      <w:marRight w:val="0"/>
      <w:marTop w:val="0"/>
      <w:marBottom w:val="0"/>
      <w:divBdr>
        <w:top w:val="none" w:sz="0" w:space="0" w:color="auto"/>
        <w:left w:val="none" w:sz="0" w:space="0" w:color="auto"/>
        <w:bottom w:val="none" w:sz="0" w:space="0" w:color="auto"/>
        <w:right w:val="none" w:sz="0" w:space="0" w:color="auto"/>
      </w:divBdr>
    </w:div>
    <w:div w:id="2136176770">
      <w:bodyDiv w:val="1"/>
      <w:marLeft w:val="0"/>
      <w:marRight w:val="0"/>
      <w:marTop w:val="0"/>
      <w:marBottom w:val="0"/>
      <w:divBdr>
        <w:top w:val="none" w:sz="0" w:space="0" w:color="auto"/>
        <w:left w:val="none" w:sz="0" w:space="0" w:color="auto"/>
        <w:bottom w:val="none" w:sz="0" w:space="0" w:color="auto"/>
        <w:right w:val="none" w:sz="0" w:space="0" w:color="auto"/>
      </w:divBdr>
    </w:div>
    <w:div w:id="2143885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header" Target="header6.xml"/><Relationship Id="rId26" Type="http://schemas.openxmlformats.org/officeDocument/2006/relationships/header" Target="header12.xml"/><Relationship Id="rId39" Type="http://schemas.openxmlformats.org/officeDocument/2006/relationships/image" Target="media/image9.png"/><Relationship Id="rId21" Type="http://schemas.openxmlformats.org/officeDocument/2006/relationships/header" Target="header8.xml"/><Relationship Id="rId34" Type="http://schemas.openxmlformats.org/officeDocument/2006/relationships/chart" Target="charts/chart8.xml"/><Relationship Id="rId42" Type="http://schemas.openxmlformats.org/officeDocument/2006/relationships/image" Target="media/image12.png"/><Relationship Id="rId47" Type="http://schemas.openxmlformats.org/officeDocument/2006/relationships/chart" Target="charts/chart12.xml"/><Relationship Id="rId50" Type="http://schemas.openxmlformats.org/officeDocument/2006/relationships/image" Target="media/image17.png"/><Relationship Id="rId55" Type="http://schemas.openxmlformats.org/officeDocument/2006/relationships/chart" Target="charts/chart17.xml"/><Relationship Id="rId63" Type="http://schemas.openxmlformats.org/officeDocument/2006/relationships/footer" Target="footer10.xml"/><Relationship Id="rId68" Type="http://schemas.openxmlformats.org/officeDocument/2006/relationships/footer" Target="footer12.xml"/><Relationship Id="rId76" Type="http://schemas.openxmlformats.org/officeDocument/2006/relationships/header" Target="header24.xml"/><Relationship Id="rId84" Type="http://schemas.openxmlformats.org/officeDocument/2006/relationships/header" Target="header28.xml"/><Relationship Id="rId7" Type="http://schemas.openxmlformats.org/officeDocument/2006/relationships/endnotes" Target="endnotes.xml"/><Relationship Id="rId71" Type="http://schemas.openxmlformats.org/officeDocument/2006/relationships/header" Target="header21.xml"/><Relationship Id="rId2" Type="http://schemas.openxmlformats.org/officeDocument/2006/relationships/numbering" Target="numbering.xml"/><Relationship Id="rId16" Type="http://schemas.openxmlformats.org/officeDocument/2006/relationships/header" Target="header4.xml"/><Relationship Id="rId29" Type="http://schemas.openxmlformats.org/officeDocument/2006/relationships/chart" Target="charts/chart3.xml"/><Relationship Id="rId11" Type="http://schemas.openxmlformats.org/officeDocument/2006/relationships/footer" Target="footer2.xml"/><Relationship Id="rId24" Type="http://schemas.openxmlformats.org/officeDocument/2006/relationships/header" Target="header11.xml"/><Relationship Id="rId32" Type="http://schemas.openxmlformats.org/officeDocument/2006/relationships/chart" Target="charts/chart6.xml"/><Relationship Id="rId37" Type="http://schemas.openxmlformats.org/officeDocument/2006/relationships/footer" Target="footer7.xml"/><Relationship Id="rId40" Type="http://schemas.openxmlformats.org/officeDocument/2006/relationships/image" Target="media/image10.png"/><Relationship Id="rId45" Type="http://schemas.openxmlformats.org/officeDocument/2006/relationships/chart" Target="charts/chart10.xml"/><Relationship Id="rId53" Type="http://schemas.openxmlformats.org/officeDocument/2006/relationships/chart" Target="charts/chart15.xml"/><Relationship Id="rId58" Type="http://schemas.openxmlformats.org/officeDocument/2006/relationships/footer" Target="footer9.xml"/><Relationship Id="rId66" Type="http://schemas.openxmlformats.org/officeDocument/2006/relationships/header" Target="header18.xml"/><Relationship Id="rId74" Type="http://schemas.openxmlformats.org/officeDocument/2006/relationships/footer" Target="footer15.xml"/><Relationship Id="rId79" Type="http://schemas.openxmlformats.org/officeDocument/2006/relationships/image" Target="media/image18.emf"/><Relationship Id="rId5" Type="http://schemas.openxmlformats.org/officeDocument/2006/relationships/webSettings" Target="webSettings.xml"/><Relationship Id="rId61" Type="http://schemas.openxmlformats.org/officeDocument/2006/relationships/header" Target="header15.xml"/><Relationship Id="rId82" Type="http://schemas.openxmlformats.org/officeDocument/2006/relationships/footer" Target="footer17.xml"/><Relationship Id="rId19" Type="http://schemas.openxmlformats.org/officeDocument/2006/relationships/footer" Target="foot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header" Target="header9.xml"/><Relationship Id="rId27" Type="http://schemas.openxmlformats.org/officeDocument/2006/relationships/chart" Target="charts/chart1.xml"/><Relationship Id="rId30" Type="http://schemas.openxmlformats.org/officeDocument/2006/relationships/chart" Target="charts/chart4.xml"/><Relationship Id="rId35" Type="http://schemas.openxmlformats.org/officeDocument/2006/relationships/chart" Target="charts/chart9.xml"/><Relationship Id="rId43" Type="http://schemas.openxmlformats.org/officeDocument/2006/relationships/image" Target="media/image13.png"/><Relationship Id="rId48" Type="http://schemas.openxmlformats.org/officeDocument/2006/relationships/image" Target="media/image15.png"/><Relationship Id="rId56" Type="http://schemas.openxmlformats.org/officeDocument/2006/relationships/chart" Target="charts/chart18.xml"/><Relationship Id="rId64" Type="http://schemas.openxmlformats.org/officeDocument/2006/relationships/footer" Target="footer11.xml"/><Relationship Id="rId69" Type="http://schemas.openxmlformats.org/officeDocument/2006/relationships/footer" Target="footer13.xml"/><Relationship Id="rId77" Type="http://schemas.openxmlformats.org/officeDocument/2006/relationships/footer" Target="footer16.xml"/><Relationship Id="rId8" Type="http://schemas.openxmlformats.org/officeDocument/2006/relationships/image" Target="media/image1.emf"/><Relationship Id="rId51" Type="http://schemas.openxmlformats.org/officeDocument/2006/relationships/chart" Target="charts/chart13.xml"/><Relationship Id="rId72" Type="http://schemas.openxmlformats.org/officeDocument/2006/relationships/footer" Target="footer14.xml"/><Relationship Id="rId80" Type="http://schemas.openxmlformats.org/officeDocument/2006/relationships/header" Target="header26.xml"/><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5.xml"/><Relationship Id="rId25" Type="http://schemas.openxmlformats.org/officeDocument/2006/relationships/footer" Target="footer6.xml"/><Relationship Id="rId33" Type="http://schemas.openxmlformats.org/officeDocument/2006/relationships/chart" Target="charts/chart7.xml"/><Relationship Id="rId38" Type="http://schemas.openxmlformats.org/officeDocument/2006/relationships/image" Target="media/image8.png"/><Relationship Id="rId46" Type="http://schemas.openxmlformats.org/officeDocument/2006/relationships/chart" Target="charts/chart11.xml"/><Relationship Id="rId59" Type="http://schemas.openxmlformats.org/officeDocument/2006/relationships/header" Target="header14.xml"/><Relationship Id="rId67" Type="http://schemas.openxmlformats.org/officeDocument/2006/relationships/header" Target="header19.xml"/><Relationship Id="rId20" Type="http://schemas.openxmlformats.org/officeDocument/2006/relationships/header" Target="header7.xml"/><Relationship Id="rId41" Type="http://schemas.openxmlformats.org/officeDocument/2006/relationships/image" Target="media/image11.png"/><Relationship Id="rId54" Type="http://schemas.openxmlformats.org/officeDocument/2006/relationships/chart" Target="charts/chart16.xml"/><Relationship Id="rId62" Type="http://schemas.openxmlformats.org/officeDocument/2006/relationships/header" Target="header16.xml"/><Relationship Id="rId70" Type="http://schemas.openxmlformats.org/officeDocument/2006/relationships/header" Target="header20.xml"/><Relationship Id="rId75" Type="http://schemas.openxmlformats.org/officeDocument/2006/relationships/header" Target="header23.xml"/><Relationship Id="rId83" Type="http://schemas.openxmlformats.org/officeDocument/2006/relationships/footer" Target="footer1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header" Target="header10.xml"/><Relationship Id="rId28" Type="http://schemas.openxmlformats.org/officeDocument/2006/relationships/chart" Target="charts/chart2.xml"/><Relationship Id="rId36" Type="http://schemas.openxmlformats.org/officeDocument/2006/relationships/header" Target="header13.xml"/><Relationship Id="rId49" Type="http://schemas.openxmlformats.org/officeDocument/2006/relationships/image" Target="media/image16.png"/><Relationship Id="rId57" Type="http://schemas.openxmlformats.org/officeDocument/2006/relationships/footer" Target="footer8.xml"/><Relationship Id="rId10" Type="http://schemas.openxmlformats.org/officeDocument/2006/relationships/footer" Target="footer1.xml"/><Relationship Id="rId31" Type="http://schemas.openxmlformats.org/officeDocument/2006/relationships/chart" Target="charts/chart5.xml"/><Relationship Id="rId44" Type="http://schemas.openxmlformats.org/officeDocument/2006/relationships/image" Target="media/image14.tiff"/><Relationship Id="rId52" Type="http://schemas.openxmlformats.org/officeDocument/2006/relationships/chart" Target="charts/chart14.xml"/><Relationship Id="rId60" Type="http://schemas.openxmlformats.org/officeDocument/2006/relationships/chart" Target="charts/chart19.xml"/><Relationship Id="rId65" Type="http://schemas.openxmlformats.org/officeDocument/2006/relationships/header" Target="header17.xml"/><Relationship Id="rId73" Type="http://schemas.openxmlformats.org/officeDocument/2006/relationships/header" Target="header22.xml"/><Relationship Id="rId78" Type="http://schemas.openxmlformats.org/officeDocument/2006/relationships/header" Target="header25.xml"/><Relationship Id="rId81" Type="http://schemas.openxmlformats.org/officeDocument/2006/relationships/header" Target="header27.xml"/><Relationship Id="rId86"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3.emf"/></Relationships>
</file>

<file path=word/_rels/footer10.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emf"/></Relationships>
</file>

<file path=word/_rels/footer11.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7.emf"/></Relationships>
</file>

<file path=word/_rels/footer12.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emf"/></Relationships>
</file>

<file path=word/_rels/footer13.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7.emf"/></Relationships>
</file>

<file path=word/_rels/footer15.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7.emf"/></Relationships>
</file>

<file path=word/_rels/footer2.xml.rels><?xml version="1.0" encoding="UTF-8" standalone="yes"?>
<Relationships xmlns="http://schemas.openxmlformats.org/package/2006/relationships"><Relationship Id="rId1" Type="http://schemas.openxmlformats.org/officeDocument/2006/relationships/image" Target="media/image4.emf"/></Relationships>
</file>

<file path=word/_rels/footer3.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emf"/></Relationships>
</file>

<file path=word/_rels/footer5.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7.emf"/></Relationships>
</file>

<file path=word/_rels/footer6.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emf"/></Relationships>
</file>

<file path=word/_rels/footer7.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7.emf"/></Relationships>
</file>

<file path=word/_rels/footer8.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5.emf"/></Relationships>
</file>

<file path=word/_rels/footer9.xml.rels><?xml version="1.0" encoding="UTF-8" standalone="yes"?>
<Relationships xmlns="http://schemas.openxmlformats.org/package/2006/relationships"><Relationship Id="rId2" Type="http://schemas.openxmlformats.org/officeDocument/2006/relationships/image" Target="media/image4.emf"/><Relationship Id="rId1" Type="http://schemas.openxmlformats.org/officeDocument/2006/relationships/image" Target="media/image7.emf"/></Relationships>
</file>

<file path=word/_rels/footnotes.xml.rels><?xml version="1.0" encoding="UTF-8" standalone="yes"?>
<Relationships xmlns="http://schemas.openxmlformats.org/package/2006/relationships"><Relationship Id="rId8" Type="http://schemas.openxmlformats.org/officeDocument/2006/relationships/hyperlink" Target="http://www.pge.com/includes/docs/pdfs/shared/environment/calculator/pge_ghg_emission_factor_info_sheet.pdf" TargetMode="External"/><Relationship Id="rId13" Type="http://schemas.openxmlformats.org/officeDocument/2006/relationships/hyperlink" Target="http://energy.gov/savings/clean-renewable-energy-bonds-crebs" TargetMode="External"/><Relationship Id="rId3" Type="http://schemas.openxmlformats.org/officeDocument/2006/relationships/hyperlink" Target="http://www.calepa.ca.gov/pressroom/Releases/2013/ClimateRpt.pdf" TargetMode="External"/><Relationship Id="rId7" Type="http://schemas.openxmlformats.org/officeDocument/2006/relationships/hyperlink" Target="http://www3.epa.gov/otaq/climate/documents/420f12051.pdf" TargetMode="External"/><Relationship Id="rId12" Type="http://schemas.openxmlformats.org/officeDocument/2006/relationships/hyperlink" Target="http://www.nrel.gov/gis/images/eere_pv/national_photovoltaic_2012-01.jpg" TargetMode="External"/><Relationship Id="rId17" Type="http://schemas.openxmlformats.org/officeDocument/2006/relationships/hyperlink" Target="http://www.100resilientcities.org/" TargetMode="External"/><Relationship Id="rId2" Type="http://schemas.openxmlformats.org/officeDocument/2006/relationships/hyperlink" Target="http://www.nap.edu/catalog/13389/sea-level-rise-for-the-coasts-of-california-oregon-and-washington" TargetMode="External"/><Relationship Id="rId16" Type="http://schemas.openxmlformats.org/officeDocument/2006/relationships/hyperlink" Target="https://stars.aashe.org/" TargetMode="External"/><Relationship Id="rId1" Type="http://schemas.openxmlformats.org/officeDocument/2006/relationships/hyperlink" Target="http://www.csun.edu/sites/default/files/CSUN_Sust_Plan-m.pdf" TargetMode="External"/><Relationship Id="rId6" Type="http://schemas.openxmlformats.org/officeDocument/2006/relationships/hyperlink" Target="https://www.ladwp.com/ladwp/faces/wcnav_externalId/a-p-doc?_adf.ctrl-state=r1wlftn8v_4&amp;_afrLoop=43721225950530" TargetMode="External"/><Relationship Id="rId11" Type="http://schemas.openxmlformats.org/officeDocument/2006/relationships/hyperlink" Target="https://www.ladwp.com/ladwp/faces/wcnav_externalId/a-p-doc?_adf.ctrl-state=r1wlftn8v_4&amp;_afrLoop=43721225950530" TargetMode="External"/><Relationship Id="rId5" Type="http://schemas.openxmlformats.org/officeDocument/2006/relationships/hyperlink" Target="http://www.csun.edu/sites/default/files/Energy_Report_final-m.pdf" TargetMode="External"/><Relationship Id="rId15" Type="http://schemas.openxmlformats.org/officeDocument/2006/relationships/hyperlink" Target="http://energy.gov/savings/clean-renewable-energy-bonds-crebs" TargetMode="External"/><Relationship Id="rId10" Type="http://schemas.openxmlformats.org/officeDocument/2006/relationships/hyperlink" Target="http://www.cpuc.ca.gov/PUC/energy/Renewables/" TargetMode="External"/><Relationship Id="rId4" Type="http://schemas.openxmlformats.org/officeDocument/2006/relationships/hyperlink" Target="http://www.csun.edu/sites/default/files/CSUN_GHG_report_final-Web-Version-Jan-12-2015-m.pdf" TargetMode="External"/><Relationship Id="rId9" Type="http://schemas.openxmlformats.org/officeDocument/2006/relationships/hyperlink" Target="http://www2.epa.gov/sites/production/files/2015-10/documents/egrid2012_summarytables_0.pdf" TargetMode="External"/><Relationship Id="rId14" Type="http://schemas.openxmlformats.org/officeDocument/2006/relationships/hyperlink" Target="https://www.ladwp.com/ladwp/faces/ladwp/partners/p-gogreen/p-gg-localrenewableenergyprogram?_afrLoop=413602254252248&amp;_afrWindowMode=0&amp;_afrWindowId=nul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emf"/></Relationships>
</file>

<file path=word/_rels/header10.xml.rels><?xml version="1.0" encoding="UTF-8" standalone="yes"?>
<Relationships xmlns="http://schemas.openxmlformats.org/package/2006/relationships"><Relationship Id="rId1" Type="http://schemas.openxmlformats.org/officeDocument/2006/relationships/image" Target="media/image2.emf"/></Relationships>
</file>

<file path=word/_rels/header11.xml.rels><?xml version="1.0" encoding="UTF-8" standalone="yes"?>
<Relationships xmlns="http://schemas.openxmlformats.org/package/2006/relationships"><Relationship Id="rId1" Type="http://schemas.openxmlformats.org/officeDocument/2006/relationships/image" Target="media/image6.emf"/></Relationships>
</file>

<file path=word/_rels/header13.xml.rels><?xml version="1.0" encoding="UTF-8" standalone="yes"?>
<Relationships xmlns="http://schemas.openxmlformats.org/package/2006/relationships"><Relationship Id="rId1" Type="http://schemas.openxmlformats.org/officeDocument/2006/relationships/image" Target="media/image6.emf"/></Relationships>
</file>

<file path=word/_rels/header16.xml.rels><?xml version="1.0" encoding="UTF-8" standalone="yes"?>
<Relationships xmlns="http://schemas.openxmlformats.org/package/2006/relationships"><Relationship Id="rId1" Type="http://schemas.openxmlformats.org/officeDocument/2006/relationships/image" Target="media/image6.emf"/></Relationships>
</file>

<file path=word/_rels/header18.xml.rels><?xml version="1.0" encoding="UTF-8" standalone="yes"?>
<Relationships xmlns="http://schemas.openxmlformats.org/package/2006/relationships"><Relationship Id="rId1" Type="http://schemas.openxmlformats.org/officeDocument/2006/relationships/image" Target="media/image2.emf"/></Relationships>
</file>

<file path=word/_rels/header19.xml.rels><?xml version="1.0" encoding="UTF-8" standalone="yes"?>
<Relationships xmlns="http://schemas.openxmlformats.org/package/2006/relationships"><Relationship Id="rId1" Type="http://schemas.openxmlformats.org/officeDocument/2006/relationships/image" Target="media/image6.emf"/></Relationships>
</file>

<file path=word/_rels/header22.xml.rels><?xml version="1.0" encoding="UTF-8" standalone="yes"?>
<Relationships xmlns="http://schemas.openxmlformats.org/package/2006/relationships"><Relationship Id="rId1" Type="http://schemas.openxmlformats.org/officeDocument/2006/relationships/image" Target="media/image6.emf"/></Relationships>
</file>

<file path=word/_rels/header5.xml.rels><?xml version="1.0" encoding="UTF-8" standalone="yes"?>
<Relationships xmlns="http://schemas.openxmlformats.org/package/2006/relationships"><Relationship Id="rId1" Type="http://schemas.openxmlformats.org/officeDocument/2006/relationships/image" Target="media/image2.emf"/></Relationships>
</file>

<file path=word/_rels/header6.xml.rels><?xml version="1.0" encoding="UTF-8" standalone="yes"?>
<Relationships xmlns="http://schemas.openxmlformats.org/package/2006/relationships"><Relationship Id="rId1" Type="http://schemas.openxmlformats.org/officeDocument/2006/relationships/image" Target="media/image6.emf"/></Relationships>
</file>

<file path=word/charts/_rels/chart1.xml.rels><?xml version="1.0" encoding="UTF-8" standalone="yes"?>
<Relationships xmlns="http://schemas.openxmlformats.org/package/2006/relationships"><Relationship Id="rId2" Type="http://schemas.openxmlformats.org/officeDocument/2006/relationships/oleObject" Target="file:///C:\Documents\Helen\CarbonFootprint\CSUN_GHG_Report\CPC_Total_2012.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Helen\solar\CSUN_Solar_Proposal_v2.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Helen\solar\CSUN_Solar_Proposal_v2.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Documents\Helen\admin\ClimateActionPlan\Data_for_CAP_Projections_with_Projects_cumenergy.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Documents\Helen\admin\ClimateActionPlan\Data_for_CAP_Projections_with_Projects_cumenergy.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Documents\Helen\admin\ClimateActionPlan\Data_for_CAP_Projections_with_Projects_cumenergy.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Documents\Helen\admin\ClimateActionPlan\CAP_Projections_with_Project_Cost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Documents\Helen\admin\ClimateActionPlan\CAP_Projections_with_Project_Cost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Helen\admin\ClimateActionPlan\CAP_Projections_with_Project_Costs.xlsx" TargetMode="External"/></Relationships>
</file>

<file path=word/charts/_rels/chart19.xml.rels><?xml version="1.0" encoding="UTF-8" standalone="yes"?>
<Relationships xmlns="http://schemas.openxmlformats.org/package/2006/relationships"><Relationship Id="rId1" Type="http://schemas.openxmlformats.org/officeDocument/2006/relationships/oleObject" Target="file:///C:\Documents\Helen\admin\ClimateActionPlan\CAP_Projections_with_Project_Cost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Helen\CarbonFootprint\CSUN_GHG_Report\CPC_Total_201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Helen\CarbonFootprint\CSUN_GHG_Report\CPC_Total_201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Helen\CarbonFootprint\CSUN_GHG_Report\CPC_Total_201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Helen\CarbonFootprint\CSUN_GHG_Report\CPC_Total_2012.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Helen\CarbonFootprint\CSUN_GHG_Report\CPC_Total_201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Helen\admin\ClimateActionPlan\CAP_Projections_with_Project_Cost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Helen\solar\CSUN_Solar_Proposa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Helen\admin\ClimateActionPlan\CAP_Projections_with_Project_Cost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5664372873322745E-2"/>
          <c:y val="8.2306864316551806E-2"/>
          <c:w val="0.55797967561747186"/>
          <c:h val="0.92317646992843749"/>
        </c:manualLayout>
      </c:layout>
      <c:pieChart>
        <c:varyColors val="1"/>
        <c:ser>
          <c:idx val="0"/>
          <c:order val="0"/>
          <c:tx>
            <c:strRef>
              <c:f>S_Graph_Sum!$B$34</c:f>
              <c:strCache>
                <c:ptCount val="1"/>
                <c:pt idx="0">
                  <c:v>2013</c:v>
                </c:pt>
              </c:strCache>
            </c:strRef>
          </c:tx>
          <c:spPr>
            <a:solidFill>
              <a:srgbClr val="FFC000"/>
            </a:solidFill>
          </c:spPr>
          <c:dPt>
            <c:idx val="1"/>
            <c:bubble3D val="0"/>
            <c:spPr>
              <a:solidFill>
                <a:schemeClr val="tx1"/>
              </a:solidFill>
            </c:spPr>
            <c:extLst>
              <c:ext xmlns:c16="http://schemas.microsoft.com/office/drawing/2014/chart" uri="{C3380CC4-5D6E-409C-BE32-E72D297353CC}">
                <c16:uniqueId val="{00000001-8DE2-43E3-A6B0-28E29E8A9624}"/>
              </c:ext>
            </c:extLst>
          </c:dPt>
          <c:dPt>
            <c:idx val="2"/>
            <c:bubble3D val="0"/>
            <c:spPr>
              <a:solidFill>
                <a:srgbClr val="92D050"/>
              </a:solidFill>
            </c:spPr>
            <c:extLst>
              <c:ext xmlns:c16="http://schemas.microsoft.com/office/drawing/2014/chart" uri="{C3380CC4-5D6E-409C-BE32-E72D297353CC}">
                <c16:uniqueId val="{00000003-8DE2-43E3-A6B0-28E29E8A9624}"/>
              </c:ext>
            </c:extLst>
          </c:dPt>
          <c:dPt>
            <c:idx val="3"/>
            <c:bubble3D val="0"/>
            <c:spPr>
              <a:solidFill>
                <a:srgbClr val="FF0000"/>
              </a:solidFill>
            </c:spPr>
            <c:extLst>
              <c:ext xmlns:c16="http://schemas.microsoft.com/office/drawing/2014/chart" uri="{C3380CC4-5D6E-409C-BE32-E72D297353CC}">
                <c16:uniqueId val="{00000005-8DE2-43E3-A6B0-28E29E8A9624}"/>
              </c:ext>
            </c:extLst>
          </c:dPt>
          <c:dPt>
            <c:idx val="4"/>
            <c:bubble3D val="0"/>
            <c:spPr>
              <a:solidFill>
                <a:schemeClr val="accent1">
                  <a:lumMod val="60000"/>
                  <a:lumOff val="40000"/>
                </a:schemeClr>
              </a:solidFill>
            </c:spPr>
            <c:extLst>
              <c:ext xmlns:c16="http://schemas.microsoft.com/office/drawing/2014/chart" uri="{C3380CC4-5D6E-409C-BE32-E72D297353CC}">
                <c16:uniqueId val="{00000007-8DE2-43E3-A6B0-28E29E8A9624}"/>
              </c:ext>
            </c:extLst>
          </c:dPt>
          <c:dPt>
            <c:idx val="5"/>
            <c:bubble3D val="0"/>
            <c:spPr>
              <a:solidFill>
                <a:schemeClr val="tx2">
                  <a:lumMod val="75000"/>
                </a:schemeClr>
              </a:solidFill>
            </c:spPr>
            <c:extLst>
              <c:ext xmlns:c16="http://schemas.microsoft.com/office/drawing/2014/chart" uri="{C3380CC4-5D6E-409C-BE32-E72D297353CC}">
                <c16:uniqueId val="{00000009-8DE2-43E3-A6B0-28E29E8A9624}"/>
              </c:ext>
            </c:extLst>
          </c:dPt>
          <c:dPt>
            <c:idx val="6"/>
            <c:bubble3D val="0"/>
            <c:spPr>
              <a:solidFill>
                <a:schemeClr val="accent3">
                  <a:lumMod val="75000"/>
                </a:schemeClr>
              </a:solidFill>
            </c:spPr>
            <c:extLst>
              <c:ext xmlns:c16="http://schemas.microsoft.com/office/drawing/2014/chart" uri="{C3380CC4-5D6E-409C-BE32-E72D297353CC}">
                <c16:uniqueId val="{0000000B-8DE2-43E3-A6B0-28E29E8A9624}"/>
              </c:ext>
            </c:extLst>
          </c:dPt>
          <c:dLbls>
            <c:dLbl>
              <c:idx val="3"/>
              <c:layout>
                <c:manualLayout>
                  <c:x val="-0.145953378423851"/>
                  <c:y val="7.9743196546397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DE2-43E3-A6B0-28E29E8A9624}"/>
                </c:ext>
              </c:extLst>
            </c:dLbl>
            <c:dLbl>
              <c:idx val="4"/>
              <c:layout>
                <c:manualLayout>
                  <c:x val="0.12566029005989601"/>
                  <c:y val="-0.139062184534626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DE2-43E3-A6B0-28E29E8A9624}"/>
                </c:ext>
              </c:extLst>
            </c:dLbl>
            <c:numFmt formatCode="#,##0" sourceLinked="0"/>
            <c:spPr>
              <a:noFill/>
              <a:ln>
                <a:noFill/>
              </a:ln>
              <a:effectLst/>
            </c:spPr>
            <c:txPr>
              <a:bodyPr/>
              <a:lstStyle/>
              <a:p>
                <a:pPr>
                  <a:defRPr sz="1200"/>
                </a:pPr>
                <a:endParaRPr lang="en-US"/>
              </a:p>
            </c:txPr>
            <c:showLegendKey val="0"/>
            <c:showVal val="1"/>
            <c:showCatName val="0"/>
            <c:showSerName val="0"/>
            <c:showPercent val="0"/>
            <c:showBubbleSize val="0"/>
            <c:showLeaderLines val="1"/>
            <c:extLst>
              <c:ext xmlns:c15="http://schemas.microsoft.com/office/drawing/2012/chart" uri="{CE6537A1-D6FC-4f65-9D91-7224C49458BB}"/>
            </c:extLst>
          </c:dLbls>
          <c:cat>
            <c:strRef>
              <c:f>(S_Graph_Sum!$BJ$9,S_Graph_Sum!$BK$9,S_Graph_Sum!$BL$9,S_Graph_Sum!$BN$9,S_Graph_Sum!$BP$9,S_Graph_Sum!$BQ$9,S_Graph_Sum!$BV$9)</c:f>
              <c:strCache>
                <c:ptCount val="7"/>
                <c:pt idx="0">
                  <c:v>On-Campus Stationary</c:v>
                </c:pt>
                <c:pt idx="1">
                  <c:v>Direct Transportation</c:v>
                </c:pt>
                <c:pt idx="2">
                  <c:v>Refrigerants &amp; Chemicals</c:v>
                </c:pt>
                <c:pt idx="3">
                  <c:v>Purchased Electricity</c:v>
                </c:pt>
                <c:pt idx="4">
                  <c:v>Commuting</c:v>
                </c:pt>
                <c:pt idx="5">
                  <c:v>Directly Financed Outsourced Travel</c:v>
                </c:pt>
                <c:pt idx="6">
                  <c:v>Scope 2 T&amp;D Losses</c:v>
                </c:pt>
              </c:strCache>
            </c:strRef>
          </c:cat>
          <c:val>
            <c:numRef>
              <c:f>(S_Graph_Sum!$BJ$34,S_Graph_Sum!$BK$34,S_Graph_Sum!$BL$34,S_Graph_Sum!$BN$34,S_Graph_Sum!$BP$34,S_Graph_Sum!$BQ$34,S_Graph_Sum!$BV$34)</c:f>
              <c:numCache>
                <c:formatCode>#,##0_);[Red]\(#,##0\)</c:formatCode>
                <c:ptCount val="7"/>
                <c:pt idx="0">
                  <c:v>7869.6432667637891</c:v>
                </c:pt>
                <c:pt idx="1">
                  <c:v>461.23897083264666</c:v>
                </c:pt>
                <c:pt idx="2">
                  <c:v>374.47316008563973</c:v>
                </c:pt>
                <c:pt idx="3">
                  <c:v>25736.182415338066</c:v>
                </c:pt>
                <c:pt idx="4">
                  <c:v>48371.587565252812</c:v>
                </c:pt>
                <c:pt idx="5">
                  <c:v>3193.881542496767</c:v>
                </c:pt>
                <c:pt idx="6">
                  <c:v>2545.3367223960754</c:v>
                </c:pt>
              </c:numCache>
            </c:numRef>
          </c:val>
          <c:extLst>
            <c:ext xmlns:c16="http://schemas.microsoft.com/office/drawing/2014/chart" uri="{C3380CC4-5D6E-409C-BE32-E72D297353CC}">
              <c16:uniqueId val="{0000000C-8DE2-43E3-A6B0-28E29E8A9624}"/>
            </c:ext>
          </c:extLst>
        </c:ser>
        <c:dLbls>
          <c:showLegendKey val="0"/>
          <c:showVal val="0"/>
          <c:showCatName val="0"/>
          <c:showSerName val="0"/>
          <c:showPercent val="0"/>
          <c:showBubbleSize val="0"/>
          <c:showLeaderLines val="1"/>
        </c:dLbls>
        <c:firstSliceAng val="0"/>
      </c:pieChart>
      <c:spPr>
        <a:noFill/>
      </c:spPr>
    </c:plotArea>
    <c:legend>
      <c:legendPos val="r"/>
      <c:layout>
        <c:manualLayout>
          <c:xMode val="edge"/>
          <c:yMode val="edge"/>
          <c:x val="0.59956276053728486"/>
          <c:y val="0.21818146669343391"/>
          <c:w val="0.39842292591961898"/>
          <c:h val="0.62035370926823497"/>
        </c:manualLayout>
      </c:layout>
      <c:overlay val="0"/>
      <c:txPr>
        <a:bodyPr/>
        <a:lstStyle/>
        <a:p>
          <a:pPr rtl="0">
            <a:defRPr sz="1100"/>
          </a:pPr>
          <a:endParaRPr lang="en-US"/>
        </a:p>
      </c:txPr>
    </c:legend>
    <c:plotVisOnly val="1"/>
    <c:dispBlanksAs val="zero"/>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spPr>
            <a:ln>
              <a:solidFill>
                <a:schemeClr val="tx1"/>
              </a:solidFill>
            </a:ln>
          </c:spPr>
          <c:marker>
            <c:symbol val="none"/>
          </c:marker>
          <c:cat>
            <c:numRef>
              <c:f>model!$A$73:$A$98</c:f>
              <c:numCache>
                <c:formatCode>General</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model!$C$73:$C$98</c:f>
              <c:numCache>
                <c:formatCode>0.000</c:formatCode>
                <c:ptCount val="26"/>
                <c:pt idx="0">
                  <c:v>0.13</c:v>
                </c:pt>
                <c:pt idx="1">
                  <c:v>0.13780000000000001</c:v>
                </c:pt>
                <c:pt idx="2">
                  <c:v>0.14606800000000014</c:v>
                </c:pt>
                <c:pt idx="3">
                  <c:v>0.15483208000000023</c:v>
                </c:pt>
                <c:pt idx="4">
                  <c:v>0.1641220048</c:v>
                </c:pt>
                <c:pt idx="5">
                  <c:v>0.17396932508800017</c:v>
                </c:pt>
                <c:pt idx="6">
                  <c:v>0.18092809809152027</c:v>
                </c:pt>
                <c:pt idx="7">
                  <c:v>0.18635594103426614</c:v>
                </c:pt>
                <c:pt idx="8">
                  <c:v>0.19194661926529399</c:v>
                </c:pt>
                <c:pt idx="9">
                  <c:v>0.19578555165059988</c:v>
                </c:pt>
                <c:pt idx="10">
                  <c:v>0.19970126268361188</c:v>
                </c:pt>
                <c:pt idx="11">
                  <c:v>0.20369528793728414</c:v>
                </c:pt>
                <c:pt idx="12">
                  <c:v>0.20776919369602931</c:v>
                </c:pt>
                <c:pt idx="13">
                  <c:v>0.21192457756995001</c:v>
                </c:pt>
                <c:pt idx="14">
                  <c:v>0.21616306912134914</c:v>
                </c:pt>
                <c:pt idx="15">
                  <c:v>0.22048633050377614</c:v>
                </c:pt>
                <c:pt idx="16">
                  <c:v>0.22489605711385097</c:v>
                </c:pt>
                <c:pt idx="17">
                  <c:v>0.22939397825612901</c:v>
                </c:pt>
                <c:pt idx="18">
                  <c:v>0.23398185782125114</c:v>
                </c:pt>
                <c:pt idx="19">
                  <c:v>0.23866149497767614</c:v>
                </c:pt>
                <c:pt idx="20">
                  <c:v>0.24343472487723031</c:v>
                </c:pt>
                <c:pt idx="21">
                  <c:v>0.24830341937477399</c:v>
                </c:pt>
                <c:pt idx="22">
                  <c:v>0.25326948776226998</c:v>
                </c:pt>
                <c:pt idx="23">
                  <c:v>0.25833487751751527</c:v>
                </c:pt>
                <c:pt idx="24">
                  <c:v>0.26350157506786642</c:v>
                </c:pt>
                <c:pt idx="25">
                  <c:v>0.268771606569223</c:v>
                </c:pt>
              </c:numCache>
            </c:numRef>
          </c:val>
          <c:smooth val="0"/>
          <c:extLst>
            <c:ext xmlns:c16="http://schemas.microsoft.com/office/drawing/2014/chart" uri="{C3380CC4-5D6E-409C-BE32-E72D297353CC}">
              <c16:uniqueId val="{00000000-66B9-4FD8-AB6E-7E59098EC186}"/>
            </c:ext>
          </c:extLst>
        </c:ser>
        <c:dLbls>
          <c:showLegendKey val="0"/>
          <c:showVal val="0"/>
          <c:showCatName val="0"/>
          <c:showSerName val="0"/>
          <c:showPercent val="0"/>
          <c:showBubbleSize val="0"/>
        </c:dLbls>
        <c:smooth val="0"/>
        <c:axId val="44643072"/>
        <c:axId val="44644608"/>
      </c:lineChart>
      <c:catAx>
        <c:axId val="44643072"/>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44644608"/>
        <c:crosses val="autoZero"/>
        <c:auto val="1"/>
        <c:lblAlgn val="ctr"/>
        <c:lblOffset val="100"/>
        <c:noMultiLvlLbl val="0"/>
      </c:catAx>
      <c:valAx>
        <c:axId val="44644608"/>
        <c:scaling>
          <c:orientation val="minMax"/>
          <c:max val="0.30000000000000027"/>
          <c:min val="0.12000000000000002"/>
        </c:scaling>
        <c:delete val="0"/>
        <c:axPos val="l"/>
        <c:majorGridlines/>
        <c:title>
          <c:tx>
            <c:rich>
              <a:bodyPr rot="-5400000" vert="horz"/>
              <a:lstStyle/>
              <a:p>
                <a:pPr>
                  <a:defRPr sz="1100" b="1"/>
                </a:pPr>
                <a:r>
                  <a:rPr lang="en-US" sz="1100" b="1"/>
                  <a:t>Projected electricity rate ($/kWh)</a:t>
                </a:r>
              </a:p>
            </c:rich>
          </c:tx>
          <c:overlay val="0"/>
        </c:title>
        <c:numFmt formatCode="_(&quot;$&quot;* #,##0.00_);_(&quot;$&quot;* \(#,##0.00\);_(&quot;$&quot;* &quot;-&quot;??_);_(@_)" sourceLinked="0"/>
        <c:majorTickMark val="out"/>
        <c:minorTickMark val="none"/>
        <c:tickLblPos val="nextTo"/>
        <c:crossAx val="44643072"/>
        <c:crosses val="autoZero"/>
        <c:crossBetween val="between"/>
        <c:majorUnit val="2.0000000000000011E-2"/>
      </c:valAx>
    </c:plotArea>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988379996923828"/>
          <c:y val="2.9672440944881889E-2"/>
          <c:w val="0.85945686789151354"/>
          <c:h val="0.8291625546806648"/>
        </c:manualLayout>
      </c:layout>
      <c:lineChart>
        <c:grouping val="standard"/>
        <c:varyColors val="0"/>
        <c:ser>
          <c:idx val="0"/>
          <c:order val="0"/>
          <c:tx>
            <c:v>cost of electricity at projected utility rates</c:v>
          </c:tx>
          <c:spPr>
            <a:ln>
              <a:solidFill>
                <a:schemeClr val="tx1"/>
              </a:solidFill>
            </a:ln>
          </c:spPr>
          <c:marker>
            <c:symbol val="none"/>
          </c:marker>
          <c:cat>
            <c:numRef>
              <c:f>'1MW_model'!$A$73:$A$98</c:f>
              <c:numCache>
                <c:formatCode>General</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'1MW_model'!$D$73:$D$98</c:f>
              <c:numCache>
                <c:formatCode>#,##0</c:formatCode>
                <c:ptCount val="26"/>
                <c:pt idx="0">
                  <c:v>228856.80612365998</c:v>
                </c:pt>
                <c:pt idx="1">
                  <c:v>242588.21449107956</c:v>
                </c:pt>
                <c:pt idx="2">
                  <c:v>257143.50736054435</c:v>
                </c:pt>
                <c:pt idx="3">
                  <c:v>272572.11780217703</c:v>
                </c:pt>
                <c:pt idx="4">
                  <c:v>288926.44487030763</c:v>
                </c:pt>
                <c:pt idx="5">
                  <c:v>306262.03156252613</c:v>
                </c:pt>
                <c:pt idx="6">
                  <c:v>318512.51282502722</c:v>
                </c:pt>
                <c:pt idx="7">
                  <c:v>328067.88820977806</c:v>
                </c:pt>
                <c:pt idx="8">
                  <c:v>337909.92485607136</c:v>
                </c:pt>
                <c:pt idx="9">
                  <c:v>344668.12335319282</c:v>
                </c:pt>
                <c:pt idx="10">
                  <c:v>351561.4858202567</c:v>
                </c:pt>
                <c:pt idx="11">
                  <c:v>358592.71553666185</c:v>
                </c:pt>
                <c:pt idx="12">
                  <c:v>365764.56984739506</c:v>
                </c:pt>
                <c:pt idx="13">
                  <c:v>373079.86124434299</c:v>
                </c:pt>
                <c:pt idx="14">
                  <c:v>380541.45846922981</c:v>
                </c:pt>
                <c:pt idx="15">
                  <c:v>388152.28763861442</c:v>
                </c:pt>
                <c:pt idx="16">
                  <c:v>395915.33339138667</c:v>
                </c:pt>
                <c:pt idx="17">
                  <c:v>403833.64005921443</c:v>
                </c:pt>
                <c:pt idx="18">
                  <c:v>411910.31286039873</c:v>
                </c:pt>
                <c:pt idx="19">
                  <c:v>420148.51911760675</c:v>
                </c:pt>
                <c:pt idx="20">
                  <c:v>428551.48949995887</c:v>
                </c:pt>
                <c:pt idx="21">
                  <c:v>437122.51928995806</c:v>
                </c:pt>
                <c:pt idx="22">
                  <c:v>445864.96967575722</c:v>
                </c:pt>
                <c:pt idx="23">
                  <c:v>454782.26906927238</c:v>
                </c:pt>
                <c:pt idx="24">
                  <c:v>463877.91445065785</c:v>
                </c:pt>
                <c:pt idx="25">
                  <c:v>473155.47273967101</c:v>
                </c:pt>
              </c:numCache>
            </c:numRef>
          </c:val>
          <c:smooth val="0"/>
          <c:extLst>
            <c:ext xmlns:c16="http://schemas.microsoft.com/office/drawing/2014/chart" uri="{C3380CC4-5D6E-409C-BE32-E72D297353CC}">
              <c16:uniqueId val="{00000000-66E9-4F2B-81CC-D9C267327EED}"/>
            </c:ext>
          </c:extLst>
        </c:ser>
        <c:ser>
          <c:idx val="1"/>
          <c:order val="1"/>
          <c:tx>
            <c:v>20 yr amortization at 4%</c:v>
          </c:tx>
          <c:spPr>
            <a:ln>
              <a:solidFill>
                <a:schemeClr val="tx2">
                  <a:lumMod val="40000"/>
                  <a:lumOff val="60000"/>
                </a:schemeClr>
              </a:solidFill>
            </a:ln>
          </c:spPr>
          <c:marker>
            <c:symbol val="none"/>
          </c:marker>
          <c:val>
            <c:numRef>
              <c:f>'1MW_model'!$F$73:$F$98</c:f>
              <c:numCache>
                <c:formatCode>"$"#,##0.00_);[Red]\("$"#,##0.00\)</c:formatCode>
                <c:ptCount val="26"/>
                <c:pt idx="0">
                  <c:v>290870.55806372094</c:v>
                </c:pt>
                <c:pt idx="1">
                  <c:v>290870.55806372094</c:v>
                </c:pt>
                <c:pt idx="2">
                  <c:v>290870.55806372094</c:v>
                </c:pt>
                <c:pt idx="3">
                  <c:v>290870.55806372094</c:v>
                </c:pt>
                <c:pt idx="4">
                  <c:v>290870.55806372094</c:v>
                </c:pt>
                <c:pt idx="5">
                  <c:v>290870.55806372094</c:v>
                </c:pt>
                <c:pt idx="6">
                  <c:v>290870.55806372094</c:v>
                </c:pt>
                <c:pt idx="7">
                  <c:v>290870.55806372094</c:v>
                </c:pt>
                <c:pt idx="8">
                  <c:v>290870.55806372094</c:v>
                </c:pt>
                <c:pt idx="9">
                  <c:v>290870.55806372094</c:v>
                </c:pt>
                <c:pt idx="10">
                  <c:v>290870.55806372094</c:v>
                </c:pt>
                <c:pt idx="11">
                  <c:v>290870.55806372094</c:v>
                </c:pt>
                <c:pt idx="12">
                  <c:v>290870.55806372094</c:v>
                </c:pt>
                <c:pt idx="13">
                  <c:v>290870.55806372094</c:v>
                </c:pt>
                <c:pt idx="14">
                  <c:v>290870.55806372094</c:v>
                </c:pt>
                <c:pt idx="15">
                  <c:v>290870.55806372094</c:v>
                </c:pt>
                <c:pt idx="16">
                  <c:v>290870.55806372094</c:v>
                </c:pt>
                <c:pt idx="17">
                  <c:v>290870.55806372094</c:v>
                </c:pt>
                <c:pt idx="18">
                  <c:v>290870.55806372094</c:v>
                </c:pt>
                <c:pt idx="19">
                  <c:v>290870.55806372094</c:v>
                </c:pt>
                <c:pt idx="24">
                  <c:v>0</c:v>
                </c:pt>
                <c:pt idx="25">
                  <c:v>0</c:v>
                </c:pt>
              </c:numCache>
            </c:numRef>
          </c:val>
          <c:smooth val="0"/>
          <c:extLst>
            <c:ext xmlns:c16="http://schemas.microsoft.com/office/drawing/2014/chart" uri="{C3380CC4-5D6E-409C-BE32-E72D297353CC}">
              <c16:uniqueId val="{00000001-66E9-4F2B-81CC-D9C267327EED}"/>
            </c:ext>
          </c:extLst>
        </c:ser>
        <c:ser>
          <c:idx val="2"/>
          <c:order val="2"/>
          <c:tx>
            <c:v>20 yr amortization at 5%</c:v>
          </c:tx>
          <c:spPr>
            <a:ln>
              <a:solidFill>
                <a:srgbClr val="0070C0"/>
              </a:solidFill>
            </a:ln>
          </c:spPr>
          <c:marker>
            <c:symbol val="none"/>
          </c:marker>
          <c:cat>
            <c:numRef>
              <c:f>'1MW_model'!$A$73:$A$98</c:f>
              <c:numCache>
                <c:formatCode>General</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'1MW_model'!$G$73:$G$96</c:f>
              <c:numCache>
                <c:formatCode>"$"#,##0.00_);[Red]\("$"#,##0.00\)</c:formatCode>
                <c:ptCount val="24"/>
                <c:pt idx="0">
                  <c:v>316778.75482399558</c:v>
                </c:pt>
                <c:pt idx="1">
                  <c:v>316778.75482399558</c:v>
                </c:pt>
                <c:pt idx="2">
                  <c:v>316778.75482399558</c:v>
                </c:pt>
                <c:pt idx="3">
                  <c:v>316778.75482399558</c:v>
                </c:pt>
                <c:pt idx="4">
                  <c:v>316778.75482399558</c:v>
                </c:pt>
                <c:pt idx="5">
                  <c:v>316778.75482399558</c:v>
                </c:pt>
                <c:pt idx="6">
                  <c:v>316778.75482399558</c:v>
                </c:pt>
                <c:pt idx="7">
                  <c:v>316778.75482399558</c:v>
                </c:pt>
                <c:pt idx="8">
                  <c:v>316778.75482399558</c:v>
                </c:pt>
                <c:pt idx="9">
                  <c:v>316778.75482399558</c:v>
                </c:pt>
                <c:pt idx="10">
                  <c:v>316778.75482399558</c:v>
                </c:pt>
                <c:pt idx="11">
                  <c:v>316778.75482399558</c:v>
                </c:pt>
                <c:pt idx="12">
                  <c:v>316778.75482399558</c:v>
                </c:pt>
                <c:pt idx="13">
                  <c:v>316778.75482399558</c:v>
                </c:pt>
                <c:pt idx="14">
                  <c:v>316778.75482399558</c:v>
                </c:pt>
                <c:pt idx="15">
                  <c:v>316778.75482399558</c:v>
                </c:pt>
                <c:pt idx="16">
                  <c:v>316778.75482399558</c:v>
                </c:pt>
                <c:pt idx="17">
                  <c:v>316778.75482399558</c:v>
                </c:pt>
                <c:pt idx="18">
                  <c:v>316778.75482399558</c:v>
                </c:pt>
                <c:pt idx="19">
                  <c:v>316778.75482399558</c:v>
                </c:pt>
                <c:pt idx="20" formatCode="General">
                  <c:v>0</c:v>
                </c:pt>
                <c:pt idx="21" formatCode="General">
                  <c:v>0</c:v>
                </c:pt>
                <c:pt idx="22" formatCode="General">
                  <c:v>0</c:v>
                </c:pt>
                <c:pt idx="23" formatCode="General">
                  <c:v>0</c:v>
                </c:pt>
              </c:numCache>
            </c:numRef>
          </c:val>
          <c:smooth val="0"/>
          <c:extLst>
            <c:ext xmlns:c16="http://schemas.microsoft.com/office/drawing/2014/chart" uri="{C3380CC4-5D6E-409C-BE32-E72D297353CC}">
              <c16:uniqueId val="{00000002-66E9-4F2B-81CC-D9C267327EED}"/>
            </c:ext>
          </c:extLst>
        </c:ser>
        <c:ser>
          <c:idx val="3"/>
          <c:order val="3"/>
          <c:tx>
            <c:v>20 yr amortization at 6%</c:v>
          </c:tx>
          <c:spPr>
            <a:ln>
              <a:solidFill>
                <a:srgbClr val="FF0000"/>
              </a:solidFill>
            </a:ln>
          </c:spPr>
          <c:marker>
            <c:symbol val="none"/>
          </c:marker>
          <c:val>
            <c:numRef>
              <c:f>'1MW_model'!$H$73:$H$98</c:f>
              <c:numCache>
                <c:formatCode>"$"#,##0.00_);[Red]\("$"#,##0.00\)</c:formatCode>
                <c:ptCount val="26"/>
                <c:pt idx="0">
                  <c:v>343886.90806951915</c:v>
                </c:pt>
                <c:pt idx="1">
                  <c:v>343886.90806951915</c:v>
                </c:pt>
                <c:pt idx="2">
                  <c:v>343886.90806951915</c:v>
                </c:pt>
                <c:pt idx="3">
                  <c:v>343886.90806951915</c:v>
                </c:pt>
                <c:pt idx="4">
                  <c:v>343886.90806951915</c:v>
                </c:pt>
                <c:pt idx="5">
                  <c:v>343886.90806951915</c:v>
                </c:pt>
                <c:pt idx="6">
                  <c:v>343886.90806951915</c:v>
                </c:pt>
                <c:pt idx="7">
                  <c:v>343886.90806951915</c:v>
                </c:pt>
                <c:pt idx="8">
                  <c:v>343886.90806951915</c:v>
                </c:pt>
                <c:pt idx="9">
                  <c:v>343886.90806951915</c:v>
                </c:pt>
                <c:pt idx="10">
                  <c:v>343886.90806951915</c:v>
                </c:pt>
                <c:pt idx="11">
                  <c:v>343886.90806951915</c:v>
                </c:pt>
                <c:pt idx="12">
                  <c:v>343886.90806951915</c:v>
                </c:pt>
                <c:pt idx="13">
                  <c:v>343886.90806951915</c:v>
                </c:pt>
                <c:pt idx="14">
                  <c:v>343886.90806951915</c:v>
                </c:pt>
                <c:pt idx="15">
                  <c:v>343886.90806951915</c:v>
                </c:pt>
                <c:pt idx="16">
                  <c:v>343886.90806951915</c:v>
                </c:pt>
                <c:pt idx="17">
                  <c:v>343886.90806951915</c:v>
                </c:pt>
                <c:pt idx="18">
                  <c:v>343886.90806951915</c:v>
                </c:pt>
                <c:pt idx="19">
                  <c:v>343886.90806951915</c:v>
                </c:pt>
                <c:pt idx="20">
                  <c:v>0</c:v>
                </c:pt>
                <c:pt idx="21">
                  <c:v>0</c:v>
                </c:pt>
                <c:pt idx="22">
                  <c:v>0</c:v>
                </c:pt>
                <c:pt idx="23">
                  <c:v>0</c:v>
                </c:pt>
                <c:pt idx="24">
                  <c:v>0</c:v>
                </c:pt>
                <c:pt idx="25">
                  <c:v>0</c:v>
                </c:pt>
              </c:numCache>
            </c:numRef>
          </c:val>
          <c:smooth val="0"/>
          <c:extLst>
            <c:ext xmlns:c16="http://schemas.microsoft.com/office/drawing/2014/chart" uri="{C3380CC4-5D6E-409C-BE32-E72D297353CC}">
              <c16:uniqueId val="{00000003-66E9-4F2B-81CC-D9C267327EED}"/>
            </c:ext>
          </c:extLst>
        </c:ser>
        <c:ser>
          <c:idx val="4"/>
          <c:order val="4"/>
          <c:tx>
            <c:v>lease rate of $0.12/kWh</c:v>
          </c:tx>
          <c:spPr>
            <a:ln>
              <a:solidFill>
                <a:srgbClr val="006600"/>
              </a:solidFill>
            </a:ln>
          </c:spPr>
          <c:marker>
            <c:symbol val="none"/>
          </c:marker>
          <c:val>
            <c:numRef>
              <c:f>'1MW_model'!$E$73:$E$98</c:f>
              <c:numCache>
                <c:formatCode>#,##0</c:formatCode>
                <c:ptCount val="26"/>
                <c:pt idx="0">
                  <c:v>211252.43642183996</c:v>
                </c:pt>
                <c:pt idx="1">
                  <c:v>211252.43642183996</c:v>
                </c:pt>
                <c:pt idx="2">
                  <c:v>211252.43642183996</c:v>
                </c:pt>
                <c:pt idx="3">
                  <c:v>211252.43642183996</c:v>
                </c:pt>
                <c:pt idx="4">
                  <c:v>211252.43642183996</c:v>
                </c:pt>
                <c:pt idx="5">
                  <c:v>211252.43642183996</c:v>
                </c:pt>
                <c:pt idx="6">
                  <c:v>211252.43642183996</c:v>
                </c:pt>
                <c:pt idx="7">
                  <c:v>211252.43642183996</c:v>
                </c:pt>
                <c:pt idx="8">
                  <c:v>211252.43642183996</c:v>
                </c:pt>
                <c:pt idx="9">
                  <c:v>211252.43642183996</c:v>
                </c:pt>
                <c:pt idx="10">
                  <c:v>211252.43642183996</c:v>
                </c:pt>
                <c:pt idx="11">
                  <c:v>211252.43642183996</c:v>
                </c:pt>
                <c:pt idx="12">
                  <c:v>211252.43642183996</c:v>
                </c:pt>
                <c:pt idx="13">
                  <c:v>211252.43642183996</c:v>
                </c:pt>
                <c:pt idx="14">
                  <c:v>211252.43642183996</c:v>
                </c:pt>
                <c:pt idx="15">
                  <c:v>211252.43642183996</c:v>
                </c:pt>
                <c:pt idx="16">
                  <c:v>211252.43642183996</c:v>
                </c:pt>
                <c:pt idx="17">
                  <c:v>211252.43642183996</c:v>
                </c:pt>
                <c:pt idx="18">
                  <c:v>211252.43642183996</c:v>
                </c:pt>
                <c:pt idx="19">
                  <c:v>211252.43642183996</c:v>
                </c:pt>
                <c:pt idx="20">
                  <c:v>211252.43642183996</c:v>
                </c:pt>
                <c:pt idx="21">
                  <c:v>211252.43642183996</c:v>
                </c:pt>
                <c:pt idx="22">
                  <c:v>211252.43642183996</c:v>
                </c:pt>
                <c:pt idx="23">
                  <c:v>211252.43642183996</c:v>
                </c:pt>
                <c:pt idx="24">
                  <c:v>211252.43642183996</c:v>
                </c:pt>
                <c:pt idx="25">
                  <c:v>211252.43642183996</c:v>
                </c:pt>
              </c:numCache>
            </c:numRef>
          </c:val>
          <c:smooth val="0"/>
          <c:extLst>
            <c:ext xmlns:c16="http://schemas.microsoft.com/office/drawing/2014/chart" uri="{C3380CC4-5D6E-409C-BE32-E72D297353CC}">
              <c16:uniqueId val="{00000004-66E9-4F2B-81CC-D9C267327EED}"/>
            </c:ext>
          </c:extLst>
        </c:ser>
        <c:dLbls>
          <c:showLegendKey val="0"/>
          <c:showVal val="0"/>
          <c:showCatName val="0"/>
          <c:showSerName val="0"/>
          <c:showPercent val="0"/>
          <c:showBubbleSize val="0"/>
        </c:dLbls>
        <c:smooth val="0"/>
        <c:axId val="44427136"/>
        <c:axId val="44428672"/>
      </c:lineChart>
      <c:catAx>
        <c:axId val="44427136"/>
        <c:scaling>
          <c:orientation val="minMax"/>
        </c:scaling>
        <c:delete val="0"/>
        <c:axPos val="b"/>
        <c:majorGridlines/>
        <c:numFmt formatCode="General" sourceLinked="1"/>
        <c:majorTickMark val="out"/>
        <c:minorTickMark val="none"/>
        <c:tickLblPos val="nextTo"/>
        <c:txPr>
          <a:bodyPr rot="-5400000" vert="horz"/>
          <a:lstStyle/>
          <a:p>
            <a:pPr>
              <a:defRPr/>
            </a:pPr>
            <a:endParaRPr lang="en-US"/>
          </a:p>
        </c:txPr>
        <c:crossAx val="44428672"/>
        <c:crosses val="autoZero"/>
        <c:auto val="1"/>
        <c:lblAlgn val="ctr"/>
        <c:lblOffset val="100"/>
        <c:tickLblSkip val="1"/>
        <c:noMultiLvlLbl val="0"/>
      </c:catAx>
      <c:valAx>
        <c:axId val="44428672"/>
        <c:scaling>
          <c:orientation val="minMax"/>
        </c:scaling>
        <c:delete val="0"/>
        <c:axPos val="l"/>
        <c:majorGridlines>
          <c:spPr>
            <a:ln>
              <a:solidFill>
                <a:schemeClr val="tx1">
                  <a:alpha val="26000"/>
                </a:schemeClr>
              </a:solidFill>
            </a:ln>
          </c:spPr>
        </c:majorGridlines>
        <c:title>
          <c:tx>
            <c:rich>
              <a:bodyPr rot="-5400000" vert="horz"/>
              <a:lstStyle/>
              <a:p>
                <a:pPr>
                  <a:defRPr sz="1100" b="1"/>
                </a:pPr>
                <a:r>
                  <a:rPr lang="en-US" sz="1100" b="1"/>
                  <a:t>Annual Cost ($)</a:t>
                </a:r>
              </a:p>
            </c:rich>
          </c:tx>
          <c:overlay val="0"/>
        </c:title>
        <c:numFmt formatCode="#,##0" sourceLinked="1"/>
        <c:majorTickMark val="out"/>
        <c:minorTickMark val="none"/>
        <c:tickLblPos val="nextTo"/>
        <c:crossAx val="44427136"/>
        <c:crosses val="autoZero"/>
        <c:crossBetween val="between"/>
      </c:valAx>
    </c:plotArea>
    <c:legend>
      <c:legendPos val="r"/>
      <c:layout>
        <c:manualLayout>
          <c:xMode val="edge"/>
          <c:yMode val="edge"/>
          <c:x val="0.19139055118110238"/>
          <c:y val="0.5673039436949362"/>
          <c:w val="0.51216527990711946"/>
          <c:h val="0.25912580927384077"/>
        </c:manualLayout>
      </c:layout>
      <c:overlay val="0"/>
      <c:spPr>
        <a:solidFill>
          <a:sysClr val="window" lastClr="FFFFFF"/>
        </a:solidFill>
      </c:spPr>
    </c:legend>
    <c:plotVisOnly val="1"/>
    <c:dispBlanksAs val="gap"/>
    <c:showDLblsOverMax val="0"/>
  </c:chart>
  <c:spPr>
    <a:ln>
      <a:noFill/>
    </a:ln>
  </c:sp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3988379996923828"/>
          <c:y val="8.3005609336239447E-2"/>
          <c:w val="0.83202099737532809"/>
          <c:h val="0.87056617922759671"/>
        </c:manualLayout>
      </c:layout>
      <c:lineChart>
        <c:grouping val="standard"/>
        <c:varyColors val="0"/>
        <c:ser>
          <c:idx val="1"/>
          <c:order val="0"/>
          <c:tx>
            <c:v>20 yr amortization at 4%</c:v>
          </c:tx>
          <c:spPr>
            <a:ln>
              <a:solidFill>
                <a:schemeClr val="tx2">
                  <a:lumMod val="40000"/>
                  <a:lumOff val="60000"/>
                </a:schemeClr>
              </a:solidFill>
            </a:ln>
          </c:spPr>
          <c:marker>
            <c:symbol val="none"/>
          </c:marker>
          <c:cat>
            <c:numRef>
              <c:f>'1MW_model'!$A$126:$A$151</c:f>
              <c:numCache>
                <c:formatCode>General</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'1MW_model'!$C$126:$C$151</c:f>
              <c:numCache>
                <c:formatCode>"$"#,##0.00_);[Red]\("$"#,##0.00\)</c:formatCode>
                <c:ptCount val="26"/>
                <c:pt idx="0">
                  <c:v>-62013.75194006096</c:v>
                </c:pt>
                <c:pt idx="1">
                  <c:v>-48282.343572641374</c:v>
                </c:pt>
                <c:pt idx="2">
                  <c:v>-33727.050703176588</c:v>
                </c:pt>
                <c:pt idx="3">
                  <c:v>-18298.440261543903</c:v>
                </c:pt>
                <c:pt idx="4">
                  <c:v>-1944.1131934133009</c:v>
                </c:pt>
                <c:pt idx="5">
                  <c:v>15391.473498805193</c:v>
                </c:pt>
                <c:pt idx="6">
                  <c:v>27641.95476130629</c:v>
                </c:pt>
                <c:pt idx="7">
                  <c:v>37197.330146057124</c:v>
                </c:pt>
                <c:pt idx="8">
                  <c:v>47039.366792350425</c:v>
                </c:pt>
                <c:pt idx="9">
                  <c:v>53797.565289471881</c:v>
                </c:pt>
                <c:pt idx="10">
                  <c:v>60690.927756535762</c:v>
                </c:pt>
                <c:pt idx="11">
                  <c:v>67722.157472940919</c:v>
                </c:pt>
                <c:pt idx="12">
                  <c:v>74894.011783674126</c:v>
                </c:pt>
                <c:pt idx="13">
                  <c:v>82209.303180622053</c:v>
                </c:pt>
                <c:pt idx="14">
                  <c:v>89670.900405508874</c:v>
                </c:pt>
                <c:pt idx="15">
                  <c:v>97281.729574893485</c:v>
                </c:pt>
                <c:pt idx="16">
                  <c:v>105044.77532766573</c:v>
                </c:pt>
                <c:pt idx="17">
                  <c:v>112963.0819954935</c:v>
                </c:pt>
                <c:pt idx="18">
                  <c:v>121039.75479667779</c:v>
                </c:pt>
                <c:pt idx="19">
                  <c:v>129277.96105388581</c:v>
                </c:pt>
                <c:pt idx="20">
                  <c:v>428551.48949995887</c:v>
                </c:pt>
                <c:pt idx="21">
                  <c:v>437122.51928995806</c:v>
                </c:pt>
                <c:pt idx="22">
                  <c:v>445864.96967575722</c:v>
                </c:pt>
                <c:pt idx="23">
                  <c:v>454782.26906927238</c:v>
                </c:pt>
                <c:pt idx="24">
                  <c:v>463877.91445065785</c:v>
                </c:pt>
                <c:pt idx="25">
                  <c:v>473155.47273967101</c:v>
                </c:pt>
              </c:numCache>
            </c:numRef>
          </c:val>
          <c:smooth val="0"/>
          <c:extLst>
            <c:ext xmlns:c16="http://schemas.microsoft.com/office/drawing/2014/chart" uri="{C3380CC4-5D6E-409C-BE32-E72D297353CC}">
              <c16:uniqueId val="{00000000-406B-4398-8AB6-E3F4FB9F1E2F}"/>
            </c:ext>
          </c:extLst>
        </c:ser>
        <c:ser>
          <c:idx val="2"/>
          <c:order val="1"/>
          <c:tx>
            <c:v>20 yr amortization at 5%</c:v>
          </c:tx>
          <c:spPr>
            <a:ln>
              <a:solidFill>
                <a:srgbClr val="0070C0"/>
              </a:solidFill>
            </a:ln>
          </c:spPr>
          <c:marker>
            <c:symbol val="none"/>
          </c:marker>
          <c:cat>
            <c:numRef>
              <c:f>'1MW_model'!$A$126:$A$151</c:f>
              <c:numCache>
                <c:formatCode>General</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'1MW_model'!$D$126:$D$151</c:f>
              <c:numCache>
                <c:formatCode>"$"#,##0.00_);[Red]\("$"#,##0.00\)</c:formatCode>
                <c:ptCount val="26"/>
                <c:pt idx="0">
                  <c:v>-87921.948700335604</c:v>
                </c:pt>
                <c:pt idx="1">
                  <c:v>-74190.540332916018</c:v>
                </c:pt>
                <c:pt idx="2">
                  <c:v>-59635.247463451233</c:v>
                </c:pt>
                <c:pt idx="3">
                  <c:v>-44206.637021818548</c:v>
                </c:pt>
                <c:pt idx="4">
                  <c:v>-27852.309953687945</c:v>
                </c:pt>
                <c:pt idx="5">
                  <c:v>-10516.723261469451</c:v>
                </c:pt>
                <c:pt idx="6">
                  <c:v>1733.7580010316451</c:v>
                </c:pt>
                <c:pt idx="7">
                  <c:v>11289.133385782479</c:v>
                </c:pt>
                <c:pt idx="8">
                  <c:v>21131.170032075781</c:v>
                </c:pt>
                <c:pt idx="9">
                  <c:v>27889.368529197236</c:v>
                </c:pt>
                <c:pt idx="10">
                  <c:v>34782.730996261118</c:v>
                </c:pt>
                <c:pt idx="11">
                  <c:v>41813.960712666274</c:v>
                </c:pt>
                <c:pt idx="12">
                  <c:v>48985.815023399482</c:v>
                </c:pt>
                <c:pt idx="13">
                  <c:v>56301.106420347409</c:v>
                </c:pt>
                <c:pt idx="14">
                  <c:v>63762.703645234229</c:v>
                </c:pt>
                <c:pt idx="15">
                  <c:v>71373.53281461884</c:v>
                </c:pt>
                <c:pt idx="16">
                  <c:v>79136.578567391087</c:v>
                </c:pt>
                <c:pt idx="17">
                  <c:v>87054.885235218855</c:v>
                </c:pt>
                <c:pt idx="18">
                  <c:v>95131.558036403148</c:v>
                </c:pt>
                <c:pt idx="19">
                  <c:v>103369.76429361117</c:v>
                </c:pt>
                <c:pt idx="20">
                  <c:v>428551.48949995887</c:v>
                </c:pt>
                <c:pt idx="21">
                  <c:v>437122.51928995806</c:v>
                </c:pt>
                <c:pt idx="22">
                  <c:v>445864.96967575722</c:v>
                </c:pt>
                <c:pt idx="23">
                  <c:v>454782.26906927238</c:v>
                </c:pt>
                <c:pt idx="24">
                  <c:v>463877.91445065785</c:v>
                </c:pt>
                <c:pt idx="25">
                  <c:v>473155.47273967101</c:v>
                </c:pt>
              </c:numCache>
            </c:numRef>
          </c:val>
          <c:smooth val="0"/>
          <c:extLst>
            <c:ext xmlns:c16="http://schemas.microsoft.com/office/drawing/2014/chart" uri="{C3380CC4-5D6E-409C-BE32-E72D297353CC}">
              <c16:uniqueId val="{00000001-406B-4398-8AB6-E3F4FB9F1E2F}"/>
            </c:ext>
          </c:extLst>
        </c:ser>
        <c:ser>
          <c:idx val="3"/>
          <c:order val="2"/>
          <c:tx>
            <c:v>20 yr amortization at 6%</c:v>
          </c:tx>
          <c:spPr>
            <a:ln>
              <a:solidFill>
                <a:srgbClr val="FF0000"/>
              </a:solidFill>
            </a:ln>
          </c:spPr>
          <c:marker>
            <c:symbol val="none"/>
          </c:marker>
          <c:cat>
            <c:numRef>
              <c:f>'1MW_model'!$A$126:$A$151</c:f>
              <c:numCache>
                <c:formatCode>General</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'1MW_model'!$E$126:$E$151</c:f>
              <c:numCache>
                <c:formatCode>"$"#,##0.00_);[Red]\("$"#,##0.00\)</c:formatCode>
                <c:ptCount val="26"/>
                <c:pt idx="0">
                  <c:v>-115030.10194585918</c:v>
                </c:pt>
                <c:pt idx="1">
                  <c:v>-101298.69357843959</c:v>
                </c:pt>
                <c:pt idx="2">
                  <c:v>-86743.400708974805</c:v>
                </c:pt>
                <c:pt idx="3">
                  <c:v>-71314.790267342119</c:v>
                </c:pt>
                <c:pt idx="4">
                  <c:v>-54960.463199211517</c:v>
                </c:pt>
                <c:pt idx="5">
                  <c:v>-37624.876506993023</c:v>
                </c:pt>
                <c:pt idx="6">
                  <c:v>-25374.395244491927</c:v>
                </c:pt>
                <c:pt idx="7">
                  <c:v>-15819.019859741093</c:v>
                </c:pt>
                <c:pt idx="8">
                  <c:v>-5976.9832134477911</c:v>
                </c:pt>
                <c:pt idx="9">
                  <c:v>781.21528367366409</c:v>
                </c:pt>
                <c:pt idx="10">
                  <c:v>7674.577750737546</c:v>
                </c:pt>
                <c:pt idx="11">
                  <c:v>14705.807467142702</c:v>
                </c:pt>
                <c:pt idx="12">
                  <c:v>21877.66177787591</c:v>
                </c:pt>
                <c:pt idx="13">
                  <c:v>29192.953174823837</c:v>
                </c:pt>
                <c:pt idx="14">
                  <c:v>36654.550399710657</c:v>
                </c:pt>
                <c:pt idx="15">
                  <c:v>44265.379569095268</c:v>
                </c:pt>
                <c:pt idx="16">
                  <c:v>52028.425321867515</c:v>
                </c:pt>
                <c:pt idx="17">
                  <c:v>59946.731989695283</c:v>
                </c:pt>
                <c:pt idx="18">
                  <c:v>68023.404790879576</c:v>
                </c:pt>
                <c:pt idx="19">
                  <c:v>76261.611048087594</c:v>
                </c:pt>
                <c:pt idx="20">
                  <c:v>428551.48949995887</c:v>
                </c:pt>
                <c:pt idx="21">
                  <c:v>437122.51928995806</c:v>
                </c:pt>
                <c:pt idx="22">
                  <c:v>445864.96967575722</c:v>
                </c:pt>
                <c:pt idx="23">
                  <c:v>454782.26906927238</c:v>
                </c:pt>
                <c:pt idx="24">
                  <c:v>463877.91445065785</c:v>
                </c:pt>
                <c:pt idx="25">
                  <c:v>473155.47273967101</c:v>
                </c:pt>
              </c:numCache>
            </c:numRef>
          </c:val>
          <c:smooth val="0"/>
          <c:extLst>
            <c:ext xmlns:c16="http://schemas.microsoft.com/office/drawing/2014/chart" uri="{C3380CC4-5D6E-409C-BE32-E72D297353CC}">
              <c16:uniqueId val="{00000002-406B-4398-8AB6-E3F4FB9F1E2F}"/>
            </c:ext>
          </c:extLst>
        </c:ser>
        <c:ser>
          <c:idx val="4"/>
          <c:order val="3"/>
          <c:tx>
            <c:v>lease rate of $0.12/kWh</c:v>
          </c:tx>
          <c:spPr>
            <a:ln>
              <a:solidFill>
                <a:srgbClr val="006600"/>
              </a:solidFill>
            </a:ln>
          </c:spPr>
          <c:marker>
            <c:symbol val="none"/>
          </c:marker>
          <c:cat>
            <c:numRef>
              <c:f>'1MW_model'!$A$126:$A$151</c:f>
              <c:numCache>
                <c:formatCode>General</c:formatCode>
                <c:ptCount val="26"/>
                <c:pt idx="0">
                  <c:v>2015</c:v>
                </c:pt>
                <c:pt idx="1">
                  <c:v>2016</c:v>
                </c:pt>
                <c:pt idx="2">
                  <c:v>2017</c:v>
                </c:pt>
                <c:pt idx="3">
                  <c:v>2018</c:v>
                </c:pt>
                <c:pt idx="4">
                  <c:v>2019</c:v>
                </c:pt>
                <c:pt idx="5">
                  <c:v>2020</c:v>
                </c:pt>
                <c:pt idx="6">
                  <c:v>2021</c:v>
                </c:pt>
                <c:pt idx="7">
                  <c:v>2022</c:v>
                </c:pt>
                <c:pt idx="8">
                  <c:v>2023</c:v>
                </c:pt>
                <c:pt idx="9">
                  <c:v>2024</c:v>
                </c:pt>
                <c:pt idx="10">
                  <c:v>2025</c:v>
                </c:pt>
                <c:pt idx="11">
                  <c:v>2026</c:v>
                </c:pt>
                <c:pt idx="12">
                  <c:v>2027</c:v>
                </c:pt>
                <c:pt idx="13">
                  <c:v>2028</c:v>
                </c:pt>
                <c:pt idx="14">
                  <c:v>2029</c:v>
                </c:pt>
                <c:pt idx="15">
                  <c:v>2030</c:v>
                </c:pt>
                <c:pt idx="16">
                  <c:v>2031</c:v>
                </c:pt>
                <c:pt idx="17">
                  <c:v>2032</c:v>
                </c:pt>
                <c:pt idx="18">
                  <c:v>2033</c:v>
                </c:pt>
                <c:pt idx="19">
                  <c:v>2034</c:v>
                </c:pt>
                <c:pt idx="20">
                  <c:v>2035</c:v>
                </c:pt>
                <c:pt idx="21">
                  <c:v>2036</c:v>
                </c:pt>
                <c:pt idx="22">
                  <c:v>2037</c:v>
                </c:pt>
                <c:pt idx="23">
                  <c:v>2038</c:v>
                </c:pt>
                <c:pt idx="24">
                  <c:v>2039</c:v>
                </c:pt>
                <c:pt idx="25">
                  <c:v>2040</c:v>
                </c:pt>
              </c:numCache>
            </c:numRef>
          </c:cat>
          <c:val>
            <c:numRef>
              <c:f>'1MW_model'!$B$126:$B$151</c:f>
              <c:numCache>
                <c:formatCode>#,##0</c:formatCode>
                <c:ptCount val="26"/>
                <c:pt idx="0">
                  <c:v>17604.369701820018</c:v>
                </c:pt>
                <c:pt idx="1">
                  <c:v>31335.778069239605</c:v>
                </c:pt>
                <c:pt idx="2">
                  <c:v>45891.07093870439</c:v>
                </c:pt>
                <c:pt idx="3">
                  <c:v>61319.681380337075</c:v>
                </c:pt>
                <c:pt idx="4">
                  <c:v>77674.008448467677</c:v>
                </c:pt>
                <c:pt idx="5">
                  <c:v>95009.595140686171</c:v>
                </c:pt>
                <c:pt idx="6">
                  <c:v>107260.07640318727</c:v>
                </c:pt>
                <c:pt idx="7">
                  <c:v>116815.4517879381</c:v>
                </c:pt>
                <c:pt idx="8">
                  <c:v>126657.4884342314</c:v>
                </c:pt>
                <c:pt idx="9">
                  <c:v>133415.68693135286</c:v>
                </c:pt>
                <c:pt idx="10">
                  <c:v>140309.04939841674</c:v>
                </c:pt>
                <c:pt idx="11">
                  <c:v>147340.2791148219</c:v>
                </c:pt>
                <c:pt idx="12">
                  <c:v>154512.1334255551</c:v>
                </c:pt>
                <c:pt idx="13">
                  <c:v>161827.42482250303</c:v>
                </c:pt>
                <c:pt idx="14">
                  <c:v>169289.02204738985</c:v>
                </c:pt>
                <c:pt idx="15">
                  <c:v>176899.85121677446</c:v>
                </c:pt>
                <c:pt idx="16">
                  <c:v>184662.89696954671</c:v>
                </c:pt>
                <c:pt idx="17">
                  <c:v>192581.20363737448</c:v>
                </c:pt>
                <c:pt idx="18">
                  <c:v>200657.87643855877</c:v>
                </c:pt>
                <c:pt idx="19">
                  <c:v>208896.08269576679</c:v>
                </c:pt>
                <c:pt idx="20">
                  <c:v>217299.05307811892</c:v>
                </c:pt>
                <c:pt idx="21">
                  <c:v>225870.0828681181</c:v>
                </c:pt>
                <c:pt idx="22">
                  <c:v>234612.53325391727</c:v>
                </c:pt>
                <c:pt idx="23">
                  <c:v>243529.83264743243</c:v>
                </c:pt>
                <c:pt idx="24">
                  <c:v>252625.47802881789</c:v>
                </c:pt>
                <c:pt idx="25">
                  <c:v>261903.03631783105</c:v>
                </c:pt>
              </c:numCache>
            </c:numRef>
          </c:val>
          <c:smooth val="0"/>
          <c:extLst>
            <c:ext xmlns:c16="http://schemas.microsoft.com/office/drawing/2014/chart" uri="{C3380CC4-5D6E-409C-BE32-E72D297353CC}">
              <c16:uniqueId val="{00000003-406B-4398-8AB6-E3F4FB9F1E2F}"/>
            </c:ext>
          </c:extLst>
        </c:ser>
        <c:dLbls>
          <c:showLegendKey val="0"/>
          <c:showVal val="0"/>
          <c:showCatName val="0"/>
          <c:showSerName val="0"/>
          <c:showPercent val="0"/>
          <c:showBubbleSize val="0"/>
        </c:dLbls>
        <c:smooth val="0"/>
        <c:axId val="44336640"/>
        <c:axId val="44338176"/>
      </c:lineChart>
      <c:catAx>
        <c:axId val="44336640"/>
        <c:scaling>
          <c:orientation val="minMax"/>
        </c:scaling>
        <c:delete val="0"/>
        <c:axPos val="b"/>
        <c:majorGridlines/>
        <c:numFmt formatCode="General" sourceLinked="1"/>
        <c:majorTickMark val="out"/>
        <c:minorTickMark val="none"/>
        <c:tickLblPos val="nextTo"/>
        <c:txPr>
          <a:bodyPr rot="-5400000" vert="horz"/>
          <a:lstStyle/>
          <a:p>
            <a:pPr>
              <a:defRPr/>
            </a:pPr>
            <a:endParaRPr lang="en-US"/>
          </a:p>
        </c:txPr>
        <c:crossAx val="44338176"/>
        <c:crosses val="autoZero"/>
        <c:auto val="1"/>
        <c:lblAlgn val="ctr"/>
        <c:lblOffset val="100"/>
        <c:tickLblSkip val="1"/>
        <c:noMultiLvlLbl val="0"/>
      </c:catAx>
      <c:valAx>
        <c:axId val="44338176"/>
        <c:scaling>
          <c:orientation val="minMax"/>
        </c:scaling>
        <c:delete val="0"/>
        <c:axPos val="l"/>
        <c:majorGridlines>
          <c:spPr>
            <a:ln>
              <a:solidFill>
                <a:schemeClr val="tx1">
                  <a:alpha val="26000"/>
                </a:schemeClr>
              </a:solidFill>
            </a:ln>
          </c:spPr>
        </c:majorGridlines>
        <c:title>
          <c:tx>
            <c:rich>
              <a:bodyPr rot="-5400000" vert="horz"/>
              <a:lstStyle/>
              <a:p>
                <a:pPr>
                  <a:defRPr sz="1100" b="1"/>
                </a:pPr>
                <a:r>
                  <a:rPr lang="en-US" sz="1100" b="1"/>
                  <a:t>Annual Savings</a:t>
                </a:r>
                <a:r>
                  <a:rPr lang="en-US" sz="1100" b="1" baseline="0"/>
                  <a:t> </a:t>
                </a:r>
                <a:r>
                  <a:rPr lang="en-US" sz="1100" b="1"/>
                  <a:t> ($)</a:t>
                </a:r>
              </a:p>
            </c:rich>
          </c:tx>
          <c:overlay val="0"/>
        </c:title>
        <c:numFmt formatCode="&quot;$&quot;#,##0_);[Red]\(&quot;$&quot;#,##0\)" sourceLinked="0"/>
        <c:majorTickMark val="out"/>
        <c:minorTickMark val="none"/>
        <c:tickLblPos val="nextTo"/>
        <c:crossAx val="44336640"/>
        <c:crosses val="autoZero"/>
        <c:crossBetween val="between"/>
      </c:valAx>
    </c:plotArea>
    <c:legend>
      <c:legendPos val="r"/>
      <c:layout>
        <c:manualLayout>
          <c:xMode val="edge"/>
          <c:yMode val="edge"/>
          <c:x val="0.21494028747351757"/>
          <c:y val="0.13060393635334241"/>
          <c:w val="0.31873921729933014"/>
          <c:h val="0.21912567662209306"/>
        </c:manualLayout>
      </c:layout>
      <c:overlay val="0"/>
      <c:spPr>
        <a:solidFill>
          <a:sysClr val="window" lastClr="FFFFFF"/>
        </a:solidFill>
      </c:spPr>
    </c:legend>
    <c:plotVisOnly val="1"/>
    <c:dispBlanksAs val="gap"/>
    <c:showDLblsOverMax val="0"/>
  </c:chart>
  <c:spPr>
    <a:ln>
      <a:noFill/>
    </a:ln>
  </c:sp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353119321623314"/>
          <c:y val="4.1500820751787203E-2"/>
          <c:w val="0.75487246786459483"/>
          <c:h val="0.80207229987297357"/>
        </c:manualLayout>
      </c:layout>
      <c:lineChart>
        <c:grouping val="standard"/>
        <c:varyColors val="0"/>
        <c:ser>
          <c:idx val="1"/>
          <c:order val="0"/>
          <c:tx>
            <c:v>Natural Gas Use (BAU)</c:v>
          </c:tx>
          <c:spPr>
            <a:ln>
              <a:solidFill>
                <a:srgbClr val="FFFF00"/>
              </a:solidFill>
            </a:ln>
          </c:spPr>
          <c:marker>
            <c:symbol val="none"/>
          </c:marker>
          <c:cat>
            <c:numRef>
              <c:f>BAU_InputData!$A$11:$A$71</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BAU_InputData!$F$11:$F$71</c:f>
              <c:numCache>
                <c:formatCode>#,##0</c:formatCode>
                <c:ptCount val="61"/>
                <c:pt idx="0">
                  <c:v>247155.6</c:v>
                </c:pt>
                <c:pt idx="1">
                  <c:v>247768.8</c:v>
                </c:pt>
                <c:pt idx="2">
                  <c:v>189672.5</c:v>
                </c:pt>
                <c:pt idx="3">
                  <c:v>191765.6</c:v>
                </c:pt>
                <c:pt idx="4">
                  <c:v>88673</c:v>
                </c:pt>
                <c:pt idx="5">
                  <c:v>99644.5</c:v>
                </c:pt>
                <c:pt idx="6">
                  <c:v>112621.7</c:v>
                </c:pt>
                <c:pt idx="7">
                  <c:v>137893.1</c:v>
                </c:pt>
                <c:pt idx="8">
                  <c:v>96126.1</c:v>
                </c:pt>
                <c:pt idx="9">
                  <c:v>97989.5</c:v>
                </c:pt>
                <c:pt idx="10">
                  <c:v>89538.2</c:v>
                </c:pt>
                <c:pt idx="11">
                  <c:v>82096</c:v>
                </c:pt>
                <c:pt idx="12">
                  <c:v>68953.600000000006</c:v>
                </c:pt>
                <c:pt idx="13">
                  <c:v>76315.5</c:v>
                </c:pt>
                <c:pt idx="14">
                  <c:v>90024.3</c:v>
                </c:pt>
                <c:pt idx="15">
                  <c:v>94524.6</c:v>
                </c:pt>
                <c:pt idx="16">
                  <c:v>85795.8</c:v>
                </c:pt>
                <c:pt idx="17">
                  <c:v>144241.4</c:v>
                </c:pt>
                <c:pt idx="18">
                  <c:v>119712.1</c:v>
                </c:pt>
                <c:pt idx="19">
                  <c:v>149456.1</c:v>
                </c:pt>
                <c:pt idx="20">
                  <c:v>167594.6</c:v>
                </c:pt>
                <c:pt idx="21">
                  <c:v>153814.1</c:v>
                </c:pt>
                <c:pt idx="22">
                  <c:v>151281.20000000001</c:v>
                </c:pt>
                <c:pt idx="23">
                  <c:v>148479</c:v>
                </c:pt>
                <c:pt idx="24">
                  <c:v>149880.1</c:v>
                </c:pt>
                <c:pt idx="25">
                  <c:v>149884.34386563121</c:v>
                </c:pt>
                <c:pt idx="26">
                  <c:v>149888.58773126255</c:v>
                </c:pt>
                <c:pt idx="27">
                  <c:v>149892.83159689317</c:v>
                </c:pt>
                <c:pt idx="28">
                  <c:v>149897.07546252463</c:v>
                </c:pt>
                <c:pt idx="29">
                  <c:v>149901.31932815601</c:v>
                </c:pt>
                <c:pt idx="30">
                  <c:v>151432.21217803116</c:v>
                </c:pt>
                <c:pt idx="31">
                  <c:v>152963.10502790581</c:v>
                </c:pt>
                <c:pt idx="32">
                  <c:v>154493.99787778064</c:v>
                </c:pt>
                <c:pt idx="33">
                  <c:v>156024.89072765529</c:v>
                </c:pt>
                <c:pt idx="34">
                  <c:v>157555.78357753009</c:v>
                </c:pt>
                <c:pt idx="35">
                  <c:v>159086.67642740475</c:v>
                </c:pt>
                <c:pt idx="36">
                  <c:v>160617.56927727969</c:v>
                </c:pt>
                <c:pt idx="37">
                  <c:v>162148.46212715449</c:v>
                </c:pt>
                <c:pt idx="38">
                  <c:v>163679.35497702911</c:v>
                </c:pt>
                <c:pt idx="39">
                  <c:v>165210.24782690417</c:v>
                </c:pt>
                <c:pt idx="40">
                  <c:v>166741.140676779</c:v>
                </c:pt>
                <c:pt idx="41">
                  <c:v>168272.03352665369</c:v>
                </c:pt>
                <c:pt idx="42">
                  <c:v>169802.92637652848</c:v>
                </c:pt>
                <c:pt idx="43">
                  <c:v>171333.81922640328</c:v>
                </c:pt>
                <c:pt idx="44">
                  <c:v>172864.71207627835</c:v>
                </c:pt>
                <c:pt idx="45">
                  <c:v>174395.604926153</c:v>
                </c:pt>
                <c:pt idx="46">
                  <c:v>174395.604926153</c:v>
                </c:pt>
                <c:pt idx="47">
                  <c:v>174395.604926153</c:v>
                </c:pt>
                <c:pt idx="48">
                  <c:v>174395.604926153</c:v>
                </c:pt>
                <c:pt idx="49">
                  <c:v>174395.604926153</c:v>
                </c:pt>
                <c:pt idx="50">
                  <c:v>174395.604926153</c:v>
                </c:pt>
                <c:pt idx="51">
                  <c:v>174395.604926153</c:v>
                </c:pt>
                <c:pt idx="52">
                  <c:v>174395.604926153</c:v>
                </c:pt>
                <c:pt idx="53">
                  <c:v>174395.604926153</c:v>
                </c:pt>
                <c:pt idx="54">
                  <c:v>174395.604926153</c:v>
                </c:pt>
                <c:pt idx="55">
                  <c:v>174395.604926153</c:v>
                </c:pt>
                <c:pt idx="56">
                  <c:v>174395.604926153</c:v>
                </c:pt>
                <c:pt idx="57">
                  <c:v>174395.604926153</c:v>
                </c:pt>
                <c:pt idx="58">
                  <c:v>174395.604926153</c:v>
                </c:pt>
                <c:pt idx="59">
                  <c:v>174395.604926153</c:v>
                </c:pt>
                <c:pt idx="60">
                  <c:v>174395.604926153</c:v>
                </c:pt>
              </c:numCache>
            </c:numRef>
          </c:val>
          <c:smooth val="0"/>
          <c:extLst>
            <c:ext xmlns:c16="http://schemas.microsoft.com/office/drawing/2014/chart" uri="{C3380CC4-5D6E-409C-BE32-E72D297353CC}">
              <c16:uniqueId val="{00000000-145D-45A7-9378-82739436F884}"/>
            </c:ext>
          </c:extLst>
        </c:ser>
        <c:ser>
          <c:idx val="3"/>
          <c:order val="1"/>
          <c:tx>
            <c:v>Natural Gas with Projects</c:v>
          </c:tx>
          <c:spPr>
            <a:ln>
              <a:prstDash val="sysDash"/>
            </a:ln>
          </c:spPr>
          <c:marker>
            <c:symbol val="none"/>
          </c:marker>
          <c:cat>
            <c:numRef>
              <c:f>BAU_InputData!$A$11:$A$71</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InputData!$F$11:$F$71</c:f>
              <c:numCache>
                <c:formatCode>#,##0</c:formatCode>
                <c:ptCount val="61"/>
                <c:pt idx="0">
                  <c:v>247155.6</c:v>
                </c:pt>
                <c:pt idx="1">
                  <c:v>247768.8</c:v>
                </c:pt>
                <c:pt idx="2">
                  <c:v>189672.5</c:v>
                </c:pt>
                <c:pt idx="3">
                  <c:v>191765.6</c:v>
                </c:pt>
                <c:pt idx="4">
                  <c:v>88673</c:v>
                </c:pt>
                <c:pt idx="5">
                  <c:v>99644.5</c:v>
                </c:pt>
                <c:pt idx="6">
                  <c:v>112621.7</c:v>
                </c:pt>
                <c:pt idx="7">
                  <c:v>137893.1</c:v>
                </c:pt>
                <c:pt idx="8">
                  <c:v>96126.1</c:v>
                </c:pt>
                <c:pt idx="9">
                  <c:v>97989.5</c:v>
                </c:pt>
                <c:pt idx="10">
                  <c:v>89538.2</c:v>
                </c:pt>
                <c:pt idx="11">
                  <c:v>82096</c:v>
                </c:pt>
                <c:pt idx="12">
                  <c:v>68953.600000000006</c:v>
                </c:pt>
                <c:pt idx="13">
                  <c:v>76315.5</c:v>
                </c:pt>
                <c:pt idx="14">
                  <c:v>90024.3</c:v>
                </c:pt>
                <c:pt idx="15">
                  <c:v>94524.6</c:v>
                </c:pt>
                <c:pt idx="16">
                  <c:v>85795.8</c:v>
                </c:pt>
                <c:pt idx="17">
                  <c:v>144241.4</c:v>
                </c:pt>
                <c:pt idx="18">
                  <c:v>119712.1</c:v>
                </c:pt>
                <c:pt idx="19">
                  <c:v>149456.1</c:v>
                </c:pt>
                <c:pt idx="20">
                  <c:v>167594.6</c:v>
                </c:pt>
                <c:pt idx="21">
                  <c:v>153814.1</c:v>
                </c:pt>
                <c:pt idx="22">
                  <c:v>151281.20000000001</c:v>
                </c:pt>
                <c:pt idx="23">
                  <c:v>148479</c:v>
                </c:pt>
                <c:pt idx="24">
                  <c:v>149880.1</c:v>
                </c:pt>
                <c:pt idx="25">
                  <c:v>149884.34386563121</c:v>
                </c:pt>
                <c:pt idx="26">
                  <c:v>149888.58773126255</c:v>
                </c:pt>
                <c:pt idx="27">
                  <c:v>149576.23792609377</c:v>
                </c:pt>
                <c:pt idx="28">
                  <c:v>148304.53757590111</c:v>
                </c:pt>
                <c:pt idx="29">
                  <c:v>147992.18777073224</c:v>
                </c:pt>
                <c:pt idx="30">
                  <c:v>148476.87640568279</c:v>
                </c:pt>
                <c:pt idx="31">
                  <c:v>149557.8766576577</c:v>
                </c:pt>
                <c:pt idx="32">
                  <c:v>149332.63036460851</c:v>
                </c:pt>
                <c:pt idx="33">
                  <c:v>150413.63061658328</c:v>
                </c:pt>
                <c:pt idx="34">
                  <c:v>150898.31925153409</c:v>
                </c:pt>
                <c:pt idx="35">
                  <c:v>151979.31950350874</c:v>
                </c:pt>
                <c:pt idx="36">
                  <c:v>151754.0732104597</c:v>
                </c:pt>
                <c:pt idx="37">
                  <c:v>153151.6671332345</c:v>
                </c:pt>
                <c:pt idx="38">
                  <c:v>153952.94943898529</c:v>
                </c:pt>
                <c:pt idx="39">
                  <c:v>155350.54336176036</c:v>
                </c:pt>
                <c:pt idx="40">
                  <c:v>155935.97313551101</c:v>
                </c:pt>
                <c:pt idx="41">
                  <c:v>157333.56705828581</c:v>
                </c:pt>
                <c:pt idx="42">
                  <c:v>158134.84936403649</c:v>
                </c:pt>
                <c:pt idx="43">
                  <c:v>159532.44328681141</c:v>
                </c:pt>
                <c:pt idx="44">
                  <c:v>160117.87306056221</c:v>
                </c:pt>
                <c:pt idx="45">
                  <c:v>161515.46698333701</c:v>
                </c:pt>
                <c:pt idx="46">
                  <c:v>160785.85643921298</c:v>
                </c:pt>
                <c:pt idx="47">
                  <c:v>160652.55751211298</c:v>
                </c:pt>
                <c:pt idx="48">
                  <c:v>159956.51005301301</c:v>
                </c:pt>
                <c:pt idx="49">
                  <c:v>159823.21112591319</c:v>
                </c:pt>
                <c:pt idx="50">
                  <c:v>159823.21112591319</c:v>
                </c:pt>
                <c:pt idx="51">
                  <c:v>159823.21112591319</c:v>
                </c:pt>
                <c:pt idx="52">
                  <c:v>159823.21112591319</c:v>
                </c:pt>
                <c:pt idx="53">
                  <c:v>159823.21112591319</c:v>
                </c:pt>
                <c:pt idx="54">
                  <c:v>159823.21112591319</c:v>
                </c:pt>
                <c:pt idx="55">
                  <c:v>159823.21112591319</c:v>
                </c:pt>
                <c:pt idx="56">
                  <c:v>159823.21112591319</c:v>
                </c:pt>
                <c:pt idx="57">
                  <c:v>159823.21112591319</c:v>
                </c:pt>
                <c:pt idx="58">
                  <c:v>159823.21112591319</c:v>
                </c:pt>
                <c:pt idx="59">
                  <c:v>159823.21112591319</c:v>
                </c:pt>
                <c:pt idx="60">
                  <c:v>159823.21112591319</c:v>
                </c:pt>
              </c:numCache>
            </c:numRef>
          </c:val>
          <c:smooth val="0"/>
          <c:extLst>
            <c:ext xmlns:c16="http://schemas.microsoft.com/office/drawing/2014/chart" uri="{C3380CC4-5D6E-409C-BE32-E72D297353CC}">
              <c16:uniqueId val="{00000001-145D-45A7-9378-82739436F884}"/>
            </c:ext>
          </c:extLst>
        </c:ser>
        <c:dLbls>
          <c:showLegendKey val="0"/>
          <c:showVal val="0"/>
          <c:showCatName val="0"/>
          <c:showSerName val="0"/>
          <c:showPercent val="0"/>
          <c:showBubbleSize val="0"/>
        </c:dLbls>
        <c:marker val="1"/>
        <c:smooth val="0"/>
        <c:axId val="44518784"/>
        <c:axId val="44520576"/>
      </c:lineChart>
      <c:lineChart>
        <c:grouping val="standard"/>
        <c:varyColors val="0"/>
        <c:ser>
          <c:idx val="0"/>
          <c:order val="2"/>
          <c:tx>
            <c:v>Electricity Use (BAU)</c:v>
          </c:tx>
          <c:spPr>
            <a:ln>
              <a:solidFill>
                <a:schemeClr val="tx2">
                  <a:lumMod val="75000"/>
                </a:schemeClr>
              </a:solidFill>
            </a:ln>
          </c:spPr>
          <c:marker>
            <c:symbol val="none"/>
          </c:marker>
          <c:cat>
            <c:numRef>
              <c:f>BAU_InputData!$A$11:$A$71</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BAU_InputData!$O$11:$O$71</c:f>
              <c:numCache>
                <c:formatCode>#,##0</c:formatCode>
                <c:ptCount val="61"/>
                <c:pt idx="0">
                  <c:v>34297870</c:v>
                </c:pt>
                <c:pt idx="1">
                  <c:v>36434839</c:v>
                </c:pt>
                <c:pt idx="2">
                  <c:v>39842129</c:v>
                </c:pt>
                <c:pt idx="3">
                  <c:v>38048804</c:v>
                </c:pt>
                <c:pt idx="4">
                  <c:v>37343398</c:v>
                </c:pt>
                <c:pt idx="5">
                  <c:v>46297394</c:v>
                </c:pt>
                <c:pt idx="6">
                  <c:v>49276182</c:v>
                </c:pt>
                <c:pt idx="7">
                  <c:v>49750826</c:v>
                </c:pt>
                <c:pt idx="8">
                  <c:v>45758391</c:v>
                </c:pt>
                <c:pt idx="9">
                  <c:v>47168179</c:v>
                </c:pt>
                <c:pt idx="10">
                  <c:v>49367412</c:v>
                </c:pt>
                <c:pt idx="11">
                  <c:v>46486195</c:v>
                </c:pt>
                <c:pt idx="12">
                  <c:v>45147755</c:v>
                </c:pt>
                <c:pt idx="13">
                  <c:v>49303219</c:v>
                </c:pt>
                <c:pt idx="14">
                  <c:v>49271269</c:v>
                </c:pt>
                <c:pt idx="15">
                  <c:v>47810650</c:v>
                </c:pt>
                <c:pt idx="16">
                  <c:v>48298453</c:v>
                </c:pt>
                <c:pt idx="17">
                  <c:v>43239717</c:v>
                </c:pt>
                <c:pt idx="18">
                  <c:v>45795786</c:v>
                </c:pt>
                <c:pt idx="19">
                  <c:v>45916070</c:v>
                </c:pt>
                <c:pt idx="20">
                  <c:v>44659014</c:v>
                </c:pt>
                <c:pt idx="21">
                  <c:v>51364065</c:v>
                </c:pt>
                <c:pt idx="22">
                  <c:v>52111124</c:v>
                </c:pt>
                <c:pt idx="23">
                  <c:v>51695056</c:v>
                </c:pt>
                <c:pt idx="24">
                  <c:v>51903090</c:v>
                </c:pt>
                <c:pt idx="25">
                  <c:v>51904559.639664046</c:v>
                </c:pt>
                <c:pt idx="26">
                  <c:v>51906029.279328011</c:v>
                </c:pt>
                <c:pt idx="27">
                  <c:v>51907498.918991998</c:v>
                </c:pt>
                <c:pt idx="28">
                  <c:v>51908968.558656</c:v>
                </c:pt>
                <c:pt idx="29">
                  <c:v>51910438.198320001</c:v>
                </c:pt>
                <c:pt idx="30">
                  <c:v>52440582.422719359</c:v>
                </c:pt>
                <c:pt idx="31">
                  <c:v>52970726.647118911</c:v>
                </c:pt>
                <c:pt idx="32">
                  <c:v>53500870.871518299</c:v>
                </c:pt>
                <c:pt idx="33">
                  <c:v>54031015.095917746</c:v>
                </c:pt>
                <c:pt idx="34">
                  <c:v>54561159.320317097</c:v>
                </c:pt>
                <c:pt idx="35">
                  <c:v>55091303.544716559</c:v>
                </c:pt>
                <c:pt idx="36">
                  <c:v>55621447.769116037</c:v>
                </c:pt>
                <c:pt idx="37">
                  <c:v>56151591.993515402</c:v>
                </c:pt>
                <c:pt idx="38">
                  <c:v>56681736.217914902</c:v>
                </c:pt>
                <c:pt idx="39">
                  <c:v>57211880.44231426</c:v>
                </c:pt>
                <c:pt idx="40">
                  <c:v>57742024.6667137</c:v>
                </c:pt>
                <c:pt idx="41">
                  <c:v>58272168.891113102</c:v>
                </c:pt>
                <c:pt idx="42">
                  <c:v>58802313.115512602</c:v>
                </c:pt>
                <c:pt idx="43">
                  <c:v>59332457.339911997</c:v>
                </c:pt>
                <c:pt idx="44">
                  <c:v>59862601.5643114</c:v>
                </c:pt>
                <c:pt idx="45">
                  <c:v>60392745.788710795</c:v>
                </c:pt>
                <c:pt idx="46">
                  <c:v>60392745.788710795</c:v>
                </c:pt>
                <c:pt idx="47">
                  <c:v>60392745.788710795</c:v>
                </c:pt>
                <c:pt idx="48">
                  <c:v>60392745.788710795</c:v>
                </c:pt>
                <c:pt idx="49">
                  <c:v>60392745.788710795</c:v>
                </c:pt>
                <c:pt idx="50">
                  <c:v>60392745.788710795</c:v>
                </c:pt>
                <c:pt idx="51">
                  <c:v>60392745.788710795</c:v>
                </c:pt>
                <c:pt idx="52">
                  <c:v>60392745.788710795</c:v>
                </c:pt>
                <c:pt idx="53">
                  <c:v>60392745.788710795</c:v>
                </c:pt>
                <c:pt idx="54">
                  <c:v>60392745.788710795</c:v>
                </c:pt>
                <c:pt idx="55">
                  <c:v>60392745.788710795</c:v>
                </c:pt>
                <c:pt idx="56">
                  <c:v>60392745.788710795</c:v>
                </c:pt>
                <c:pt idx="57">
                  <c:v>60392745.788710795</c:v>
                </c:pt>
                <c:pt idx="58">
                  <c:v>60392745.788710795</c:v>
                </c:pt>
                <c:pt idx="59">
                  <c:v>60392745.788710795</c:v>
                </c:pt>
                <c:pt idx="60">
                  <c:v>60392745.788710795</c:v>
                </c:pt>
              </c:numCache>
            </c:numRef>
          </c:val>
          <c:smooth val="0"/>
          <c:extLst>
            <c:ext xmlns:c16="http://schemas.microsoft.com/office/drawing/2014/chart" uri="{C3380CC4-5D6E-409C-BE32-E72D297353CC}">
              <c16:uniqueId val="{00000002-145D-45A7-9378-82739436F884}"/>
            </c:ext>
          </c:extLst>
        </c:ser>
        <c:ser>
          <c:idx val="2"/>
          <c:order val="3"/>
          <c:tx>
            <c:v>Electricity with projects</c:v>
          </c:tx>
          <c:spPr>
            <a:ln>
              <a:prstDash val="sysDash"/>
            </a:ln>
          </c:spPr>
          <c:marker>
            <c:symbol val="none"/>
          </c:marker>
          <c:val>
            <c:numRef>
              <c:f>InputData!$O$11:$O$71</c:f>
              <c:numCache>
                <c:formatCode>#,##0</c:formatCode>
                <c:ptCount val="61"/>
                <c:pt idx="0">
                  <c:v>34297870</c:v>
                </c:pt>
                <c:pt idx="1">
                  <c:v>36434839</c:v>
                </c:pt>
                <c:pt idx="2">
                  <c:v>39842129</c:v>
                </c:pt>
                <c:pt idx="3">
                  <c:v>38048804</c:v>
                </c:pt>
                <c:pt idx="4">
                  <c:v>37343398</c:v>
                </c:pt>
                <c:pt idx="5">
                  <c:v>46297394</c:v>
                </c:pt>
                <c:pt idx="6">
                  <c:v>49276182</c:v>
                </c:pt>
                <c:pt idx="7">
                  <c:v>49750826</c:v>
                </c:pt>
                <c:pt idx="8">
                  <c:v>45758391</c:v>
                </c:pt>
                <c:pt idx="9">
                  <c:v>47168179</c:v>
                </c:pt>
                <c:pt idx="10">
                  <c:v>49367412</c:v>
                </c:pt>
                <c:pt idx="11">
                  <c:v>46486195</c:v>
                </c:pt>
                <c:pt idx="12">
                  <c:v>45147755</c:v>
                </c:pt>
                <c:pt idx="13">
                  <c:v>49303219</c:v>
                </c:pt>
                <c:pt idx="14">
                  <c:v>49271269</c:v>
                </c:pt>
                <c:pt idx="15">
                  <c:v>47810650</c:v>
                </c:pt>
                <c:pt idx="16">
                  <c:v>48298453</c:v>
                </c:pt>
                <c:pt idx="17">
                  <c:v>43239717</c:v>
                </c:pt>
                <c:pt idx="18">
                  <c:v>45795786</c:v>
                </c:pt>
                <c:pt idx="19">
                  <c:v>45916070</c:v>
                </c:pt>
                <c:pt idx="20">
                  <c:v>44659014</c:v>
                </c:pt>
                <c:pt idx="21">
                  <c:v>51364065</c:v>
                </c:pt>
                <c:pt idx="22">
                  <c:v>52111124</c:v>
                </c:pt>
                <c:pt idx="23">
                  <c:v>51695056</c:v>
                </c:pt>
                <c:pt idx="24">
                  <c:v>51903090</c:v>
                </c:pt>
                <c:pt idx="25">
                  <c:v>51904559.639664046</c:v>
                </c:pt>
                <c:pt idx="26">
                  <c:v>48520847.364282385</c:v>
                </c:pt>
                <c:pt idx="27">
                  <c:v>44013969.922131203</c:v>
                </c:pt>
                <c:pt idx="28">
                  <c:v>38301854.864180796</c:v>
                </c:pt>
                <c:pt idx="29">
                  <c:v>33668494.614114411</c:v>
                </c:pt>
                <c:pt idx="30">
                  <c:v>30220592.133123118</c:v>
                </c:pt>
                <c:pt idx="31">
                  <c:v>26941320.956010997</c:v>
                </c:pt>
                <c:pt idx="32">
                  <c:v>22505940.0595305</c:v>
                </c:pt>
                <c:pt idx="33">
                  <c:v>19226668.882418469</c:v>
                </c:pt>
                <c:pt idx="34">
                  <c:v>15857586.336578701</c:v>
                </c:pt>
                <c:pt idx="35">
                  <c:v>11128607.973130999</c:v>
                </c:pt>
                <c:pt idx="36">
                  <c:v>6772047.0118020745</c:v>
                </c:pt>
                <c:pt idx="37">
                  <c:v>4152206.0335899699</c:v>
                </c:pt>
                <c:pt idx="38">
                  <c:v>1366303.0003422401</c:v>
                </c:pt>
                <c:pt idx="39">
                  <c:v>-1253537.9778698811</c:v>
                </c:pt>
                <c:pt idx="40">
                  <c:v>-4193957.6615886199</c:v>
                </c:pt>
                <c:pt idx="41">
                  <c:v>-6813798.6398007246</c:v>
                </c:pt>
                <c:pt idx="42">
                  <c:v>-9599701.6730484609</c:v>
                </c:pt>
                <c:pt idx="43">
                  <c:v>-12179708.4712606</c:v>
                </c:pt>
                <c:pt idx="44">
                  <c:v>-15120128.154979309</c:v>
                </c:pt>
                <c:pt idx="45">
                  <c:v>-17700134.953191396</c:v>
                </c:pt>
                <c:pt idx="46">
                  <c:v>-21016182.210838582</c:v>
                </c:pt>
                <c:pt idx="47">
                  <c:v>-24126333.2334501</c:v>
                </c:pt>
                <c:pt idx="48">
                  <c:v>-27452520.451246474</c:v>
                </c:pt>
                <c:pt idx="49">
                  <c:v>-30562671.47385807</c:v>
                </c:pt>
                <c:pt idx="50">
                  <c:v>-33589591.984688602</c:v>
                </c:pt>
                <c:pt idx="51">
                  <c:v>-33589591.984688602</c:v>
                </c:pt>
                <c:pt idx="52">
                  <c:v>-33589591.984688602</c:v>
                </c:pt>
                <c:pt idx="53">
                  <c:v>-33589591.984688602</c:v>
                </c:pt>
                <c:pt idx="54">
                  <c:v>-33589591.984688602</c:v>
                </c:pt>
                <c:pt idx="55">
                  <c:v>-33589591.984688602</c:v>
                </c:pt>
                <c:pt idx="56">
                  <c:v>-33589591.984688602</c:v>
                </c:pt>
                <c:pt idx="57">
                  <c:v>-33589591.984688602</c:v>
                </c:pt>
                <c:pt idx="58">
                  <c:v>-33589591.984688602</c:v>
                </c:pt>
                <c:pt idx="59">
                  <c:v>-33589591.984688602</c:v>
                </c:pt>
                <c:pt idx="60">
                  <c:v>-33589591.984688602</c:v>
                </c:pt>
              </c:numCache>
            </c:numRef>
          </c:val>
          <c:smooth val="0"/>
          <c:extLst>
            <c:ext xmlns:c16="http://schemas.microsoft.com/office/drawing/2014/chart" uri="{C3380CC4-5D6E-409C-BE32-E72D297353CC}">
              <c16:uniqueId val="{00000003-145D-45A7-9378-82739436F884}"/>
            </c:ext>
          </c:extLst>
        </c:ser>
        <c:dLbls>
          <c:showLegendKey val="0"/>
          <c:showVal val="0"/>
          <c:showCatName val="0"/>
          <c:showSerName val="0"/>
          <c:showPercent val="0"/>
          <c:showBubbleSize val="0"/>
        </c:dLbls>
        <c:marker val="1"/>
        <c:smooth val="0"/>
        <c:axId val="44525056"/>
        <c:axId val="44522496"/>
      </c:lineChart>
      <c:catAx>
        <c:axId val="44518784"/>
        <c:scaling>
          <c:orientation val="minMax"/>
        </c:scaling>
        <c:delete val="0"/>
        <c:axPos val="b"/>
        <c:numFmt formatCode="General" sourceLinked="1"/>
        <c:majorTickMark val="out"/>
        <c:minorTickMark val="none"/>
        <c:tickLblPos val="nextTo"/>
        <c:crossAx val="44520576"/>
        <c:crosses val="autoZero"/>
        <c:auto val="1"/>
        <c:lblAlgn val="ctr"/>
        <c:lblOffset val="100"/>
        <c:noMultiLvlLbl val="0"/>
      </c:catAx>
      <c:valAx>
        <c:axId val="44520576"/>
        <c:scaling>
          <c:orientation val="minMax"/>
        </c:scaling>
        <c:delete val="0"/>
        <c:axPos val="l"/>
        <c:majorGridlines/>
        <c:title>
          <c:tx>
            <c:rich>
              <a:bodyPr rot="-5400000" vert="horz"/>
              <a:lstStyle/>
              <a:p>
                <a:pPr>
                  <a:defRPr sz="1100"/>
                </a:pPr>
                <a:r>
                  <a:rPr lang="en-US" sz="1100"/>
                  <a:t>Gas Use (Mbtu)</a:t>
                </a:r>
              </a:p>
            </c:rich>
          </c:tx>
          <c:overlay val="0"/>
        </c:title>
        <c:numFmt formatCode="#,##0" sourceLinked="1"/>
        <c:majorTickMark val="out"/>
        <c:minorTickMark val="none"/>
        <c:tickLblPos val="nextTo"/>
        <c:crossAx val="44518784"/>
        <c:crosses val="autoZero"/>
        <c:crossBetween val="between"/>
      </c:valAx>
      <c:valAx>
        <c:axId val="44522496"/>
        <c:scaling>
          <c:orientation val="minMax"/>
        </c:scaling>
        <c:delete val="0"/>
        <c:axPos val="r"/>
        <c:title>
          <c:tx>
            <c:rich>
              <a:bodyPr rot="-5400000" vert="horz"/>
              <a:lstStyle/>
              <a:p>
                <a:pPr>
                  <a:defRPr sz="1100"/>
                </a:pPr>
                <a:r>
                  <a:rPr lang="en-US" sz="1100"/>
                  <a:t>Electricity use (millions kWh)</a:t>
                </a:r>
              </a:p>
            </c:rich>
          </c:tx>
          <c:overlay val="0"/>
        </c:title>
        <c:numFmt formatCode="#,##0" sourceLinked="1"/>
        <c:majorTickMark val="out"/>
        <c:minorTickMark val="none"/>
        <c:tickLblPos val="nextTo"/>
        <c:crossAx val="44525056"/>
        <c:crosses val="max"/>
        <c:crossBetween val="between"/>
        <c:dispUnits>
          <c:builtInUnit val="millions"/>
        </c:dispUnits>
      </c:valAx>
      <c:catAx>
        <c:axId val="44525056"/>
        <c:scaling>
          <c:orientation val="minMax"/>
        </c:scaling>
        <c:delete val="1"/>
        <c:axPos val="b"/>
        <c:numFmt formatCode="General" sourceLinked="1"/>
        <c:majorTickMark val="out"/>
        <c:minorTickMark val="none"/>
        <c:tickLblPos val="none"/>
        <c:crossAx val="44522496"/>
        <c:crosses val="autoZero"/>
        <c:auto val="1"/>
        <c:lblAlgn val="ctr"/>
        <c:lblOffset val="100"/>
        <c:noMultiLvlLbl val="0"/>
      </c:catAx>
    </c:plotArea>
    <c:legend>
      <c:legendPos val="r"/>
      <c:layout>
        <c:manualLayout>
          <c:xMode val="edge"/>
          <c:yMode val="edge"/>
          <c:x val="0.33720977185544176"/>
          <c:y val="0.62341674456031959"/>
          <c:w val="0.30881269762539543"/>
          <c:h val="0.20927438837655901"/>
        </c:manualLayout>
      </c:layout>
      <c:overlay val="0"/>
      <c:spPr>
        <a:solidFill>
          <a:srgbClr val="F8F8F8"/>
        </a:solidFill>
      </c:spPr>
    </c:legend>
    <c:plotVisOnly val="1"/>
    <c:dispBlanksAs val="gap"/>
    <c:showDLblsOverMax val="0"/>
  </c:chart>
  <c:spPr>
    <a:ln>
      <a:noFill/>
    </a:ln>
  </c:sp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683945756780401"/>
          <c:y val="3.7571978629574988E-2"/>
          <c:w val="0.73149286627633103"/>
          <c:h val="0.85032442010738551"/>
        </c:manualLayout>
      </c:layout>
      <c:lineChart>
        <c:grouping val="standard"/>
        <c:varyColors val="0"/>
        <c:ser>
          <c:idx val="1"/>
          <c:order val="1"/>
          <c:tx>
            <c:v>Natural Gas</c:v>
          </c:tx>
          <c:spPr>
            <a:ln>
              <a:solidFill>
                <a:srgbClr val="FFFF00"/>
              </a:solidFill>
            </a:ln>
          </c:spPr>
          <c:marker>
            <c:symbol val="none"/>
          </c:marke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BAU_Calc_CO2e!$F$8:$F$68</c:f>
              <c:numCache>
                <c:formatCode>#,##0</c:formatCode>
                <c:ptCount val="61"/>
                <c:pt idx="0">
                  <c:v>13079.474351999999</c:v>
                </c:pt>
                <c:pt idx="1">
                  <c:v>13111.924896</c:v>
                </c:pt>
                <c:pt idx="2">
                  <c:v>10037.468699999985</c:v>
                </c:pt>
                <c:pt idx="3">
                  <c:v>10148.235552000009</c:v>
                </c:pt>
                <c:pt idx="4">
                  <c:v>4692.5751600000003</c:v>
                </c:pt>
                <c:pt idx="5">
                  <c:v>5273.1869400000014</c:v>
                </c:pt>
                <c:pt idx="6">
                  <c:v>5959.940364</c:v>
                </c:pt>
                <c:pt idx="7">
                  <c:v>7297.3028520000007</c:v>
                </c:pt>
                <c:pt idx="8">
                  <c:v>5086.9932119999994</c:v>
                </c:pt>
                <c:pt idx="9">
                  <c:v>5185.6043400000008</c:v>
                </c:pt>
                <c:pt idx="10">
                  <c:v>4738.3615440000049</c:v>
                </c:pt>
                <c:pt idx="11">
                  <c:v>4344.5203200000014</c:v>
                </c:pt>
                <c:pt idx="12">
                  <c:v>3649.0245120000022</c:v>
                </c:pt>
                <c:pt idx="13">
                  <c:v>4038.6162599999998</c:v>
                </c:pt>
                <c:pt idx="14">
                  <c:v>4764.0859559999999</c:v>
                </c:pt>
                <c:pt idx="15">
                  <c:v>5002.2418320000006</c:v>
                </c:pt>
                <c:pt idx="16">
                  <c:v>4540.3137360000001</c:v>
                </c:pt>
                <c:pt idx="17">
                  <c:v>7633.2548879999986</c:v>
                </c:pt>
                <c:pt idx="18">
                  <c:v>6335.1643320000003</c:v>
                </c:pt>
                <c:pt idx="19">
                  <c:v>7909.2168120000006</c:v>
                </c:pt>
                <c:pt idx="20">
                  <c:v>8869.1062320000001</c:v>
                </c:pt>
                <c:pt idx="21">
                  <c:v>8139.8421720000024</c:v>
                </c:pt>
                <c:pt idx="22">
                  <c:v>8005.8011040000056</c:v>
                </c:pt>
                <c:pt idx="23">
                  <c:v>7857.5086800000008</c:v>
                </c:pt>
                <c:pt idx="24">
                  <c:v>7931.6548920000005</c:v>
                </c:pt>
                <c:pt idx="25">
                  <c:v>7931.8794773692025</c:v>
                </c:pt>
                <c:pt idx="26">
                  <c:v>7932.1040627384064</c:v>
                </c:pt>
                <c:pt idx="27">
                  <c:v>7932.3286481076166</c:v>
                </c:pt>
                <c:pt idx="28">
                  <c:v>7932.5532334768213</c:v>
                </c:pt>
                <c:pt idx="29">
                  <c:v>7932.7778188460043</c:v>
                </c:pt>
                <c:pt idx="30">
                  <c:v>8013.792668461404</c:v>
                </c:pt>
                <c:pt idx="31">
                  <c:v>8094.8075180767664</c:v>
                </c:pt>
                <c:pt idx="32">
                  <c:v>8175.8223676921434</c:v>
                </c:pt>
                <c:pt idx="33">
                  <c:v>8256.8372173075131</c:v>
                </c:pt>
                <c:pt idx="34">
                  <c:v>8337.852066922891</c:v>
                </c:pt>
                <c:pt idx="35">
                  <c:v>8418.8669165382489</c:v>
                </c:pt>
                <c:pt idx="36">
                  <c:v>8499.8817661536468</c:v>
                </c:pt>
                <c:pt idx="37">
                  <c:v>8580.896615768992</c:v>
                </c:pt>
                <c:pt idx="38">
                  <c:v>8661.9114653843917</c:v>
                </c:pt>
                <c:pt idx="39">
                  <c:v>8742.9263149997514</c:v>
                </c:pt>
                <c:pt idx="40">
                  <c:v>8823.941164615142</c:v>
                </c:pt>
                <c:pt idx="41">
                  <c:v>8904.9560142304999</c:v>
                </c:pt>
                <c:pt idx="42">
                  <c:v>8985.9708638458851</c:v>
                </c:pt>
                <c:pt idx="43">
                  <c:v>9066.9857134612412</c:v>
                </c:pt>
                <c:pt idx="44">
                  <c:v>9148.0005630766409</c:v>
                </c:pt>
                <c:pt idx="45">
                  <c:v>9229.0154126920152</c:v>
                </c:pt>
                <c:pt idx="46">
                  <c:v>9229.0154126920152</c:v>
                </c:pt>
                <c:pt idx="47">
                  <c:v>9229.0154126920152</c:v>
                </c:pt>
                <c:pt idx="48">
                  <c:v>9229.0154126920152</c:v>
                </c:pt>
                <c:pt idx="49">
                  <c:v>9229.0154126920152</c:v>
                </c:pt>
                <c:pt idx="50">
                  <c:v>9229.0154126920152</c:v>
                </c:pt>
                <c:pt idx="51">
                  <c:v>9229.0154126920152</c:v>
                </c:pt>
                <c:pt idx="52">
                  <c:v>9229.0154126920152</c:v>
                </c:pt>
                <c:pt idx="53">
                  <c:v>9229.0154126920152</c:v>
                </c:pt>
                <c:pt idx="54">
                  <c:v>9229.0154126920152</c:v>
                </c:pt>
                <c:pt idx="55">
                  <c:v>9229.0154126920152</c:v>
                </c:pt>
                <c:pt idx="56">
                  <c:v>9229.0154126920152</c:v>
                </c:pt>
                <c:pt idx="57">
                  <c:v>9229.0154126920152</c:v>
                </c:pt>
                <c:pt idx="58">
                  <c:v>9229.0154126920152</c:v>
                </c:pt>
                <c:pt idx="59">
                  <c:v>9229.0154126920152</c:v>
                </c:pt>
                <c:pt idx="60">
                  <c:v>9229.0154126920152</c:v>
                </c:pt>
              </c:numCache>
            </c:numRef>
          </c:val>
          <c:smooth val="0"/>
          <c:extLst>
            <c:ext xmlns:c16="http://schemas.microsoft.com/office/drawing/2014/chart" uri="{C3380CC4-5D6E-409C-BE32-E72D297353CC}">
              <c16:uniqueId val="{00000000-7A43-4ED7-A4C8-B6F2424C2381}"/>
            </c:ext>
          </c:extLst>
        </c:ser>
        <c:ser>
          <c:idx val="2"/>
          <c:order val="2"/>
          <c:tx>
            <c:v>Electricity</c:v>
          </c:tx>
          <c:spPr>
            <a:ln>
              <a:solidFill>
                <a:schemeClr val="tx2"/>
              </a:solidFill>
            </a:ln>
          </c:spPr>
          <c:marker>
            <c:symbol val="none"/>
          </c:marke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BAU_Calc_CO2e!$O$8:$O$68</c:f>
              <c:numCache>
                <c:formatCode>#,##0</c:formatCode>
                <c:ptCount val="61"/>
                <c:pt idx="0">
                  <c:v>24129.326763796031</c:v>
                </c:pt>
                <c:pt idx="1">
                  <c:v>25632.732756211957</c:v>
                </c:pt>
                <c:pt idx="2">
                  <c:v>28029.838284602341</c:v>
                </c:pt>
                <c:pt idx="3">
                  <c:v>26768.19361341184</c:v>
                </c:pt>
                <c:pt idx="4">
                  <c:v>26271.924548448256</c:v>
                </c:pt>
                <c:pt idx="5">
                  <c:v>32571.26311745336</c:v>
                </c:pt>
                <c:pt idx="6">
                  <c:v>34666.907803612376</c:v>
                </c:pt>
                <c:pt idx="7">
                  <c:v>35000.830585769887</c:v>
                </c:pt>
                <c:pt idx="8">
                  <c:v>32192.062324119361</c:v>
                </c:pt>
                <c:pt idx="9">
                  <c:v>33183.880046901511</c:v>
                </c:pt>
                <c:pt idx="10">
                  <c:v>31640.896461068118</c:v>
                </c:pt>
                <c:pt idx="11">
                  <c:v>29984.019599749616</c:v>
                </c:pt>
                <c:pt idx="12">
                  <c:v>28424.437744373176</c:v>
                </c:pt>
                <c:pt idx="13">
                  <c:v>31152.48163719826</c:v>
                </c:pt>
                <c:pt idx="14">
                  <c:v>30841.755595068549</c:v>
                </c:pt>
                <c:pt idx="15">
                  <c:v>28604.588251036457</c:v>
                </c:pt>
                <c:pt idx="16">
                  <c:v>28020.122010595907</c:v>
                </c:pt>
                <c:pt idx="17">
                  <c:v>24418.470151318601</c:v>
                </c:pt>
                <c:pt idx="18">
                  <c:v>25280.307518756057</c:v>
                </c:pt>
                <c:pt idx="19">
                  <c:v>23972.111552104216</c:v>
                </c:pt>
                <c:pt idx="20">
                  <c:v>22363.741350436791</c:v>
                </c:pt>
                <c:pt idx="21">
                  <c:v>26932.92229046276</c:v>
                </c:pt>
                <c:pt idx="22">
                  <c:v>25859.136565938748</c:v>
                </c:pt>
                <c:pt idx="23">
                  <c:v>26614.059819832892</c:v>
                </c:pt>
                <c:pt idx="24">
                  <c:v>30244.352572552169</c:v>
                </c:pt>
                <c:pt idx="25">
                  <c:v>30006.642250485591</c:v>
                </c:pt>
                <c:pt idx="26">
                  <c:v>26276.182422723268</c:v>
                </c:pt>
                <c:pt idx="27">
                  <c:v>23805.02076301038</c:v>
                </c:pt>
                <c:pt idx="28">
                  <c:v>23223.166312396312</c:v>
                </c:pt>
                <c:pt idx="29">
                  <c:v>22916.048981227479</c:v>
                </c:pt>
                <c:pt idx="30">
                  <c:v>23157.019243864052</c:v>
                </c:pt>
                <c:pt idx="31">
                  <c:v>23260.511866892812</c:v>
                </c:pt>
                <c:pt idx="32">
                  <c:v>23356.41524255179</c:v>
                </c:pt>
                <c:pt idx="33">
                  <c:v>22567.625820041008</c:v>
                </c:pt>
                <c:pt idx="34">
                  <c:v>21267.725184596478</c:v>
                </c:pt>
                <c:pt idx="35">
                  <c:v>17491.305206116256</c:v>
                </c:pt>
                <c:pt idx="36">
                  <c:v>14762.22873494064</c:v>
                </c:pt>
                <c:pt idx="37">
                  <c:v>14323.816173049123</c:v>
                </c:pt>
                <c:pt idx="38">
                  <c:v>14013.96549741446</c:v>
                </c:pt>
                <c:pt idx="39">
                  <c:v>13940.866776414949</c:v>
                </c:pt>
                <c:pt idx="40">
                  <c:v>13877.648256479069</c:v>
                </c:pt>
                <c:pt idx="41">
                  <c:v>13850.008001909589</c:v>
                </c:pt>
                <c:pt idx="42">
                  <c:v>14038.09938797215</c:v>
                </c:pt>
                <c:pt idx="43">
                  <c:v>14183.289067155636</c:v>
                </c:pt>
                <c:pt idx="44">
                  <c:v>14350.094323055942</c:v>
                </c:pt>
                <c:pt idx="45">
                  <c:v>14504.57272534918</c:v>
                </c:pt>
                <c:pt idx="46">
                  <c:v>14531.96644662027</c:v>
                </c:pt>
                <c:pt idx="47">
                  <c:v>14559.360167891389</c:v>
                </c:pt>
                <c:pt idx="48">
                  <c:v>14586.753889162504</c:v>
                </c:pt>
                <c:pt idx="49">
                  <c:v>14614.147610433611</c:v>
                </c:pt>
                <c:pt idx="50">
                  <c:v>14641.541331704722</c:v>
                </c:pt>
                <c:pt idx="51">
                  <c:v>14668.93505297583</c:v>
                </c:pt>
                <c:pt idx="52">
                  <c:v>14696.328774246929</c:v>
                </c:pt>
                <c:pt idx="53">
                  <c:v>14723.722495518054</c:v>
                </c:pt>
                <c:pt idx="54">
                  <c:v>14751.116216789151</c:v>
                </c:pt>
                <c:pt idx="55">
                  <c:v>14778.509938060261</c:v>
                </c:pt>
                <c:pt idx="56">
                  <c:v>14805.90365933137</c:v>
                </c:pt>
                <c:pt idx="57">
                  <c:v>14833.297380602469</c:v>
                </c:pt>
                <c:pt idx="58">
                  <c:v>14860.691101873599</c:v>
                </c:pt>
                <c:pt idx="59">
                  <c:v>14888.084823144691</c:v>
                </c:pt>
                <c:pt idx="60">
                  <c:v>14915.478544415802</c:v>
                </c:pt>
              </c:numCache>
            </c:numRef>
          </c:val>
          <c:smooth val="0"/>
          <c:extLst>
            <c:ext xmlns:c16="http://schemas.microsoft.com/office/drawing/2014/chart" uri="{C3380CC4-5D6E-409C-BE32-E72D297353CC}">
              <c16:uniqueId val="{00000001-7A43-4ED7-A4C8-B6F2424C2381}"/>
            </c:ext>
          </c:extLst>
        </c:ser>
        <c:ser>
          <c:idx val="3"/>
          <c:order val="3"/>
          <c:tx>
            <c:v>Electricity with projects</c:v>
          </c:tx>
          <c:spPr>
            <a:ln>
              <a:solidFill>
                <a:srgbClr val="92D050"/>
              </a:solidFill>
              <a:prstDash val="sysDash"/>
            </a:ln>
          </c:spPr>
          <c:marker>
            <c:symbol val="none"/>
          </c:marker>
          <c:val>
            <c:numRef>
              <c:f>Calc_CO2e!$O$8:$O$68</c:f>
              <c:numCache>
                <c:formatCode>#,##0</c:formatCode>
                <c:ptCount val="61"/>
                <c:pt idx="0">
                  <c:v>24129.326763796031</c:v>
                </c:pt>
                <c:pt idx="1">
                  <c:v>25632.732756211957</c:v>
                </c:pt>
                <c:pt idx="2">
                  <c:v>28029.838284602341</c:v>
                </c:pt>
                <c:pt idx="3">
                  <c:v>26768.19361341184</c:v>
                </c:pt>
                <c:pt idx="4">
                  <c:v>26271.924548448256</c:v>
                </c:pt>
                <c:pt idx="5">
                  <c:v>32571.26311745336</c:v>
                </c:pt>
                <c:pt idx="6">
                  <c:v>34666.907803612376</c:v>
                </c:pt>
                <c:pt idx="7">
                  <c:v>35000.830585769887</c:v>
                </c:pt>
                <c:pt idx="8">
                  <c:v>32192.062324119361</c:v>
                </c:pt>
                <c:pt idx="9">
                  <c:v>33183.880046901511</c:v>
                </c:pt>
                <c:pt idx="10">
                  <c:v>31640.896461068118</c:v>
                </c:pt>
                <c:pt idx="11">
                  <c:v>29984.019599749616</c:v>
                </c:pt>
                <c:pt idx="12">
                  <c:v>28424.437744373176</c:v>
                </c:pt>
                <c:pt idx="13">
                  <c:v>31152.48163719826</c:v>
                </c:pt>
                <c:pt idx="14">
                  <c:v>30841.755595068549</c:v>
                </c:pt>
                <c:pt idx="15">
                  <c:v>28604.588251036457</c:v>
                </c:pt>
                <c:pt idx="16">
                  <c:v>28020.122010595907</c:v>
                </c:pt>
                <c:pt idx="17">
                  <c:v>24418.470151318601</c:v>
                </c:pt>
                <c:pt idx="18">
                  <c:v>25280.307518756057</c:v>
                </c:pt>
                <c:pt idx="19">
                  <c:v>23972.111552104216</c:v>
                </c:pt>
                <c:pt idx="20">
                  <c:v>22363.741350436791</c:v>
                </c:pt>
                <c:pt idx="21">
                  <c:v>26932.92229046276</c:v>
                </c:pt>
                <c:pt idx="22">
                  <c:v>25859.136565938748</c:v>
                </c:pt>
                <c:pt idx="23">
                  <c:v>26614.059819832892</c:v>
                </c:pt>
                <c:pt idx="24">
                  <c:v>30244.352572552169</c:v>
                </c:pt>
                <c:pt idx="25">
                  <c:v>30006.642250485591</c:v>
                </c:pt>
                <c:pt idx="26">
                  <c:v>24562.515267503812</c:v>
                </c:pt>
                <c:pt idx="27">
                  <c:v>20185.011601001897</c:v>
                </c:pt>
                <c:pt idx="28">
                  <c:v>17135.581196899198</c:v>
                </c:pt>
                <c:pt idx="29">
                  <c:v>14863.07760981697</c:v>
                </c:pt>
                <c:pt idx="30">
                  <c:v>13344.98591084502</c:v>
                </c:pt>
                <c:pt idx="31">
                  <c:v>11830.476103939702</c:v>
                </c:pt>
                <c:pt idx="32">
                  <c:v>9825.2247653451795</c:v>
                </c:pt>
                <c:pt idx="33">
                  <c:v>8030.5777771150661</c:v>
                </c:pt>
                <c:pt idx="34">
                  <c:v>6181.2247484958234</c:v>
                </c:pt>
                <c:pt idx="35">
                  <c:v>3533.2959297152338</c:v>
                </c:pt>
                <c:pt idx="36">
                  <c:v>1797.3373761677331</c:v>
                </c:pt>
                <c:pt idx="37">
                  <c:v>1059.1941176776706</c:v>
                </c:pt>
                <c:pt idx="38">
                  <c:v>337.80410381568959</c:v>
                </c:pt>
                <c:pt idx="39">
                  <c:v>-305.45064789962072</c:v>
                </c:pt>
                <c:pt idx="40">
                  <c:v>-1007.9707035912766</c:v>
                </c:pt>
                <c:pt idx="41">
                  <c:v>-1619.4895003991021</c:v>
                </c:pt>
                <c:pt idx="42">
                  <c:v>-2291.7732150503712</c:v>
                </c:pt>
                <c:pt idx="43">
                  <c:v>-2911.5316261369112</c:v>
                </c:pt>
                <c:pt idx="44">
                  <c:v>-3624.5545554438831</c:v>
                </c:pt>
                <c:pt idx="45">
                  <c:v>-4251.0551776410703</c:v>
                </c:pt>
                <c:pt idx="46">
                  <c:v>-5057.0056177351962</c:v>
                </c:pt>
                <c:pt idx="47">
                  <c:v>-5816.3272838313223</c:v>
                </c:pt>
                <c:pt idx="48">
                  <c:v>-6630.6499933041296</c:v>
                </c:pt>
                <c:pt idx="49">
                  <c:v>-7395.7126216911092</c:v>
                </c:pt>
                <c:pt idx="50">
                  <c:v>-8143.4184343850084</c:v>
                </c:pt>
                <c:pt idx="51">
                  <c:v>-8158.6544351400989</c:v>
                </c:pt>
                <c:pt idx="52">
                  <c:v>-8173.8904358951904</c:v>
                </c:pt>
                <c:pt idx="53">
                  <c:v>-8189.1264366502928</c:v>
                </c:pt>
                <c:pt idx="54">
                  <c:v>-8204.362437405367</c:v>
                </c:pt>
                <c:pt idx="55">
                  <c:v>-8219.5984381604649</c:v>
                </c:pt>
                <c:pt idx="56">
                  <c:v>-8234.8344389155664</c:v>
                </c:pt>
                <c:pt idx="57">
                  <c:v>-8250.0704396706315</c:v>
                </c:pt>
                <c:pt idx="58">
                  <c:v>-8265.3064404257311</c:v>
                </c:pt>
                <c:pt idx="59">
                  <c:v>-8280.5424411808399</c:v>
                </c:pt>
                <c:pt idx="60">
                  <c:v>-8295.7784419359323</c:v>
                </c:pt>
              </c:numCache>
            </c:numRef>
          </c:val>
          <c:smooth val="0"/>
          <c:extLst>
            <c:ext xmlns:c16="http://schemas.microsoft.com/office/drawing/2014/chart" uri="{C3380CC4-5D6E-409C-BE32-E72D297353CC}">
              <c16:uniqueId val="{00000002-7A43-4ED7-A4C8-B6F2424C2381}"/>
            </c:ext>
          </c:extLst>
        </c:ser>
        <c:ser>
          <c:idx val="4"/>
          <c:order val="4"/>
          <c:tx>
            <c:v>Natural Gas with projects</c:v>
          </c:tx>
          <c:spPr>
            <a:ln>
              <a:solidFill>
                <a:srgbClr val="7030A0"/>
              </a:solidFill>
              <a:prstDash val="sysDash"/>
            </a:ln>
          </c:spPr>
          <c:marker>
            <c:symbol val="none"/>
          </c:marker>
          <c:val>
            <c:numRef>
              <c:f>Calc_CO2e!$F$8:$F$68</c:f>
              <c:numCache>
                <c:formatCode>#,##0</c:formatCode>
                <c:ptCount val="61"/>
                <c:pt idx="0">
                  <c:v>13079.474351999999</c:v>
                </c:pt>
                <c:pt idx="1">
                  <c:v>13111.924896</c:v>
                </c:pt>
                <c:pt idx="2">
                  <c:v>10037.468699999985</c:v>
                </c:pt>
                <c:pt idx="3">
                  <c:v>10148.235552000009</c:v>
                </c:pt>
                <c:pt idx="4">
                  <c:v>4692.5751600000003</c:v>
                </c:pt>
                <c:pt idx="5">
                  <c:v>5273.1869400000014</c:v>
                </c:pt>
                <c:pt idx="6">
                  <c:v>5959.940364</c:v>
                </c:pt>
                <c:pt idx="7">
                  <c:v>7297.3028520000007</c:v>
                </c:pt>
                <c:pt idx="8">
                  <c:v>5086.9932119999994</c:v>
                </c:pt>
                <c:pt idx="9">
                  <c:v>5185.6043400000008</c:v>
                </c:pt>
                <c:pt idx="10">
                  <c:v>4738.3615440000049</c:v>
                </c:pt>
                <c:pt idx="11">
                  <c:v>4344.5203200000014</c:v>
                </c:pt>
                <c:pt idx="12">
                  <c:v>3649.0245120000022</c:v>
                </c:pt>
                <c:pt idx="13">
                  <c:v>4038.6162599999998</c:v>
                </c:pt>
                <c:pt idx="14">
                  <c:v>4764.0859559999999</c:v>
                </c:pt>
                <c:pt idx="15">
                  <c:v>5002.2418320000006</c:v>
                </c:pt>
                <c:pt idx="16">
                  <c:v>4540.3137360000001</c:v>
                </c:pt>
                <c:pt idx="17">
                  <c:v>7633.2548879999986</c:v>
                </c:pt>
                <c:pt idx="18">
                  <c:v>6335.1643320000003</c:v>
                </c:pt>
                <c:pt idx="19">
                  <c:v>7909.2168120000006</c:v>
                </c:pt>
                <c:pt idx="20">
                  <c:v>8869.1062320000001</c:v>
                </c:pt>
                <c:pt idx="21">
                  <c:v>8139.8421720000024</c:v>
                </c:pt>
                <c:pt idx="22">
                  <c:v>8005.8011040000056</c:v>
                </c:pt>
                <c:pt idx="23">
                  <c:v>7857.5086800000008</c:v>
                </c:pt>
                <c:pt idx="24">
                  <c:v>7931.6548920000005</c:v>
                </c:pt>
                <c:pt idx="25">
                  <c:v>7931.8794773692025</c:v>
                </c:pt>
                <c:pt idx="26">
                  <c:v>7932.1040627384064</c:v>
                </c:pt>
                <c:pt idx="27">
                  <c:v>7915.5745110488715</c:v>
                </c:pt>
                <c:pt idx="28">
                  <c:v>7848.2761285166744</c:v>
                </c:pt>
                <c:pt idx="29">
                  <c:v>7831.7465768271404</c:v>
                </c:pt>
                <c:pt idx="30">
                  <c:v>7857.3962993887353</c:v>
                </c:pt>
                <c:pt idx="31">
                  <c:v>7914.6028327232434</c:v>
                </c:pt>
                <c:pt idx="32">
                  <c:v>7902.6827988950845</c:v>
                </c:pt>
                <c:pt idx="33">
                  <c:v>7959.8893322295862</c:v>
                </c:pt>
                <c:pt idx="34">
                  <c:v>7985.5390547911829</c:v>
                </c:pt>
                <c:pt idx="35">
                  <c:v>8042.745588125691</c:v>
                </c:pt>
                <c:pt idx="36">
                  <c:v>8030.8255542975348</c:v>
                </c:pt>
                <c:pt idx="37">
                  <c:v>8104.786224690778</c:v>
                </c:pt>
                <c:pt idx="38">
                  <c:v>8147.1900843111034</c:v>
                </c:pt>
                <c:pt idx="39">
                  <c:v>8221.1507547043457</c:v>
                </c:pt>
                <c:pt idx="40">
                  <c:v>8252.1316983312499</c:v>
                </c:pt>
                <c:pt idx="41">
                  <c:v>8326.0923687244849</c:v>
                </c:pt>
                <c:pt idx="42">
                  <c:v>8368.4962283448131</c:v>
                </c:pt>
                <c:pt idx="43">
                  <c:v>8442.4568987380444</c:v>
                </c:pt>
                <c:pt idx="44">
                  <c:v>8473.4378423649505</c:v>
                </c:pt>
                <c:pt idx="45">
                  <c:v>8547.3985127581891</c:v>
                </c:pt>
                <c:pt idx="46">
                  <c:v>8508.787522763143</c:v>
                </c:pt>
                <c:pt idx="47">
                  <c:v>8501.7333435410164</c:v>
                </c:pt>
                <c:pt idx="48">
                  <c:v>8464.8985120054458</c:v>
                </c:pt>
                <c:pt idx="49">
                  <c:v>8457.8443327833011</c:v>
                </c:pt>
                <c:pt idx="50">
                  <c:v>8457.8443327833011</c:v>
                </c:pt>
                <c:pt idx="51">
                  <c:v>8457.8443327833011</c:v>
                </c:pt>
                <c:pt idx="52">
                  <c:v>8457.8443327833011</c:v>
                </c:pt>
                <c:pt idx="53">
                  <c:v>8457.8443327833011</c:v>
                </c:pt>
                <c:pt idx="54">
                  <c:v>8457.8443327833011</c:v>
                </c:pt>
                <c:pt idx="55">
                  <c:v>8457.8443327833011</c:v>
                </c:pt>
                <c:pt idx="56">
                  <c:v>8457.8443327833011</c:v>
                </c:pt>
                <c:pt idx="57">
                  <c:v>8457.8443327833011</c:v>
                </c:pt>
                <c:pt idx="58">
                  <c:v>8457.8443327833011</c:v>
                </c:pt>
                <c:pt idx="59">
                  <c:v>8457.8443327833011</c:v>
                </c:pt>
                <c:pt idx="60">
                  <c:v>8457.8443327833011</c:v>
                </c:pt>
              </c:numCache>
            </c:numRef>
          </c:val>
          <c:smooth val="0"/>
          <c:extLst>
            <c:ext xmlns:c16="http://schemas.microsoft.com/office/drawing/2014/chart" uri="{C3380CC4-5D6E-409C-BE32-E72D297353CC}">
              <c16:uniqueId val="{00000003-7A43-4ED7-A4C8-B6F2424C2381}"/>
            </c:ext>
          </c:extLst>
        </c:ser>
        <c:dLbls>
          <c:showLegendKey val="0"/>
          <c:showVal val="0"/>
          <c:showCatName val="0"/>
          <c:showSerName val="0"/>
          <c:showPercent val="0"/>
          <c:showBubbleSize val="0"/>
        </c:dLbls>
        <c:marker val="1"/>
        <c:smooth val="0"/>
        <c:axId val="43984768"/>
        <c:axId val="43986304"/>
      </c:lineChart>
      <c:lineChart>
        <c:grouping val="standard"/>
        <c:varyColors val="0"/>
        <c:ser>
          <c:idx val="0"/>
          <c:order val="0"/>
          <c:tx>
            <c:v>Bldg SqFt</c:v>
          </c:tx>
          <c:spPr>
            <a:ln>
              <a:solidFill>
                <a:schemeClr val="tx1"/>
              </a:solidFill>
            </a:ln>
          </c:spPr>
          <c:marker>
            <c:symbol val="none"/>
          </c:marker>
          <c:cat>
            <c:numRef>
              <c:f>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BAU_Calc_CO2e!$E$8:$E$68</c:f>
              <c:numCache>
                <c:formatCode>General</c:formatCode>
                <c:ptCount val="61"/>
                <c:pt idx="0">
                  <c:v>2601699</c:v>
                </c:pt>
                <c:pt idx="1">
                  <c:v>3068424</c:v>
                </c:pt>
                <c:pt idx="2">
                  <c:v>3173190</c:v>
                </c:pt>
                <c:pt idx="3">
                  <c:v>3430001</c:v>
                </c:pt>
                <c:pt idx="4">
                  <c:v>3430001</c:v>
                </c:pt>
                <c:pt idx="5">
                  <c:v>3532367</c:v>
                </c:pt>
                <c:pt idx="6">
                  <c:v>3532367</c:v>
                </c:pt>
                <c:pt idx="7">
                  <c:v>3532367</c:v>
                </c:pt>
                <c:pt idx="8">
                  <c:v>3538752</c:v>
                </c:pt>
                <c:pt idx="9">
                  <c:v>3538752</c:v>
                </c:pt>
                <c:pt idx="10">
                  <c:v>3739655</c:v>
                </c:pt>
                <c:pt idx="11">
                  <c:v>3870188</c:v>
                </c:pt>
                <c:pt idx="12">
                  <c:v>3870188</c:v>
                </c:pt>
                <c:pt idx="13">
                  <c:v>4349318</c:v>
                </c:pt>
                <c:pt idx="14">
                  <c:v>4358318</c:v>
                </c:pt>
                <c:pt idx="15">
                  <c:v>5041533</c:v>
                </c:pt>
                <c:pt idx="16">
                  <c:v>5067450</c:v>
                </c:pt>
                <c:pt idx="17">
                  <c:v>5099770</c:v>
                </c:pt>
                <c:pt idx="18">
                  <c:v>5099770</c:v>
                </c:pt>
                <c:pt idx="19">
                  <c:v>5741060</c:v>
                </c:pt>
                <c:pt idx="20">
                  <c:v>5907060</c:v>
                </c:pt>
                <c:pt idx="21">
                  <c:v>6025060</c:v>
                </c:pt>
                <c:pt idx="22">
                  <c:v>6025060</c:v>
                </c:pt>
                <c:pt idx="23">
                  <c:v>6025060</c:v>
                </c:pt>
                <c:pt idx="24">
                  <c:v>6025060</c:v>
                </c:pt>
                <c:pt idx="25">
                  <c:v>6025230.6000000006</c:v>
                </c:pt>
                <c:pt idx="26">
                  <c:v>6025401.2000000002</c:v>
                </c:pt>
                <c:pt idx="27">
                  <c:v>6025571.8000000007</c:v>
                </c:pt>
                <c:pt idx="28">
                  <c:v>6025742.4000000004</c:v>
                </c:pt>
                <c:pt idx="29">
                  <c:v>6025913</c:v>
                </c:pt>
                <c:pt idx="30">
                  <c:v>6087453.6666666595</c:v>
                </c:pt>
                <c:pt idx="31">
                  <c:v>6148994.3333333256</c:v>
                </c:pt>
                <c:pt idx="32">
                  <c:v>6210535</c:v>
                </c:pt>
                <c:pt idx="33">
                  <c:v>6272075.6666666595</c:v>
                </c:pt>
                <c:pt idx="34">
                  <c:v>6333616.3333333256</c:v>
                </c:pt>
                <c:pt idx="35">
                  <c:v>6395157</c:v>
                </c:pt>
                <c:pt idx="36">
                  <c:v>6456697.6666666642</c:v>
                </c:pt>
                <c:pt idx="37">
                  <c:v>6518238.3333333256</c:v>
                </c:pt>
                <c:pt idx="38">
                  <c:v>6579779</c:v>
                </c:pt>
                <c:pt idx="39">
                  <c:v>6641319.6666666642</c:v>
                </c:pt>
                <c:pt idx="40">
                  <c:v>6702860.3333333256</c:v>
                </c:pt>
                <c:pt idx="41">
                  <c:v>6764401</c:v>
                </c:pt>
                <c:pt idx="42">
                  <c:v>6825941.6666666642</c:v>
                </c:pt>
                <c:pt idx="43">
                  <c:v>6887482.3333333256</c:v>
                </c:pt>
                <c:pt idx="44">
                  <c:v>6949023</c:v>
                </c:pt>
                <c:pt idx="45">
                  <c:v>7010563.6666666642</c:v>
                </c:pt>
                <c:pt idx="46">
                  <c:v>7010563.6666666642</c:v>
                </c:pt>
                <c:pt idx="47">
                  <c:v>7010563.6666666642</c:v>
                </c:pt>
                <c:pt idx="48">
                  <c:v>7010563.6666666642</c:v>
                </c:pt>
                <c:pt idx="49">
                  <c:v>7010563.6666666642</c:v>
                </c:pt>
                <c:pt idx="50">
                  <c:v>7010563.6666666642</c:v>
                </c:pt>
                <c:pt idx="51">
                  <c:v>7010563.6666666642</c:v>
                </c:pt>
                <c:pt idx="52">
                  <c:v>7010563.6666666642</c:v>
                </c:pt>
                <c:pt idx="53">
                  <c:v>7010563.6666666642</c:v>
                </c:pt>
                <c:pt idx="54">
                  <c:v>7010563.6666666642</c:v>
                </c:pt>
                <c:pt idx="55">
                  <c:v>7010563.6666666642</c:v>
                </c:pt>
                <c:pt idx="56">
                  <c:v>7010563.6666666642</c:v>
                </c:pt>
                <c:pt idx="57">
                  <c:v>7010563.6666666642</c:v>
                </c:pt>
                <c:pt idx="58">
                  <c:v>7010563.6666666642</c:v>
                </c:pt>
                <c:pt idx="59">
                  <c:v>7010563.6666666642</c:v>
                </c:pt>
                <c:pt idx="60">
                  <c:v>7010563.6666666642</c:v>
                </c:pt>
              </c:numCache>
            </c:numRef>
          </c:val>
          <c:smooth val="0"/>
          <c:extLst>
            <c:ext xmlns:c16="http://schemas.microsoft.com/office/drawing/2014/chart" uri="{C3380CC4-5D6E-409C-BE32-E72D297353CC}">
              <c16:uniqueId val="{00000004-7A43-4ED7-A4C8-B6F2424C2381}"/>
            </c:ext>
          </c:extLst>
        </c:ser>
        <c:dLbls>
          <c:showLegendKey val="0"/>
          <c:showVal val="0"/>
          <c:showCatName val="0"/>
          <c:showSerName val="0"/>
          <c:showPercent val="0"/>
          <c:showBubbleSize val="0"/>
        </c:dLbls>
        <c:marker val="1"/>
        <c:smooth val="0"/>
        <c:axId val="43998592"/>
        <c:axId val="43996672"/>
      </c:lineChart>
      <c:catAx>
        <c:axId val="43984768"/>
        <c:scaling>
          <c:orientation val="minMax"/>
        </c:scaling>
        <c:delete val="0"/>
        <c:axPos val="b"/>
        <c:numFmt formatCode="General" sourceLinked="1"/>
        <c:majorTickMark val="out"/>
        <c:minorTickMark val="none"/>
        <c:tickLblPos val="nextTo"/>
        <c:txPr>
          <a:bodyPr rot="-5400000" vert="horz"/>
          <a:lstStyle/>
          <a:p>
            <a:pPr>
              <a:defRPr/>
            </a:pPr>
            <a:endParaRPr lang="en-US"/>
          </a:p>
        </c:txPr>
        <c:crossAx val="43986304"/>
        <c:crosses val="autoZero"/>
        <c:auto val="1"/>
        <c:lblAlgn val="ctr"/>
        <c:lblOffset val="100"/>
        <c:noMultiLvlLbl val="0"/>
      </c:catAx>
      <c:valAx>
        <c:axId val="43986304"/>
        <c:scaling>
          <c:orientation val="minMax"/>
        </c:scaling>
        <c:delete val="0"/>
        <c:axPos val="l"/>
        <c:majorGridlines/>
        <c:title>
          <c:tx>
            <c:rich>
              <a:bodyPr rot="-5400000" vert="horz"/>
              <a:lstStyle/>
              <a:p>
                <a:pPr>
                  <a:defRPr sz="1100"/>
                </a:pPr>
                <a:r>
                  <a:rPr lang="en-US" sz="1100"/>
                  <a:t>eCO2 (tonnes)</a:t>
                </a:r>
              </a:p>
            </c:rich>
          </c:tx>
          <c:overlay val="0"/>
        </c:title>
        <c:numFmt formatCode="#,##0" sourceLinked="1"/>
        <c:majorTickMark val="out"/>
        <c:minorTickMark val="none"/>
        <c:tickLblPos val="nextTo"/>
        <c:crossAx val="43984768"/>
        <c:crosses val="autoZero"/>
        <c:crossBetween val="between"/>
      </c:valAx>
      <c:valAx>
        <c:axId val="43996672"/>
        <c:scaling>
          <c:orientation val="minMax"/>
        </c:scaling>
        <c:delete val="0"/>
        <c:axPos val="r"/>
        <c:numFmt formatCode="#,##0" sourceLinked="0"/>
        <c:majorTickMark val="out"/>
        <c:minorTickMark val="none"/>
        <c:tickLblPos val="nextTo"/>
        <c:crossAx val="43998592"/>
        <c:crosses val="max"/>
        <c:crossBetween val="between"/>
        <c:dispUnits>
          <c:builtInUnit val="thousands"/>
          <c:dispUnitsLbl>
            <c:layout>
              <c:manualLayout>
                <c:xMode val="edge"/>
                <c:yMode val="edge"/>
                <c:x val="0.93545931758530187"/>
                <c:y val="0.25786285696323885"/>
              </c:manualLayout>
            </c:layout>
            <c:tx>
              <c:rich>
                <a:bodyPr/>
                <a:lstStyle/>
                <a:p>
                  <a:pPr>
                    <a:defRPr sz="1100"/>
                  </a:pPr>
                  <a:r>
                    <a:rPr lang="en-US" sz="1100"/>
                    <a:t>Building GSF (thousands sq ft)</a:t>
                  </a:r>
                </a:p>
              </c:rich>
            </c:tx>
          </c:dispUnitsLbl>
        </c:dispUnits>
      </c:valAx>
      <c:catAx>
        <c:axId val="43998592"/>
        <c:scaling>
          <c:orientation val="minMax"/>
        </c:scaling>
        <c:delete val="1"/>
        <c:axPos val="b"/>
        <c:numFmt formatCode="General" sourceLinked="1"/>
        <c:majorTickMark val="out"/>
        <c:minorTickMark val="none"/>
        <c:tickLblPos val="none"/>
        <c:crossAx val="43996672"/>
        <c:crosses val="autoZero"/>
        <c:auto val="1"/>
        <c:lblAlgn val="ctr"/>
        <c:lblOffset val="100"/>
        <c:noMultiLvlLbl val="0"/>
      </c:catAx>
    </c:plotArea>
    <c:legend>
      <c:legendPos val="r"/>
      <c:layout>
        <c:manualLayout>
          <c:xMode val="edge"/>
          <c:yMode val="edge"/>
          <c:x val="0.29528905040716075"/>
          <c:y val="0.76295241452631268"/>
          <c:w val="0.31423076923076942"/>
          <c:h val="0.21749668671912231"/>
        </c:manualLayout>
      </c:layout>
      <c:overlay val="0"/>
      <c:spPr>
        <a:solidFill>
          <a:srgbClr val="F8F8F8"/>
        </a:solidFill>
      </c:spPr>
    </c:legend>
    <c:plotVisOnly val="1"/>
    <c:dispBlanksAs val="gap"/>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255058634912016"/>
          <c:y val="2.2464640843141433E-2"/>
          <c:w val="0.8568490477151911"/>
          <c:h val="0.85043301117034298"/>
        </c:manualLayout>
      </c:layout>
      <c:areaChart>
        <c:grouping val="stacked"/>
        <c:varyColors val="0"/>
        <c:ser>
          <c:idx val="2"/>
          <c:order val="1"/>
          <c:tx>
            <c:v>All Scope 1 &amp; 2 strategies</c:v>
          </c:tx>
          <c:spPr>
            <a:solidFill>
              <a:srgbClr val="92D050"/>
            </a:solidFill>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'Cum_Project GHG'!$AK$15:$AK$75</c:f>
              <c:numCache>
                <c:formatCode>#,##0</c:formatCode>
                <c:ptCount val="61"/>
                <c:pt idx="0">
                  <c:v>37780.141038796042</c:v>
                </c:pt>
                <c:pt idx="1">
                  <c:v>39299.764653211925</c:v>
                </c:pt>
                <c:pt idx="2">
                  <c:v>38538.909977602336</c:v>
                </c:pt>
                <c:pt idx="3">
                  <c:v>37373.004651411837</c:v>
                </c:pt>
                <c:pt idx="4">
                  <c:v>31459.121663448252</c:v>
                </c:pt>
                <c:pt idx="5">
                  <c:v>38428.013781453294</c:v>
                </c:pt>
                <c:pt idx="6">
                  <c:v>41164.159671612375</c:v>
                </c:pt>
                <c:pt idx="7">
                  <c:v>42951.798740769787</c:v>
                </c:pt>
                <c:pt idx="8">
                  <c:v>37818.233201119285</c:v>
                </c:pt>
                <c:pt idx="9">
                  <c:v>38779.236196901475</c:v>
                </c:pt>
                <c:pt idx="10">
                  <c:v>36732.569606068122</c:v>
                </c:pt>
                <c:pt idx="11">
                  <c:v>34680.511992169595</c:v>
                </c:pt>
                <c:pt idx="12">
                  <c:v>32403.658730043157</c:v>
                </c:pt>
                <c:pt idx="13">
                  <c:v>35508.812521768261</c:v>
                </c:pt>
                <c:pt idx="14">
                  <c:v>35941.105410818527</c:v>
                </c:pt>
                <c:pt idx="15">
                  <c:v>33963.116291096536</c:v>
                </c:pt>
                <c:pt idx="16">
                  <c:v>32914.780165025935</c:v>
                </c:pt>
                <c:pt idx="17">
                  <c:v>32445.120911918573</c:v>
                </c:pt>
                <c:pt idx="18">
                  <c:v>31990.565971236058</c:v>
                </c:pt>
                <c:pt idx="19">
                  <c:v>32289.24525417422</c:v>
                </c:pt>
                <c:pt idx="20">
                  <c:v>31711.001898406819</c:v>
                </c:pt>
                <c:pt idx="21">
                  <c:v>35422.586446462752</c:v>
                </c:pt>
                <c:pt idx="22">
                  <c:v>34282.040956718803</c:v>
                </c:pt>
                <c:pt idx="23">
                  <c:v>34945.098383072902</c:v>
                </c:pt>
                <c:pt idx="24">
                  <c:v>38621.324049562187</c:v>
                </c:pt>
                <c:pt idx="25">
                  <c:v>38383.850922035439</c:v>
                </c:pt>
                <c:pt idx="26">
                  <c:v>32926.343238416448</c:v>
                </c:pt>
                <c:pt idx="27">
                  <c:v>28488.415863688166</c:v>
                </c:pt>
                <c:pt idx="28">
                  <c:v>25329.534075516462</c:v>
                </c:pt>
                <c:pt idx="29">
                  <c:v>22996.60678020792</c:v>
                </c:pt>
                <c:pt idx="30">
                  <c:v>21466.81015188681</c:v>
                </c:pt>
                <c:pt idx="31">
                  <c:v>19970.411071405273</c:v>
                </c:pt>
                <c:pt idx="32">
                  <c:v>17936.880501233885</c:v>
                </c:pt>
                <c:pt idx="33">
                  <c:v>16181.339693589547</c:v>
                </c:pt>
                <c:pt idx="34">
                  <c:v>14341.277189783164</c:v>
                </c:pt>
                <c:pt idx="35">
                  <c:v>11732.454551588369</c:v>
                </c:pt>
                <c:pt idx="36">
                  <c:v>9967.9543232869419</c:v>
                </c:pt>
                <c:pt idx="37">
                  <c:v>9285.8288483476299</c:v>
                </c:pt>
                <c:pt idx="38">
                  <c:v>8590.6409622634656</c:v>
                </c:pt>
                <c:pt idx="39">
                  <c:v>8003.4039940988878</c:v>
                </c:pt>
                <c:pt idx="40">
                  <c:v>7315.9255933686518</c:v>
                </c:pt>
                <c:pt idx="41">
                  <c:v>6760.687023288574</c:v>
                </c:pt>
                <c:pt idx="42">
                  <c:v>6114.8678795921551</c:v>
                </c:pt>
                <c:pt idx="43">
                  <c:v>5553.1308502333695</c:v>
                </c:pt>
                <c:pt idx="44">
                  <c:v>4855.1495758878145</c:v>
                </c:pt>
                <c:pt idx="45">
                  <c:v>4286.6703354183774</c:v>
                </c:pt>
                <c:pt idx="46">
                  <c:v>3421.6211010440861</c:v>
                </c:pt>
                <c:pt idx="47">
                  <c:v>2641.8898037258268</c:v>
                </c:pt>
                <c:pt idx="48">
                  <c:v>1777.3768107174549</c:v>
                </c:pt>
                <c:pt idx="49">
                  <c:v>991.90455110835683</c:v>
                </c:pt>
                <c:pt idx="50">
                  <c:v>230.84328641443801</c:v>
                </c:pt>
                <c:pt idx="51">
                  <c:v>215.60728565934537</c:v>
                </c:pt>
                <c:pt idx="52">
                  <c:v>200.37128490425309</c:v>
                </c:pt>
                <c:pt idx="53">
                  <c:v>185.13528414916416</c:v>
                </c:pt>
                <c:pt idx="54">
                  <c:v>169.89928339407558</c:v>
                </c:pt>
                <c:pt idx="55">
                  <c:v>154.66328263898319</c:v>
                </c:pt>
                <c:pt idx="56">
                  <c:v>139.42728188389469</c:v>
                </c:pt>
                <c:pt idx="57">
                  <c:v>124.1912811288021</c:v>
                </c:pt>
                <c:pt idx="58">
                  <c:v>108.95528037370963</c:v>
                </c:pt>
                <c:pt idx="59">
                  <c:v>93.719279618624569</c:v>
                </c:pt>
                <c:pt idx="60">
                  <c:v>78.483278863535759</c:v>
                </c:pt>
              </c:numCache>
            </c:numRef>
          </c:val>
          <c:extLst>
            <c:ext xmlns:c16="http://schemas.microsoft.com/office/drawing/2014/chart" uri="{C3380CC4-5D6E-409C-BE32-E72D297353CC}">
              <c16:uniqueId val="{00000000-7317-4848-BAE1-A73E76D6E612}"/>
            </c:ext>
          </c:extLst>
        </c:ser>
        <c:ser>
          <c:idx val="1"/>
          <c:order val="2"/>
          <c:tx>
            <c:v>Interior LED lighting</c:v>
          </c:tx>
          <c:spPr>
            <a:solidFill>
              <a:schemeClr val="accent2">
                <a:lumMod val="60000"/>
                <a:lumOff val="40000"/>
              </a:schemeClr>
            </a:solidFill>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'Cum_Project GHG'!$C$15:$C$75</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127.84909985307431</c:v>
                </c:pt>
                <c:pt idx="27">
                  <c:v>231.64432788431719</c:v>
                </c:pt>
                <c:pt idx="28">
                  <c:v>338.96394176111477</c:v>
                </c:pt>
                <c:pt idx="29">
                  <c:v>445.96240814219715</c:v>
                </c:pt>
                <c:pt idx="30">
                  <c:v>557.62003345261155</c:v>
                </c:pt>
                <c:pt idx="31">
                  <c:v>665.4076676239581</c:v>
                </c:pt>
                <c:pt idx="32">
                  <c:v>771.78545581194294</c:v>
                </c:pt>
                <c:pt idx="33">
                  <c:v>843.89020546561107</c:v>
                </c:pt>
                <c:pt idx="34">
                  <c:v>885.99888089706053</c:v>
                </c:pt>
                <c:pt idx="35">
                  <c:v>801.84861427953899</c:v>
                </c:pt>
                <c:pt idx="36">
                  <c:v>737.31919494723502</c:v>
                </c:pt>
                <c:pt idx="37">
                  <c:v>773.09190316163802</c:v>
                </c:pt>
                <c:pt idx="38">
                  <c:v>811.73536114360058</c:v>
                </c:pt>
                <c:pt idx="39">
                  <c:v>861.55856441444246</c:v>
                </c:pt>
                <c:pt idx="40">
                  <c:v>910.47566069132938</c:v>
                </c:pt>
                <c:pt idx="41">
                  <c:v>960.42186320100745</c:v>
                </c:pt>
                <c:pt idx="42">
                  <c:v>1024.9815254308171</c:v>
                </c:pt>
                <c:pt idx="43">
                  <c:v>1086.7016774315161</c:v>
                </c:pt>
                <c:pt idx="44">
                  <c:v>1150.2863957086131</c:v>
                </c:pt>
                <c:pt idx="45">
                  <c:v>1213.1189135553857</c:v>
                </c:pt>
                <c:pt idx="46">
                  <c:v>1276.1805442620578</c:v>
                </c:pt>
                <c:pt idx="47">
                  <c:v>1339.4712878286241</c:v>
                </c:pt>
                <c:pt idx="48">
                  <c:v>1402.9911442550826</c:v>
                </c:pt>
                <c:pt idx="49">
                  <c:v>1466.7401135414409</c:v>
                </c:pt>
                <c:pt idx="50">
                  <c:v>1530.7181956876941</c:v>
                </c:pt>
                <c:pt idx="51">
                  <c:v>1533.5821064363827</c:v>
                </c:pt>
                <c:pt idx="52">
                  <c:v>1536.4460171850785</c:v>
                </c:pt>
                <c:pt idx="53">
                  <c:v>1539.309927933768</c:v>
                </c:pt>
                <c:pt idx="54">
                  <c:v>1542.1738386824588</c:v>
                </c:pt>
                <c:pt idx="55">
                  <c:v>1545.037749431151</c:v>
                </c:pt>
                <c:pt idx="56">
                  <c:v>1547.901660179843</c:v>
                </c:pt>
                <c:pt idx="57">
                  <c:v>1550.7655709285361</c:v>
                </c:pt>
                <c:pt idx="58">
                  <c:v>1553.6294816772258</c:v>
                </c:pt>
                <c:pt idx="59">
                  <c:v>1556.4933924259178</c:v>
                </c:pt>
                <c:pt idx="60">
                  <c:v>1559.35730317461</c:v>
                </c:pt>
              </c:numCache>
            </c:numRef>
          </c:val>
          <c:extLst>
            <c:ext xmlns:c16="http://schemas.microsoft.com/office/drawing/2014/chart" uri="{C3380CC4-5D6E-409C-BE32-E72D297353CC}">
              <c16:uniqueId val="{00000001-7317-4848-BAE1-A73E76D6E612}"/>
            </c:ext>
          </c:extLst>
        </c:ser>
        <c:ser>
          <c:idx val="4"/>
          <c:order val="3"/>
          <c:tx>
            <c:v>New AHUs</c:v>
          </c:tx>
          <c:spPr>
            <a:ln w="25400">
              <a:noFill/>
            </a:ln>
          </c:spPr>
          <c:val>
            <c:numRef>
              <c:f>'Cum_Project GHG'!$J$15:$J$75</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372.65255191933852</c:v>
                </c:pt>
                <c:pt idx="29">
                  <c:v>367.71395636693933</c:v>
                </c:pt>
                <c:pt idx="30">
                  <c:v>367.82413029744896</c:v>
                </c:pt>
                <c:pt idx="31">
                  <c:v>365.77027060523926</c:v>
                </c:pt>
                <c:pt idx="32">
                  <c:v>727.27791335037853</c:v>
                </c:pt>
                <c:pt idx="33">
                  <c:v>695.82144262734653</c:v>
                </c:pt>
                <c:pt idx="34">
                  <c:v>649.37043597920501</c:v>
                </c:pt>
                <c:pt idx="35">
                  <c:v>528.92516675093748</c:v>
                </c:pt>
                <c:pt idx="36">
                  <c:v>663.21747792506324</c:v>
                </c:pt>
                <c:pt idx="37">
                  <c:v>637.44539260844988</c:v>
                </c:pt>
                <c:pt idx="38">
                  <c:v>617.82321155895579</c:v>
                </c:pt>
                <c:pt idx="39">
                  <c:v>608.90547065695455</c:v>
                </c:pt>
                <c:pt idx="40">
                  <c:v>600.5790645239515</c:v>
                </c:pt>
                <c:pt idx="41">
                  <c:v>593.9298637919203</c:v>
                </c:pt>
                <c:pt idx="42">
                  <c:v>596.56837074088764</c:v>
                </c:pt>
                <c:pt idx="43">
                  <c:v>597.35284993127141</c:v>
                </c:pt>
                <c:pt idx="44">
                  <c:v>599.0257481209693</c:v>
                </c:pt>
                <c:pt idx="45">
                  <c:v>600.1592247722981</c:v>
                </c:pt>
                <c:pt idx="46">
                  <c:v>601.29270142362873</c:v>
                </c:pt>
                <c:pt idx="47">
                  <c:v>602.42617807495799</c:v>
                </c:pt>
                <c:pt idx="48">
                  <c:v>603.55965472628793</c:v>
                </c:pt>
                <c:pt idx="49">
                  <c:v>604.69313137761924</c:v>
                </c:pt>
                <c:pt idx="50">
                  <c:v>605.82660802894736</c:v>
                </c:pt>
                <c:pt idx="51">
                  <c:v>606.96008468027719</c:v>
                </c:pt>
                <c:pt idx="52">
                  <c:v>608.0935613316077</c:v>
                </c:pt>
                <c:pt idx="53">
                  <c:v>609.22703798293639</c:v>
                </c:pt>
                <c:pt idx="54">
                  <c:v>610.36051463426531</c:v>
                </c:pt>
                <c:pt idx="55">
                  <c:v>611.49399128559605</c:v>
                </c:pt>
                <c:pt idx="56">
                  <c:v>612.62746793692543</c:v>
                </c:pt>
                <c:pt idx="57">
                  <c:v>613.7609445882556</c:v>
                </c:pt>
                <c:pt idx="58">
                  <c:v>614.89442123958554</c:v>
                </c:pt>
                <c:pt idx="59">
                  <c:v>616.02789789091298</c:v>
                </c:pt>
                <c:pt idx="60">
                  <c:v>617.16137454224452</c:v>
                </c:pt>
              </c:numCache>
            </c:numRef>
          </c:val>
          <c:extLst>
            <c:ext xmlns:c16="http://schemas.microsoft.com/office/drawing/2014/chart" uri="{C3380CC4-5D6E-409C-BE32-E72D297353CC}">
              <c16:uniqueId val="{00000002-7317-4848-BAE1-A73E76D6E612}"/>
            </c:ext>
          </c:extLst>
        </c:ser>
        <c:ser>
          <c:idx val="6"/>
          <c:order val="4"/>
          <c:tx>
            <c:v>Window replacement</c:v>
          </c:tx>
          <c:spPr>
            <a:solidFill>
              <a:srgbClr val="FF0000"/>
            </a:solidFill>
            <a:ln w="25400">
              <a:noFill/>
            </a:ln>
          </c:spPr>
          <c:val>
            <c:numRef>
              <c:f>'Cum_Project GHG'!$U$15:$U$75</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64.5916107384556</c:v>
                </c:pt>
                <c:pt idx="29">
                  <c:v>63.735607365146457</c:v>
                </c:pt>
                <c:pt idx="30">
                  <c:v>127.50940747362083</c:v>
                </c:pt>
                <c:pt idx="31">
                  <c:v>126.79741929553231</c:v>
                </c:pt>
                <c:pt idx="32">
                  <c:v>189.08787140670921</c:v>
                </c:pt>
                <c:pt idx="33">
                  <c:v>180.90937872626378</c:v>
                </c:pt>
                <c:pt idx="34">
                  <c:v>225.10986284569361</c:v>
                </c:pt>
                <c:pt idx="35">
                  <c:v>183.35647135428357</c:v>
                </c:pt>
                <c:pt idx="36">
                  <c:v>191.5917161461276</c:v>
                </c:pt>
                <c:pt idx="37">
                  <c:v>184.14661975041369</c:v>
                </c:pt>
                <c:pt idx="38">
                  <c:v>214.17374538648738</c:v>
                </c:pt>
                <c:pt idx="39">
                  <c:v>211.08233358188974</c:v>
                </c:pt>
                <c:pt idx="40">
                  <c:v>242.89523192151671</c:v>
                </c:pt>
                <c:pt idx="41">
                  <c:v>240.2060620031821</c:v>
                </c:pt>
                <c:pt idx="42">
                  <c:v>275.74076197469611</c:v>
                </c:pt>
                <c:pt idx="43">
                  <c:v>276.10335727863634</c:v>
                </c:pt>
                <c:pt idx="44">
                  <c:v>311.48616381929446</c:v>
                </c:pt>
                <c:pt idx="45">
                  <c:v>312.07555800645463</c:v>
                </c:pt>
                <c:pt idx="46">
                  <c:v>347.40550243734913</c:v>
                </c:pt>
                <c:pt idx="47">
                  <c:v>348.06038486752658</c:v>
                </c:pt>
                <c:pt idx="48">
                  <c:v>348.71526729770397</c:v>
                </c:pt>
                <c:pt idx="49">
                  <c:v>349.37014972788126</c:v>
                </c:pt>
                <c:pt idx="50">
                  <c:v>350.02503215805859</c:v>
                </c:pt>
                <c:pt idx="51">
                  <c:v>350.67991458823565</c:v>
                </c:pt>
                <c:pt idx="52">
                  <c:v>351.33479701841333</c:v>
                </c:pt>
                <c:pt idx="53">
                  <c:v>351.98967944858958</c:v>
                </c:pt>
                <c:pt idx="54">
                  <c:v>352.64456187876863</c:v>
                </c:pt>
                <c:pt idx="55">
                  <c:v>353.29944430894528</c:v>
                </c:pt>
                <c:pt idx="56">
                  <c:v>353.95432673912262</c:v>
                </c:pt>
                <c:pt idx="57">
                  <c:v>354.60920916930041</c:v>
                </c:pt>
                <c:pt idx="58">
                  <c:v>355.2640915994773</c:v>
                </c:pt>
                <c:pt idx="59">
                  <c:v>355.91897402965429</c:v>
                </c:pt>
                <c:pt idx="60">
                  <c:v>356.57385645983197</c:v>
                </c:pt>
              </c:numCache>
            </c:numRef>
          </c:val>
          <c:extLst>
            <c:ext xmlns:c16="http://schemas.microsoft.com/office/drawing/2014/chart" uri="{C3380CC4-5D6E-409C-BE32-E72D297353CC}">
              <c16:uniqueId val="{00000003-7317-4848-BAE1-A73E76D6E612}"/>
            </c:ext>
          </c:extLst>
        </c:ser>
        <c:ser>
          <c:idx val="8"/>
          <c:order val="5"/>
          <c:tx>
            <c:v>solar PV</c:v>
          </c:tx>
          <c:spPr>
            <a:solidFill>
              <a:srgbClr val="FFFF00"/>
            </a:solidFill>
            <a:ln w="25400">
              <a:noFill/>
            </a:ln>
          </c:spPr>
          <c:val>
            <c:numRef>
              <c:f>'Cum_Project GHG'!$AA$15:$AA$75</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1354.592071363835</c:v>
                </c:pt>
                <c:pt idx="27">
                  <c:v>2454.3275649895422</c:v>
                </c:pt>
                <c:pt idx="28">
                  <c:v>3591.4047773156717</c:v>
                </c:pt>
                <c:pt idx="29">
                  <c:v>4725.0793544106236</c:v>
                </c:pt>
                <c:pt idx="30">
                  <c:v>5908.1188449241927</c:v>
                </c:pt>
                <c:pt idx="31">
                  <c:v>7050.1548452352572</c:v>
                </c:pt>
                <c:pt idx="32">
                  <c:v>8177.2531870637349</c:v>
                </c:pt>
                <c:pt idx="33">
                  <c:v>8941.2204132763545</c:v>
                </c:pt>
                <c:pt idx="34">
                  <c:v>9387.3719930733332</c:v>
                </c:pt>
                <c:pt idx="35">
                  <c:v>8495.7796072509736</c:v>
                </c:pt>
                <c:pt idx="36">
                  <c:v>7812.0748342200695</c:v>
                </c:pt>
                <c:pt idx="37">
                  <c:v>8191.095312065675</c:v>
                </c:pt>
                <c:pt idx="38">
                  <c:v>8600.5320765998367</c:v>
                </c:pt>
                <c:pt idx="39">
                  <c:v>9128.4209408796269</c:v>
                </c:pt>
                <c:pt idx="40">
                  <c:v>9646.7093828550569</c:v>
                </c:pt>
                <c:pt idx="41">
                  <c:v>10175.90145375813</c:v>
                </c:pt>
                <c:pt idx="42">
                  <c:v>10859.926657587705</c:v>
                </c:pt>
                <c:pt idx="43">
                  <c:v>11513.866565178731</c:v>
                </c:pt>
                <c:pt idx="44">
                  <c:v>12187.562002511058</c:v>
                </c:pt>
                <c:pt idx="45">
                  <c:v>12853.2876947285</c:v>
                </c:pt>
                <c:pt idx="46">
                  <c:v>13521.440892996619</c:v>
                </c:pt>
                <c:pt idx="47">
                  <c:v>14192.021597315372</c:v>
                </c:pt>
                <c:pt idx="48">
                  <c:v>14865.029807684727</c:v>
                </c:pt>
                <c:pt idx="49">
                  <c:v>15540.46552410474</c:v>
                </c:pt>
                <c:pt idx="50">
                  <c:v>16218.328746575409</c:v>
                </c:pt>
                <c:pt idx="51">
                  <c:v>16248.67257220835</c:v>
                </c:pt>
                <c:pt idx="52">
                  <c:v>16279.0163978413</c:v>
                </c:pt>
                <c:pt idx="53">
                  <c:v>16309.360223474223</c:v>
                </c:pt>
                <c:pt idx="54">
                  <c:v>16339.704049107209</c:v>
                </c:pt>
                <c:pt idx="55">
                  <c:v>16370.047874740147</c:v>
                </c:pt>
                <c:pt idx="56">
                  <c:v>16400.391700373097</c:v>
                </c:pt>
                <c:pt idx="57">
                  <c:v>16430.735526006029</c:v>
                </c:pt>
                <c:pt idx="58">
                  <c:v>16461.079351638979</c:v>
                </c:pt>
                <c:pt idx="59">
                  <c:v>16491.42317727195</c:v>
                </c:pt>
                <c:pt idx="60">
                  <c:v>16521.76700290493</c:v>
                </c:pt>
              </c:numCache>
            </c:numRef>
          </c:val>
          <c:extLst>
            <c:ext xmlns:c16="http://schemas.microsoft.com/office/drawing/2014/chart" uri="{C3380CC4-5D6E-409C-BE32-E72D297353CC}">
              <c16:uniqueId val="{00000004-7317-4848-BAE1-A73E76D6E612}"/>
            </c:ext>
          </c:extLst>
        </c:ser>
        <c:ser>
          <c:idx val="0"/>
          <c:order val="6"/>
          <c:tx>
            <c:v>Lighting occupancy sensors</c:v>
          </c:tx>
          <c:spPr>
            <a:solidFill>
              <a:srgbClr val="002060"/>
            </a:solidFill>
            <a:ln w="25400">
              <a:noFill/>
            </a:ln>
          </c:spPr>
          <c:val>
            <c:numRef>
              <c:f>'Cum_Project GHG'!$E$15:$E$75</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418.687770236208</c:v>
                </c:pt>
                <c:pt idx="28">
                  <c:v>816.8848525244947</c:v>
                </c:pt>
                <c:pt idx="29">
                  <c:v>806.05904741804682</c:v>
                </c:pt>
                <c:pt idx="30">
                  <c:v>806.30055767877809</c:v>
                </c:pt>
                <c:pt idx="31">
                  <c:v>801.79832936144805</c:v>
                </c:pt>
                <c:pt idx="32">
                  <c:v>797.12631502405702</c:v>
                </c:pt>
                <c:pt idx="33">
                  <c:v>762.64873756594375</c:v>
                </c:pt>
                <c:pt idx="34">
                  <c:v>711.73653594549808</c:v>
                </c:pt>
                <c:pt idx="35">
                  <c:v>579.72359858058553</c:v>
                </c:pt>
                <c:pt idx="36">
                  <c:v>484.60897320761364</c:v>
                </c:pt>
                <c:pt idx="37">
                  <c:v>465.77746737671072</c:v>
                </c:pt>
                <c:pt idx="38">
                  <c:v>451.43965915090865</c:v>
                </c:pt>
                <c:pt idx="39">
                  <c:v>444.92352016830665</c:v>
                </c:pt>
                <c:pt idx="40">
                  <c:v>438.83946590114851</c:v>
                </c:pt>
                <c:pt idx="41">
                  <c:v>433.98093540903659</c:v>
                </c:pt>
                <c:pt idx="42">
                  <c:v>435.90887637244361</c:v>
                </c:pt>
                <c:pt idx="43">
                  <c:v>436.48209054065944</c:v>
                </c:pt>
                <c:pt idx="44">
                  <c:v>437.7044670626517</c:v>
                </c:pt>
                <c:pt idx="45">
                  <c:v>438.53269155075532</c:v>
                </c:pt>
                <c:pt idx="46">
                  <c:v>439.36091603885842</c:v>
                </c:pt>
                <c:pt idx="47">
                  <c:v>440.18914052696209</c:v>
                </c:pt>
                <c:pt idx="48">
                  <c:v>441.01736501506531</c:v>
                </c:pt>
                <c:pt idx="49">
                  <c:v>441.84558950316892</c:v>
                </c:pt>
                <c:pt idx="50">
                  <c:v>442.67381399127169</c:v>
                </c:pt>
                <c:pt idx="51">
                  <c:v>443.50203847937519</c:v>
                </c:pt>
                <c:pt idx="52">
                  <c:v>444.33026296747829</c:v>
                </c:pt>
                <c:pt idx="53">
                  <c:v>445.15848745558196</c:v>
                </c:pt>
                <c:pt idx="54">
                  <c:v>445.98671194368416</c:v>
                </c:pt>
                <c:pt idx="55">
                  <c:v>446.81493643178868</c:v>
                </c:pt>
                <c:pt idx="56">
                  <c:v>447.64316091989201</c:v>
                </c:pt>
                <c:pt idx="57">
                  <c:v>448.47138540799455</c:v>
                </c:pt>
                <c:pt idx="58">
                  <c:v>449.29960989609879</c:v>
                </c:pt>
                <c:pt idx="59">
                  <c:v>450.12783438420212</c:v>
                </c:pt>
                <c:pt idx="60">
                  <c:v>450.95605887230499</c:v>
                </c:pt>
              </c:numCache>
            </c:numRef>
          </c:val>
          <c:extLst>
            <c:ext xmlns:c16="http://schemas.microsoft.com/office/drawing/2014/chart" uri="{C3380CC4-5D6E-409C-BE32-E72D297353CC}">
              <c16:uniqueId val="{00000005-7317-4848-BAE1-A73E76D6E612}"/>
            </c:ext>
          </c:extLst>
        </c:ser>
        <c:ser>
          <c:idx val="5"/>
          <c:order val="7"/>
          <c:tx>
            <c:v>Occupancy based HVAC</c:v>
          </c:tx>
          <c:spPr>
            <a:ln w="25400">
              <a:noFill/>
            </a:ln>
          </c:spPr>
          <c:val>
            <c:numRef>
              <c:f>'Cum_Project GHG'!$P$15:$P$75</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267.44884062861848</c:v>
                </c:pt>
                <c:pt idx="28">
                  <c:v>521.80866570690739</c:v>
                </c:pt>
                <c:pt idx="29">
                  <c:v>772.34005756321676</c:v>
                </c:pt>
                <c:pt idx="30">
                  <c:v>1030.095286651145</c:v>
                </c:pt>
                <c:pt idx="31">
                  <c:v>1280.4292891377231</c:v>
                </c:pt>
                <c:pt idx="32">
                  <c:v>1527.5619968608548</c:v>
                </c:pt>
                <c:pt idx="33">
                  <c:v>1705.0732624417651</c:v>
                </c:pt>
                <c:pt idx="34">
                  <c:v>1818.5686318400201</c:v>
                </c:pt>
                <c:pt idx="35">
                  <c:v>1666.4179588307661</c:v>
                </c:pt>
                <c:pt idx="36">
                  <c:v>1547.7895135255751</c:v>
                </c:pt>
                <c:pt idx="37">
                  <c:v>1487.6436869717579</c:v>
                </c:pt>
                <c:pt idx="38">
                  <c:v>1441.8502525828958</c:v>
                </c:pt>
                <c:pt idx="39">
                  <c:v>1421.038397781303</c:v>
                </c:pt>
                <c:pt idx="40">
                  <c:v>1401.6065756008381</c:v>
                </c:pt>
                <c:pt idx="41">
                  <c:v>1386.0889460013248</c:v>
                </c:pt>
                <c:pt idx="42">
                  <c:v>1392.2465843671762</c:v>
                </c:pt>
                <c:pt idx="43">
                  <c:v>1394.0773694487991</c:v>
                </c:pt>
                <c:pt idx="44">
                  <c:v>1397.981510038263</c:v>
                </c:pt>
                <c:pt idx="45">
                  <c:v>1400.6267709566621</c:v>
                </c:pt>
                <c:pt idx="46">
                  <c:v>1403.2720318750598</c:v>
                </c:pt>
                <c:pt idx="47">
                  <c:v>1405.9172927934601</c:v>
                </c:pt>
                <c:pt idx="48">
                  <c:v>1408.5625537118581</c:v>
                </c:pt>
                <c:pt idx="49">
                  <c:v>1411.2078146302581</c:v>
                </c:pt>
                <c:pt idx="50">
                  <c:v>1413.8530755486559</c:v>
                </c:pt>
                <c:pt idx="51">
                  <c:v>1416.498336467055</c:v>
                </c:pt>
                <c:pt idx="52">
                  <c:v>1419.1435973854541</c:v>
                </c:pt>
                <c:pt idx="53">
                  <c:v>1421.7888583038521</c:v>
                </c:pt>
                <c:pt idx="54">
                  <c:v>1424.434119222251</c:v>
                </c:pt>
                <c:pt idx="55">
                  <c:v>1427.0793801406501</c:v>
                </c:pt>
                <c:pt idx="56">
                  <c:v>1429.724641059049</c:v>
                </c:pt>
                <c:pt idx="57">
                  <c:v>1432.3699019774479</c:v>
                </c:pt>
                <c:pt idx="58">
                  <c:v>1435.0151628958458</c:v>
                </c:pt>
                <c:pt idx="59">
                  <c:v>1437.6604238142438</c:v>
                </c:pt>
                <c:pt idx="60">
                  <c:v>1440.3056847326452</c:v>
                </c:pt>
              </c:numCache>
            </c:numRef>
          </c:val>
          <c:extLst>
            <c:ext xmlns:c16="http://schemas.microsoft.com/office/drawing/2014/chart" uri="{C3380CC4-5D6E-409C-BE32-E72D297353CC}">
              <c16:uniqueId val="{00000006-7317-4848-BAE1-A73E76D6E612}"/>
            </c:ext>
          </c:extLst>
        </c:ser>
        <c:ser>
          <c:idx val="3"/>
          <c:order val="8"/>
          <c:tx>
            <c:v>Phase out HCFC22</c:v>
          </c:tx>
          <c:spPr>
            <a:ln w="25400">
              <a:noFill/>
            </a:ln>
          </c:spPr>
          <c:val>
            <c:numRef>
              <c:f>'Cum_Project GHG'!$AH$15:$AH$75</c:f>
              <c:numCache>
                <c:formatCode>#,##0</c:formatCode>
                <c:ptCount val="6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13.355452000000017</c:v>
                </c:pt>
                <c:pt idx="27">
                  <c:v>26.710903999999999</c:v>
                </c:pt>
                <c:pt idx="28">
                  <c:v>40.066356000000013</c:v>
                </c:pt>
                <c:pt idx="29">
                  <c:v>53.421807999999999</c:v>
                </c:pt>
                <c:pt idx="30">
                  <c:v>66.777260000000027</c:v>
                </c:pt>
                <c:pt idx="31">
                  <c:v>80.132711999999884</c:v>
                </c:pt>
                <c:pt idx="32">
                  <c:v>93.488164000000026</c:v>
                </c:pt>
                <c:pt idx="33">
                  <c:v>106.84361600000007</c:v>
                </c:pt>
                <c:pt idx="34">
                  <c:v>120.199068</c:v>
                </c:pt>
                <c:pt idx="35">
                  <c:v>133.55452</c:v>
                </c:pt>
                <c:pt idx="36">
                  <c:v>146.90997199999998</c:v>
                </c:pt>
                <c:pt idx="37">
                  <c:v>160.265424</c:v>
                </c:pt>
                <c:pt idx="38">
                  <c:v>173.62087600000001</c:v>
                </c:pt>
                <c:pt idx="39">
                  <c:v>186.97632800000025</c:v>
                </c:pt>
                <c:pt idx="40">
                  <c:v>200.33178000000001</c:v>
                </c:pt>
                <c:pt idx="41">
                  <c:v>213.68723200000025</c:v>
                </c:pt>
                <c:pt idx="42">
                  <c:v>227.04268399999998</c:v>
                </c:pt>
                <c:pt idx="43">
                  <c:v>240.39813600000039</c:v>
                </c:pt>
                <c:pt idx="44">
                  <c:v>253.75358799999998</c:v>
                </c:pt>
                <c:pt idx="45">
                  <c:v>267.10904000000039</c:v>
                </c:pt>
                <c:pt idx="46">
                  <c:v>280.46449200000012</c:v>
                </c:pt>
                <c:pt idx="47">
                  <c:v>293.81994400000031</c:v>
                </c:pt>
                <c:pt idx="48">
                  <c:v>307.17539600000009</c:v>
                </c:pt>
                <c:pt idx="49">
                  <c:v>320.53084800000022</c:v>
                </c:pt>
                <c:pt idx="50">
                  <c:v>333.88629999999984</c:v>
                </c:pt>
                <c:pt idx="51">
                  <c:v>333.88629999999984</c:v>
                </c:pt>
                <c:pt idx="52">
                  <c:v>333.88629999999984</c:v>
                </c:pt>
                <c:pt idx="53">
                  <c:v>333.88629999999984</c:v>
                </c:pt>
                <c:pt idx="54">
                  <c:v>333.88629999999984</c:v>
                </c:pt>
                <c:pt idx="55">
                  <c:v>333.88629999999984</c:v>
                </c:pt>
                <c:pt idx="56">
                  <c:v>333.88629999999984</c:v>
                </c:pt>
                <c:pt idx="57">
                  <c:v>333.88629999999984</c:v>
                </c:pt>
                <c:pt idx="58">
                  <c:v>333.88629999999984</c:v>
                </c:pt>
                <c:pt idx="59">
                  <c:v>333.88629999999984</c:v>
                </c:pt>
                <c:pt idx="60">
                  <c:v>333.88629999999984</c:v>
                </c:pt>
              </c:numCache>
            </c:numRef>
          </c:val>
          <c:extLst>
            <c:ext xmlns:c16="http://schemas.microsoft.com/office/drawing/2014/chart" uri="{C3380CC4-5D6E-409C-BE32-E72D297353CC}">
              <c16:uniqueId val="{00000007-7317-4848-BAE1-A73E76D6E612}"/>
            </c:ext>
          </c:extLst>
        </c:ser>
        <c:dLbls>
          <c:showLegendKey val="0"/>
          <c:showVal val="0"/>
          <c:showCatName val="0"/>
          <c:showSerName val="0"/>
          <c:showPercent val="0"/>
          <c:showBubbleSize val="0"/>
        </c:dLbls>
        <c:axId val="44567168"/>
        <c:axId val="44581248"/>
      </c:areaChart>
      <c:areaChart>
        <c:grouping val="stacked"/>
        <c:varyColors val="0"/>
        <c:ser>
          <c:idx val="7"/>
          <c:order val="0"/>
          <c:tx>
            <c:v>BAU</c:v>
          </c:tx>
          <c:spPr>
            <a:noFill/>
            <a:ln w="25400">
              <a:solidFill>
                <a:schemeClr val="tx1"/>
              </a:solidFill>
            </a:ln>
          </c:spPr>
          <c:val>
            <c:numRef>
              <c:f>BAU_Calc_CO2e!$AA$8:$AA$68</c:f>
              <c:numCache>
                <c:formatCode>#,##0_);[Red]\(#,##0\);"-"_)</c:formatCode>
                <c:ptCount val="61"/>
                <c:pt idx="0">
                  <c:v>37780.141038796042</c:v>
                </c:pt>
                <c:pt idx="1">
                  <c:v>39299.764653211925</c:v>
                </c:pt>
                <c:pt idx="2">
                  <c:v>38538.909977602336</c:v>
                </c:pt>
                <c:pt idx="3">
                  <c:v>37373.004651411837</c:v>
                </c:pt>
                <c:pt idx="4">
                  <c:v>31459.121663448252</c:v>
                </c:pt>
                <c:pt idx="5">
                  <c:v>38428.013781453294</c:v>
                </c:pt>
                <c:pt idx="6">
                  <c:v>41164.159671612375</c:v>
                </c:pt>
                <c:pt idx="7">
                  <c:v>42951.798740769787</c:v>
                </c:pt>
                <c:pt idx="8">
                  <c:v>37818.233201119285</c:v>
                </c:pt>
                <c:pt idx="9">
                  <c:v>38779.236196901475</c:v>
                </c:pt>
                <c:pt idx="10">
                  <c:v>36732.569606068122</c:v>
                </c:pt>
                <c:pt idx="11">
                  <c:v>34680.511992169595</c:v>
                </c:pt>
                <c:pt idx="12">
                  <c:v>32403.658730043157</c:v>
                </c:pt>
                <c:pt idx="13">
                  <c:v>35508.812521768261</c:v>
                </c:pt>
                <c:pt idx="14">
                  <c:v>35941.105410818527</c:v>
                </c:pt>
                <c:pt idx="15">
                  <c:v>33963.116291096536</c:v>
                </c:pt>
                <c:pt idx="16">
                  <c:v>32914.780165025935</c:v>
                </c:pt>
                <c:pt idx="17">
                  <c:v>32445.120911918573</c:v>
                </c:pt>
                <c:pt idx="18">
                  <c:v>31990.565971236058</c:v>
                </c:pt>
                <c:pt idx="19">
                  <c:v>32289.24525417422</c:v>
                </c:pt>
                <c:pt idx="20">
                  <c:v>31711.001898406819</c:v>
                </c:pt>
                <c:pt idx="21">
                  <c:v>35422.586446462752</c:v>
                </c:pt>
                <c:pt idx="22">
                  <c:v>34282.040956718803</c:v>
                </c:pt>
                <c:pt idx="23">
                  <c:v>34945.098383072902</c:v>
                </c:pt>
                <c:pt idx="24">
                  <c:v>38621.324049562187</c:v>
                </c:pt>
                <c:pt idx="25">
                  <c:v>38383.850922035439</c:v>
                </c:pt>
                <c:pt idx="26">
                  <c:v>34653.628288812826</c:v>
                </c:pt>
                <c:pt idx="27">
                  <c:v>32182.703823639818</c:v>
                </c:pt>
                <c:pt idx="28">
                  <c:v>31601.086567565497</c:v>
                </c:pt>
                <c:pt idx="29">
                  <c:v>31294.20643093645</c:v>
                </c:pt>
                <c:pt idx="30">
                  <c:v>31620.740058808082</c:v>
                </c:pt>
                <c:pt idx="31">
                  <c:v>31809.796047071832</c:v>
                </c:pt>
                <c:pt idx="32">
                  <c:v>31991.262787965821</c:v>
                </c:pt>
                <c:pt idx="33">
                  <c:v>31288.036730690059</c:v>
                </c:pt>
                <c:pt idx="34">
                  <c:v>30073.699460480479</c:v>
                </c:pt>
                <c:pt idx="35">
                  <c:v>26382.842847235312</c:v>
                </c:pt>
                <c:pt idx="36">
                  <c:v>23739.32974129471</c:v>
                </c:pt>
                <c:pt idx="37">
                  <c:v>23386.480544638231</c:v>
                </c:pt>
                <c:pt idx="38">
                  <c:v>23162.193234238552</c:v>
                </c:pt>
                <c:pt idx="39">
                  <c:v>23174.657878474056</c:v>
                </c:pt>
                <c:pt idx="40">
                  <c:v>23197.00272377317</c:v>
                </c:pt>
                <c:pt idx="41">
                  <c:v>23254.92583443872</c:v>
                </c:pt>
                <c:pt idx="42">
                  <c:v>23528.580585736301</c:v>
                </c:pt>
                <c:pt idx="43">
                  <c:v>23759.333630154757</c:v>
                </c:pt>
                <c:pt idx="44">
                  <c:v>24011.702251290099</c:v>
                </c:pt>
                <c:pt idx="45">
                  <c:v>24251.744018818332</c:v>
                </c:pt>
                <c:pt idx="46">
                  <c:v>24279.137740089442</c:v>
                </c:pt>
                <c:pt idx="47">
                  <c:v>24306.531461360541</c:v>
                </c:pt>
                <c:pt idx="48">
                  <c:v>24333.925182631698</c:v>
                </c:pt>
                <c:pt idx="49">
                  <c:v>24361.318903902757</c:v>
                </c:pt>
                <c:pt idx="50">
                  <c:v>24388.712625173881</c:v>
                </c:pt>
                <c:pt idx="51">
                  <c:v>24416.106346444973</c:v>
                </c:pt>
                <c:pt idx="52">
                  <c:v>24443.500067716097</c:v>
                </c:pt>
                <c:pt idx="53">
                  <c:v>24470.89378898721</c:v>
                </c:pt>
                <c:pt idx="54">
                  <c:v>24498.28751025832</c:v>
                </c:pt>
                <c:pt idx="55">
                  <c:v>24525.68123152943</c:v>
                </c:pt>
                <c:pt idx="56">
                  <c:v>24553.074952800507</c:v>
                </c:pt>
                <c:pt idx="57">
                  <c:v>24580.468674071661</c:v>
                </c:pt>
                <c:pt idx="58">
                  <c:v>24607.86239534276</c:v>
                </c:pt>
                <c:pt idx="59">
                  <c:v>24635.256116613869</c:v>
                </c:pt>
                <c:pt idx="60">
                  <c:v>24662.649837884939</c:v>
                </c:pt>
              </c:numCache>
            </c:numRef>
          </c:val>
          <c:extLst>
            <c:ext xmlns:c16="http://schemas.microsoft.com/office/drawing/2014/chart" uri="{C3380CC4-5D6E-409C-BE32-E72D297353CC}">
              <c16:uniqueId val="{00000008-7317-4848-BAE1-A73E76D6E612}"/>
            </c:ext>
          </c:extLst>
        </c:ser>
        <c:dLbls>
          <c:showLegendKey val="0"/>
          <c:showVal val="0"/>
          <c:showCatName val="0"/>
          <c:showSerName val="0"/>
          <c:showPercent val="0"/>
          <c:showBubbleSize val="0"/>
        </c:dLbls>
        <c:axId val="44597248"/>
        <c:axId val="44583168"/>
      </c:areaChart>
      <c:catAx>
        <c:axId val="44567168"/>
        <c:scaling>
          <c:orientation val="minMax"/>
        </c:scaling>
        <c:delete val="0"/>
        <c:axPos val="b"/>
        <c:numFmt formatCode="General" sourceLinked="1"/>
        <c:majorTickMark val="out"/>
        <c:minorTickMark val="none"/>
        <c:tickLblPos val="nextTo"/>
        <c:crossAx val="44581248"/>
        <c:crosses val="autoZero"/>
        <c:auto val="1"/>
        <c:lblAlgn val="ctr"/>
        <c:lblOffset val="100"/>
        <c:noMultiLvlLbl val="0"/>
      </c:catAx>
      <c:valAx>
        <c:axId val="44581248"/>
        <c:scaling>
          <c:orientation val="minMax"/>
        </c:scaling>
        <c:delete val="0"/>
        <c:axPos val="l"/>
        <c:majorGridlines/>
        <c:title>
          <c:tx>
            <c:rich>
              <a:bodyPr rot="-5400000" vert="horz"/>
              <a:lstStyle/>
              <a:p>
                <a:pPr>
                  <a:defRPr/>
                </a:pPr>
                <a:r>
                  <a:rPr lang="en-US"/>
                  <a:t>eCO2 (tonnes)</a:t>
                </a:r>
              </a:p>
            </c:rich>
          </c:tx>
          <c:overlay val="0"/>
        </c:title>
        <c:numFmt formatCode="#,##0" sourceLinked="1"/>
        <c:majorTickMark val="out"/>
        <c:minorTickMark val="none"/>
        <c:tickLblPos val="nextTo"/>
        <c:crossAx val="44567168"/>
        <c:crosses val="autoZero"/>
        <c:crossBetween val="midCat"/>
      </c:valAx>
      <c:valAx>
        <c:axId val="44583168"/>
        <c:scaling>
          <c:orientation val="minMax"/>
        </c:scaling>
        <c:delete val="0"/>
        <c:axPos val="r"/>
        <c:numFmt formatCode="#,##0_);[Red]\(#,##0\);&quot;-&quot;_)" sourceLinked="1"/>
        <c:majorTickMark val="out"/>
        <c:minorTickMark val="none"/>
        <c:tickLblPos val="none"/>
        <c:crossAx val="44597248"/>
        <c:crosses val="max"/>
        <c:crossBetween val="midCat"/>
      </c:valAx>
      <c:catAx>
        <c:axId val="44597248"/>
        <c:scaling>
          <c:orientation val="minMax"/>
        </c:scaling>
        <c:delete val="1"/>
        <c:axPos val="b"/>
        <c:majorTickMark val="out"/>
        <c:minorTickMark val="none"/>
        <c:tickLblPos val="none"/>
        <c:crossAx val="44583168"/>
        <c:crosses val="autoZero"/>
        <c:auto val="1"/>
        <c:lblAlgn val="ctr"/>
        <c:lblOffset val="100"/>
        <c:noMultiLvlLbl val="0"/>
      </c:catAx>
    </c:plotArea>
    <c:legend>
      <c:legendPos val="r"/>
      <c:layout>
        <c:manualLayout>
          <c:xMode val="edge"/>
          <c:yMode val="edge"/>
          <c:x val="0.14675681676429414"/>
          <c:y val="0.43224186982149027"/>
          <c:w val="0.33387862574870569"/>
          <c:h val="0.44014634120894902"/>
        </c:manualLayout>
      </c:layout>
      <c:overlay val="0"/>
      <c:spPr>
        <a:solidFill>
          <a:schemeClr val="bg1">
            <a:lumMod val="85000"/>
          </a:schemeClr>
        </a:solidFill>
      </c:spPr>
    </c:legend>
    <c:plotVisOnly val="1"/>
    <c:dispBlanksAs val="zero"/>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881973887879399"/>
          <c:y val="6.2327839650674295E-2"/>
          <c:w val="0.80734033245844272"/>
          <c:h val="0.80138451443569558"/>
        </c:manualLayout>
      </c:layout>
      <c:lineChart>
        <c:grouping val="standard"/>
        <c:varyColors val="0"/>
        <c:ser>
          <c:idx val="0"/>
          <c:order val="0"/>
          <c:tx>
            <c:v>Commuting</c:v>
          </c:tx>
          <c:spPr>
            <a:ln>
              <a:solidFill>
                <a:srgbClr val="FF0000"/>
              </a:solidFill>
            </a:ln>
          </c:spPr>
          <c:marker>
            <c:symbol val="none"/>
          </c:marke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BAU_Calc_CO2e!$V$8:$V$68</c:f>
              <c:numCache>
                <c:formatCode>#,##0</c:formatCode>
                <c:ptCount val="61"/>
                <c:pt idx="0">
                  <c:v>40262.538126188585</c:v>
                </c:pt>
                <c:pt idx="1">
                  <c:v>38199.894852545374</c:v>
                </c:pt>
                <c:pt idx="2">
                  <c:v>36852.208708819242</c:v>
                </c:pt>
                <c:pt idx="3">
                  <c:v>35524.588596431451</c:v>
                </c:pt>
                <c:pt idx="4">
                  <c:v>32815.528624867569</c:v>
                </c:pt>
                <c:pt idx="5">
                  <c:v>33124.372590400315</c:v>
                </c:pt>
                <c:pt idx="6">
                  <c:v>35660.389566989565</c:v>
                </c:pt>
                <c:pt idx="7">
                  <c:v>36130.956245350499</c:v>
                </c:pt>
                <c:pt idx="8">
                  <c:v>36351.409024399843</c:v>
                </c:pt>
                <c:pt idx="9">
                  <c:v>38412.227936554729</c:v>
                </c:pt>
                <c:pt idx="10">
                  <c:v>38663.75071888409</c:v>
                </c:pt>
                <c:pt idx="11">
                  <c:v>40564.465051860767</c:v>
                </c:pt>
                <c:pt idx="12">
                  <c:v>43399.562466645344</c:v>
                </c:pt>
                <c:pt idx="13">
                  <c:v>43085.168514813085</c:v>
                </c:pt>
                <c:pt idx="14">
                  <c:v>38395.957293179548</c:v>
                </c:pt>
                <c:pt idx="15">
                  <c:v>40777.630118417153</c:v>
                </c:pt>
                <c:pt idx="16">
                  <c:v>42118.28471227923</c:v>
                </c:pt>
                <c:pt idx="17">
                  <c:v>43296.471810405601</c:v>
                </c:pt>
                <c:pt idx="18">
                  <c:v>43699.17839339139</c:v>
                </c:pt>
                <c:pt idx="19">
                  <c:v>42438.967106759068</c:v>
                </c:pt>
                <c:pt idx="20">
                  <c:v>42580.621722590855</c:v>
                </c:pt>
                <c:pt idx="21">
                  <c:v>44273.800488204601</c:v>
                </c:pt>
                <c:pt idx="22">
                  <c:v>43486.637770686124</c:v>
                </c:pt>
                <c:pt idx="23">
                  <c:v>46030.031984095694</c:v>
                </c:pt>
                <c:pt idx="24">
                  <c:v>48217.990434710111</c:v>
                </c:pt>
                <c:pt idx="25">
                  <c:v>47356.250919921702</c:v>
                </c:pt>
                <c:pt idx="26">
                  <c:v>44235.064897378863</c:v>
                </c:pt>
                <c:pt idx="27">
                  <c:v>41320.050353182814</c:v>
                </c:pt>
                <c:pt idx="28">
                  <c:v>38597.56389161793</c:v>
                </c:pt>
                <c:pt idx="29">
                  <c:v>37342.540085965295</c:v>
                </c:pt>
                <c:pt idx="30">
                  <c:v>36128.740520068211</c:v>
                </c:pt>
                <c:pt idx="31">
                  <c:v>34954.802837859446</c:v>
                </c:pt>
                <c:pt idx="32">
                  <c:v>33819.409867406241</c:v>
                </c:pt>
                <c:pt idx="33">
                  <c:v>32721.288119173129</c:v>
                </c:pt>
                <c:pt idx="34">
                  <c:v>31659.206334257662</c:v>
                </c:pt>
                <c:pt idx="35">
                  <c:v>30631.974080934895</c:v>
                </c:pt>
                <c:pt idx="36">
                  <c:v>29204.252313302364</c:v>
                </c:pt>
                <c:pt idx="37">
                  <c:v>27839.785021193053</c:v>
                </c:pt>
                <c:pt idx="38">
                  <c:v>26539.405986551785</c:v>
                </c:pt>
                <c:pt idx="39">
                  <c:v>25300.093361644736</c:v>
                </c:pt>
                <c:pt idx="40">
                  <c:v>24118.968182633998</c:v>
                </c:pt>
                <c:pt idx="41">
                  <c:v>22993.287599859341</c:v>
                </c:pt>
                <c:pt idx="42">
                  <c:v>21920.438429328486</c:v>
                </c:pt>
                <c:pt idx="43">
                  <c:v>20897.931010159242</c:v>
                </c:pt>
                <c:pt idx="44">
                  <c:v>19923.3933534424</c:v>
                </c:pt>
                <c:pt idx="45">
                  <c:v>19486.145861562614</c:v>
                </c:pt>
                <c:pt idx="46">
                  <c:v>19486.145861562614</c:v>
                </c:pt>
                <c:pt idx="47">
                  <c:v>19486.145861562614</c:v>
                </c:pt>
                <c:pt idx="48">
                  <c:v>19486.145861562614</c:v>
                </c:pt>
                <c:pt idx="49">
                  <c:v>19486.145861562614</c:v>
                </c:pt>
                <c:pt idx="50">
                  <c:v>19486.145861562614</c:v>
                </c:pt>
                <c:pt idx="51">
                  <c:v>19486.145861562614</c:v>
                </c:pt>
                <c:pt idx="52">
                  <c:v>19486.145861562614</c:v>
                </c:pt>
                <c:pt idx="53">
                  <c:v>19486.145861562614</c:v>
                </c:pt>
                <c:pt idx="54">
                  <c:v>19486.145861562614</c:v>
                </c:pt>
                <c:pt idx="55">
                  <c:v>19486.145861562614</c:v>
                </c:pt>
                <c:pt idx="56">
                  <c:v>19486.145861562614</c:v>
                </c:pt>
                <c:pt idx="57">
                  <c:v>19486.145861562614</c:v>
                </c:pt>
                <c:pt idx="58">
                  <c:v>19486.145861562614</c:v>
                </c:pt>
                <c:pt idx="59">
                  <c:v>19486.145861562614</c:v>
                </c:pt>
                <c:pt idx="60">
                  <c:v>19486.145861562614</c:v>
                </c:pt>
              </c:numCache>
            </c:numRef>
          </c:val>
          <c:smooth val="0"/>
          <c:extLst>
            <c:ext xmlns:c16="http://schemas.microsoft.com/office/drawing/2014/chart" uri="{C3380CC4-5D6E-409C-BE32-E72D297353CC}">
              <c16:uniqueId val="{00000000-C74A-42AB-B108-7D0410A14307}"/>
            </c:ext>
          </c:extLst>
        </c:ser>
        <c:ser>
          <c:idx val="1"/>
          <c:order val="1"/>
          <c:tx>
            <c:v>Business Travel</c:v>
          </c:tx>
          <c:spPr>
            <a:ln>
              <a:solidFill>
                <a:schemeClr val="accent2"/>
              </a:solidFill>
            </a:ln>
          </c:spPr>
          <c:marker>
            <c:symbol val="none"/>
          </c:marke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BAU_Calc_CO2e!$Q$8:$Q$68</c:f>
              <c:numCache>
                <c:formatCode>General</c:formatCode>
                <c:ptCount val="61"/>
                <c:pt idx="0">
                  <c:v>2162.0965954539924</c:v>
                </c:pt>
                <c:pt idx="1">
                  <c:v>2189.1774012960418</c:v>
                </c:pt>
                <c:pt idx="2">
                  <c:v>2162.0965954539924</c:v>
                </c:pt>
                <c:pt idx="3">
                  <c:v>2214.5110583740889</c:v>
                </c:pt>
                <c:pt idx="4">
                  <c:v>2411.9388687064534</c:v>
                </c:pt>
                <c:pt idx="5">
                  <c:v>2370.0072983703762</c:v>
                </c:pt>
                <c:pt idx="6">
                  <c:v>2422.4217612904731</c:v>
                </c:pt>
                <c:pt idx="7">
                  <c:v>2489.6869887045968</c:v>
                </c:pt>
                <c:pt idx="8">
                  <c:v>2862.7032498192857</c:v>
                </c:pt>
                <c:pt idx="9">
                  <c:v>3268.9153374500361</c:v>
                </c:pt>
                <c:pt idx="10">
                  <c:v>3156.2242421718279</c:v>
                </c:pt>
                <c:pt idx="11">
                  <c:v>3132.6377338577845</c:v>
                </c:pt>
                <c:pt idx="12">
                  <c:v>3285.5132507080666</c:v>
                </c:pt>
                <c:pt idx="13">
                  <c:v>3477.699614748421</c:v>
                </c:pt>
                <c:pt idx="14">
                  <c:v>3066.2460808256615</c:v>
                </c:pt>
                <c:pt idx="15">
                  <c:v>3281.1453787980586</c:v>
                </c:pt>
                <c:pt idx="16">
                  <c:v>3280.2718044160565</c:v>
                </c:pt>
                <c:pt idx="17">
                  <c:v>3415.6758336263065</c:v>
                </c:pt>
                <c:pt idx="18">
                  <c:v>3234.845936551973</c:v>
                </c:pt>
                <c:pt idx="19">
                  <c:v>3123.0284156557664</c:v>
                </c:pt>
                <c:pt idx="20">
                  <c:v>2684.1417198022295</c:v>
                </c:pt>
                <c:pt idx="21">
                  <c:v>4234.7461282453105</c:v>
                </c:pt>
                <c:pt idx="22">
                  <c:v>2844.5284024633306</c:v>
                </c:pt>
                <c:pt idx="23">
                  <c:v>3019.9147597324941</c:v>
                </c:pt>
                <c:pt idx="24">
                  <c:v>3479.2035034887449</c:v>
                </c:pt>
                <c:pt idx="25">
                  <c:v>3585.0029303048268</c:v>
                </c:pt>
                <c:pt idx="26">
                  <c:v>3513.3028716987305</c:v>
                </c:pt>
                <c:pt idx="27">
                  <c:v>3443.0368142647553</c:v>
                </c:pt>
                <c:pt idx="28">
                  <c:v>3374.1760779794608</c:v>
                </c:pt>
                <c:pt idx="29">
                  <c:v>3424.7887191491518</c:v>
                </c:pt>
                <c:pt idx="30">
                  <c:v>3476.1605499363886</c:v>
                </c:pt>
                <c:pt idx="31">
                  <c:v>3528.3029581854344</c:v>
                </c:pt>
                <c:pt idx="32">
                  <c:v>3581.2275025582153</c:v>
                </c:pt>
                <c:pt idx="33">
                  <c:v>3634.9459150965886</c:v>
                </c:pt>
                <c:pt idx="34">
                  <c:v>3689.4701038230382</c:v>
                </c:pt>
                <c:pt idx="35">
                  <c:v>3744.8121553803821</c:v>
                </c:pt>
                <c:pt idx="36">
                  <c:v>3745.3018494617918</c:v>
                </c:pt>
                <c:pt idx="37">
                  <c:v>3745.3018494617918</c:v>
                </c:pt>
                <c:pt idx="38">
                  <c:v>3745.3018494617918</c:v>
                </c:pt>
                <c:pt idx="39">
                  <c:v>3745.3018494617918</c:v>
                </c:pt>
                <c:pt idx="40">
                  <c:v>3745.3018494617918</c:v>
                </c:pt>
                <c:pt idx="41">
                  <c:v>3745.3018494617918</c:v>
                </c:pt>
                <c:pt idx="42">
                  <c:v>3745.3018494617918</c:v>
                </c:pt>
                <c:pt idx="43">
                  <c:v>3745.3018494617918</c:v>
                </c:pt>
                <c:pt idx="44">
                  <c:v>3745.3018494617918</c:v>
                </c:pt>
                <c:pt idx="45">
                  <c:v>3745.3018494617918</c:v>
                </c:pt>
                <c:pt idx="46">
                  <c:v>3745.3018494617918</c:v>
                </c:pt>
                <c:pt idx="47">
                  <c:v>3745.3018494617918</c:v>
                </c:pt>
                <c:pt idx="48">
                  <c:v>3745.3018494617918</c:v>
                </c:pt>
                <c:pt idx="49">
                  <c:v>3745.3018494617918</c:v>
                </c:pt>
                <c:pt idx="50">
                  <c:v>3745.3018494617918</c:v>
                </c:pt>
                <c:pt idx="51">
                  <c:v>3745.3018494617918</c:v>
                </c:pt>
                <c:pt idx="52">
                  <c:v>3745.3018494617918</c:v>
                </c:pt>
                <c:pt idx="53">
                  <c:v>3745.3018494617918</c:v>
                </c:pt>
                <c:pt idx="54">
                  <c:v>3745.3018494617918</c:v>
                </c:pt>
                <c:pt idx="55">
                  <c:v>3745.3018494617918</c:v>
                </c:pt>
                <c:pt idx="56">
                  <c:v>3745.3018494617918</c:v>
                </c:pt>
                <c:pt idx="57">
                  <c:v>3745.3018494617918</c:v>
                </c:pt>
                <c:pt idx="58">
                  <c:v>3745.3018494617918</c:v>
                </c:pt>
                <c:pt idx="59">
                  <c:v>3745.3018494617918</c:v>
                </c:pt>
                <c:pt idx="60">
                  <c:v>3745.3018494617918</c:v>
                </c:pt>
              </c:numCache>
            </c:numRef>
          </c:val>
          <c:smooth val="0"/>
          <c:extLst>
            <c:ext xmlns:c16="http://schemas.microsoft.com/office/drawing/2014/chart" uri="{C3380CC4-5D6E-409C-BE32-E72D297353CC}">
              <c16:uniqueId val="{00000001-C74A-42AB-B108-7D0410A14307}"/>
            </c:ext>
          </c:extLst>
        </c:ser>
        <c:ser>
          <c:idx val="2"/>
          <c:order val="2"/>
          <c:tx>
            <c:v>Electricity T&amp;D</c:v>
          </c:tx>
          <c:spPr>
            <a:ln>
              <a:solidFill>
                <a:schemeClr val="tx2"/>
              </a:solidFill>
            </a:ln>
          </c:spPr>
          <c:marker>
            <c:symbol val="none"/>
          </c:marke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BAU_Calc_CO2e!$P$8:$P$68</c:f>
              <c:numCache>
                <c:formatCode>#,##0</c:formatCode>
                <c:ptCount val="61"/>
                <c:pt idx="0">
                  <c:v>2386.4169326831238</c:v>
                </c:pt>
                <c:pt idx="1">
                  <c:v>2535.1054374275564</c:v>
                </c:pt>
                <c:pt idx="2">
                  <c:v>2772.1818083672638</c:v>
                </c:pt>
                <c:pt idx="3">
                  <c:v>2647.4037639638077</c:v>
                </c:pt>
                <c:pt idx="4">
                  <c:v>2598.3222080882897</c:v>
                </c:pt>
                <c:pt idx="5">
                  <c:v>3221.3337149129688</c:v>
                </c:pt>
                <c:pt idx="6">
                  <c:v>3428.5952772803489</c:v>
                </c:pt>
                <c:pt idx="7">
                  <c:v>3461.6206073838348</c:v>
                </c:pt>
                <c:pt idx="8">
                  <c:v>3183.8303397480677</c:v>
                </c:pt>
                <c:pt idx="9">
                  <c:v>3281.9222024408082</c:v>
                </c:pt>
                <c:pt idx="10">
                  <c:v>3129.3194302155289</c:v>
                </c:pt>
                <c:pt idx="11">
                  <c:v>2965.4524878873249</c:v>
                </c:pt>
                <c:pt idx="12">
                  <c:v>2811.2081285643803</c:v>
                </c:pt>
                <c:pt idx="13">
                  <c:v>3081.0146674152111</c:v>
                </c:pt>
                <c:pt idx="14">
                  <c:v>3050.2835203913937</c:v>
                </c:pt>
                <c:pt idx="15">
                  <c:v>2829.0252116409683</c:v>
                </c:pt>
                <c:pt idx="16">
                  <c:v>2771.2208581908062</c:v>
                </c:pt>
                <c:pt idx="17">
                  <c:v>2415.0135314490917</c:v>
                </c:pt>
                <c:pt idx="18">
                  <c:v>2500.2501941626874</c:v>
                </c:pt>
                <c:pt idx="19">
                  <c:v>2370.8681754828353</c:v>
                </c:pt>
                <c:pt idx="20">
                  <c:v>2211.7985950981456</c:v>
                </c:pt>
                <c:pt idx="21">
                  <c:v>2663.695611144668</c:v>
                </c:pt>
                <c:pt idx="22">
                  <c:v>2557.4970230049362</c:v>
                </c:pt>
                <c:pt idx="23">
                  <c:v>2632.159762401056</c:v>
                </c:pt>
                <c:pt idx="24">
                  <c:v>2642.7522400262146</c:v>
                </c:pt>
                <c:pt idx="25">
                  <c:v>2642.8270697427902</c:v>
                </c:pt>
                <c:pt idx="26">
                  <c:v>2642.9018994593644</c:v>
                </c:pt>
                <c:pt idx="27">
                  <c:v>2642.9767291759399</c:v>
                </c:pt>
                <c:pt idx="28">
                  <c:v>2643.0515588925145</c:v>
                </c:pt>
                <c:pt idx="29">
                  <c:v>2643.1263886090901</c:v>
                </c:pt>
                <c:pt idx="30">
                  <c:v>2670.1197687058921</c:v>
                </c:pt>
                <c:pt idx="31">
                  <c:v>2697.1131488026945</c:v>
                </c:pt>
                <c:pt idx="32">
                  <c:v>2724.1065288994973</c:v>
                </c:pt>
                <c:pt idx="33">
                  <c:v>2751.0999089962997</c:v>
                </c:pt>
                <c:pt idx="34">
                  <c:v>2778.0932890931022</c:v>
                </c:pt>
                <c:pt idx="35">
                  <c:v>2805.086669189905</c:v>
                </c:pt>
                <c:pt idx="36">
                  <c:v>2832.080049286707</c:v>
                </c:pt>
                <c:pt idx="37">
                  <c:v>2859.0734293835098</c:v>
                </c:pt>
                <c:pt idx="38">
                  <c:v>2886.0668094803118</c:v>
                </c:pt>
                <c:pt idx="39">
                  <c:v>2913.0601895771142</c:v>
                </c:pt>
                <c:pt idx="40">
                  <c:v>2940.0535696739166</c:v>
                </c:pt>
                <c:pt idx="41">
                  <c:v>2967.0469497707199</c:v>
                </c:pt>
                <c:pt idx="42">
                  <c:v>2994.0403298675224</c:v>
                </c:pt>
                <c:pt idx="43">
                  <c:v>3021.0337099643248</c:v>
                </c:pt>
                <c:pt idx="44">
                  <c:v>3048.0270900611267</c:v>
                </c:pt>
                <c:pt idx="45">
                  <c:v>3075.0204701579287</c:v>
                </c:pt>
                <c:pt idx="46">
                  <c:v>3075.0204701579287</c:v>
                </c:pt>
                <c:pt idx="47">
                  <c:v>3075.0204701579287</c:v>
                </c:pt>
                <c:pt idx="48">
                  <c:v>3075.0204701579287</c:v>
                </c:pt>
                <c:pt idx="49">
                  <c:v>3075.0204701579287</c:v>
                </c:pt>
                <c:pt idx="50">
                  <c:v>3075.0204701579287</c:v>
                </c:pt>
                <c:pt idx="51">
                  <c:v>3075.0204701579287</c:v>
                </c:pt>
                <c:pt idx="52">
                  <c:v>3075.0204701579287</c:v>
                </c:pt>
                <c:pt idx="53">
                  <c:v>3075.0204701579287</c:v>
                </c:pt>
                <c:pt idx="54">
                  <c:v>3075.0204701579287</c:v>
                </c:pt>
                <c:pt idx="55">
                  <c:v>3075.0204701579287</c:v>
                </c:pt>
                <c:pt idx="56">
                  <c:v>3075.0204701579287</c:v>
                </c:pt>
                <c:pt idx="57">
                  <c:v>3075.0204701579287</c:v>
                </c:pt>
                <c:pt idx="58">
                  <c:v>3075.0204701579287</c:v>
                </c:pt>
                <c:pt idx="59">
                  <c:v>3075.0204701579287</c:v>
                </c:pt>
                <c:pt idx="60">
                  <c:v>3075.0204701579287</c:v>
                </c:pt>
              </c:numCache>
            </c:numRef>
          </c:val>
          <c:smooth val="0"/>
          <c:extLst>
            <c:ext xmlns:c16="http://schemas.microsoft.com/office/drawing/2014/chart" uri="{C3380CC4-5D6E-409C-BE32-E72D297353CC}">
              <c16:uniqueId val="{00000002-C74A-42AB-B108-7D0410A14307}"/>
            </c:ext>
          </c:extLst>
        </c:ser>
        <c:ser>
          <c:idx val="4"/>
          <c:order val="4"/>
          <c:tx>
            <c:v>Business Travel with strategies</c:v>
          </c:tx>
          <c:spPr>
            <a:ln>
              <a:solidFill>
                <a:schemeClr val="bg1">
                  <a:lumMod val="75000"/>
                </a:schemeClr>
              </a:solidFill>
              <a:prstDash val="sysDash"/>
            </a:ln>
          </c:spPr>
          <c:marker>
            <c:symbol val="none"/>
          </c:marker>
          <c:val>
            <c:numRef>
              <c:f>Calc_CO2e!$Q$8:$Q$68</c:f>
              <c:numCache>
                <c:formatCode>General</c:formatCode>
                <c:ptCount val="61"/>
                <c:pt idx="0">
                  <c:v>2162.0965954539924</c:v>
                </c:pt>
                <c:pt idx="1">
                  <c:v>2189.1774012960418</c:v>
                </c:pt>
                <c:pt idx="2">
                  <c:v>2162.0965954539924</c:v>
                </c:pt>
                <c:pt idx="3">
                  <c:v>2214.5110583740889</c:v>
                </c:pt>
                <c:pt idx="4">
                  <c:v>2411.9388687064534</c:v>
                </c:pt>
                <c:pt idx="5">
                  <c:v>2370.0072983703762</c:v>
                </c:pt>
                <c:pt idx="6">
                  <c:v>2422.4217612904731</c:v>
                </c:pt>
                <c:pt idx="7">
                  <c:v>2489.6869887045968</c:v>
                </c:pt>
                <c:pt idx="8">
                  <c:v>2862.7032498192857</c:v>
                </c:pt>
                <c:pt idx="9">
                  <c:v>3268.9153374500361</c:v>
                </c:pt>
                <c:pt idx="10">
                  <c:v>3156.2242421718279</c:v>
                </c:pt>
                <c:pt idx="11">
                  <c:v>3132.6377338577845</c:v>
                </c:pt>
                <c:pt idx="12">
                  <c:v>3285.5132507080666</c:v>
                </c:pt>
                <c:pt idx="13">
                  <c:v>3477.699614748421</c:v>
                </c:pt>
                <c:pt idx="14">
                  <c:v>3066.2460808256615</c:v>
                </c:pt>
                <c:pt idx="15">
                  <c:v>3281.1453787980586</c:v>
                </c:pt>
                <c:pt idx="16">
                  <c:v>3280.2718044160565</c:v>
                </c:pt>
                <c:pt idx="17">
                  <c:v>3415.6758336263065</c:v>
                </c:pt>
                <c:pt idx="18">
                  <c:v>3234.845936551973</c:v>
                </c:pt>
                <c:pt idx="19">
                  <c:v>3123.0284156557664</c:v>
                </c:pt>
                <c:pt idx="20">
                  <c:v>2684.1417198022295</c:v>
                </c:pt>
                <c:pt idx="21">
                  <c:v>4234.7461282453105</c:v>
                </c:pt>
                <c:pt idx="22">
                  <c:v>2844.5284024633306</c:v>
                </c:pt>
                <c:pt idx="23">
                  <c:v>3019.9147597324941</c:v>
                </c:pt>
                <c:pt idx="24">
                  <c:v>3479.2035034887449</c:v>
                </c:pt>
                <c:pt idx="25">
                  <c:v>3585.0029303048268</c:v>
                </c:pt>
                <c:pt idx="26">
                  <c:v>3513.3028716987305</c:v>
                </c:pt>
                <c:pt idx="27">
                  <c:v>3408.6064461221081</c:v>
                </c:pt>
                <c:pt idx="28">
                  <c:v>3306.6925564198714</c:v>
                </c:pt>
                <c:pt idx="29">
                  <c:v>3322.0450575746768</c:v>
                </c:pt>
                <c:pt idx="30">
                  <c:v>3337.1141279389331</c:v>
                </c:pt>
                <c:pt idx="31">
                  <c:v>3351.8878102761623</c:v>
                </c:pt>
                <c:pt idx="32">
                  <c:v>3402.1661274303046</c:v>
                </c:pt>
                <c:pt idx="33">
                  <c:v>3453.1986193417588</c:v>
                </c:pt>
                <c:pt idx="34">
                  <c:v>3504.9965986318866</c:v>
                </c:pt>
                <c:pt idx="35">
                  <c:v>3557.5715476113623</c:v>
                </c:pt>
                <c:pt idx="36">
                  <c:v>3558.0367569887021</c:v>
                </c:pt>
                <c:pt idx="37">
                  <c:v>3558.0367569887021</c:v>
                </c:pt>
                <c:pt idx="38">
                  <c:v>3558.0367569887021</c:v>
                </c:pt>
                <c:pt idx="39">
                  <c:v>3558.0367569887021</c:v>
                </c:pt>
                <c:pt idx="40">
                  <c:v>3558.0367569887021</c:v>
                </c:pt>
                <c:pt idx="41">
                  <c:v>3558.0367569887021</c:v>
                </c:pt>
                <c:pt idx="42">
                  <c:v>3558.0367569887021</c:v>
                </c:pt>
                <c:pt idx="43">
                  <c:v>3558.0367569887021</c:v>
                </c:pt>
                <c:pt idx="44">
                  <c:v>3558.0367569887021</c:v>
                </c:pt>
                <c:pt idx="45">
                  <c:v>3558.0367569887021</c:v>
                </c:pt>
                <c:pt idx="46">
                  <c:v>3558.0367569887021</c:v>
                </c:pt>
                <c:pt idx="47">
                  <c:v>3558.0367569887021</c:v>
                </c:pt>
                <c:pt idx="48">
                  <c:v>3558.0367569887021</c:v>
                </c:pt>
                <c:pt idx="49">
                  <c:v>3558.0367569887021</c:v>
                </c:pt>
                <c:pt idx="50">
                  <c:v>3558.0367569887021</c:v>
                </c:pt>
                <c:pt idx="51">
                  <c:v>3558.0367569887021</c:v>
                </c:pt>
                <c:pt idx="52">
                  <c:v>3558.0367569887021</c:v>
                </c:pt>
                <c:pt idx="53">
                  <c:v>3558.0367569887021</c:v>
                </c:pt>
                <c:pt idx="54">
                  <c:v>3558.0367569887021</c:v>
                </c:pt>
                <c:pt idx="55">
                  <c:v>3558.0367569887021</c:v>
                </c:pt>
                <c:pt idx="56">
                  <c:v>3558.0367569887021</c:v>
                </c:pt>
                <c:pt idx="57">
                  <c:v>3558.0367569887021</c:v>
                </c:pt>
                <c:pt idx="58">
                  <c:v>3558.0367569887021</c:v>
                </c:pt>
                <c:pt idx="59">
                  <c:v>3558.0367569887021</c:v>
                </c:pt>
                <c:pt idx="60">
                  <c:v>3558.0367569887021</c:v>
                </c:pt>
              </c:numCache>
            </c:numRef>
          </c:val>
          <c:smooth val="0"/>
          <c:extLst>
            <c:ext xmlns:c16="http://schemas.microsoft.com/office/drawing/2014/chart" uri="{C3380CC4-5D6E-409C-BE32-E72D297353CC}">
              <c16:uniqueId val="{00000003-C74A-42AB-B108-7D0410A14307}"/>
            </c:ext>
          </c:extLst>
        </c:ser>
        <c:ser>
          <c:idx val="5"/>
          <c:order val="5"/>
          <c:tx>
            <c:v>Commuting with strategies</c:v>
          </c:tx>
          <c:spPr>
            <a:ln>
              <a:solidFill>
                <a:srgbClr val="99FF66"/>
              </a:solidFill>
              <a:prstDash val="sysDash"/>
            </a:ln>
          </c:spPr>
          <c:marker>
            <c:symbol val="none"/>
          </c:marker>
          <c:val>
            <c:numRef>
              <c:f>Commuting!$AZ$11:$AZ$71</c:f>
              <c:numCache>
                <c:formatCode>#,##0</c:formatCode>
                <c:ptCount val="61"/>
                <c:pt idx="0">
                  <c:v>40262.538126188585</c:v>
                </c:pt>
                <c:pt idx="1">
                  <c:v>38199.894852545374</c:v>
                </c:pt>
                <c:pt idx="2">
                  <c:v>36852.208708819242</c:v>
                </c:pt>
                <c:pt idx="3">
                  <c:v>35524.588596431451</c:v>
                </c:pt>
                <c:pt idx="4">
                  <c:v>32815.528624867569</c:v>
                </c:pt>
                <c:pt idx="5">
                  <c:v>33124.372590400315</c:v>
                </c:pt>
                <c:pt idx="6">
                  <c:v>35660.389566989565</c:v>
                </c:pt>
                <c:pt idx="7">
                  <c:v>36130.956245350499</c:v>
                </c:pt>
                <c:pt idx="8">
                  <c:v>36351.409024399843</c:v>
                </c:pt>
                <c:pt idx="9">
                  <c:v>38412.227936554729</c:v>
                </c:pt>
                <c:pt idx="10">
                  <c:v>38663.75071888409</c:v>
                </c:pt>
                <c:pt idx="11">
                  <c:v>40564.465051860767</c:v>
                </c:pt>
                <c:pt idx="12">
                  <c:v>43399.562466645344</c:v>
                </c:pt>
                <c:pt idx="13">
                  <c:v>43085.168514813085</c:v>
                </c:pt>
                <c:pt idx="14">
                  <c:v>38395.957293179548</c:v>
                </c:pt>
                <c:pt idx="15">
                  <c:v>40777.630118417153</c:v>
                </c:pt>
                <c:pt idx="16">
                  <c:v>42118.28471227923</c:v>
                </c:pt>
                <c:pt idx="17">
                  <c:v>43296.471810405601</c:v>
                </c:pt>
                <c:pt idx="18">
                  <c:v>43699.17839339139</c:v>
                </c:pt>
                <c:pt idx="19">
                  <c:v>42438.967106759068</c:v>
                </c:pt>
                <c:pt idx="20">
                  <c:v>42580.621722590855</c:v>
                </c:pt>
                <c:pt idx="21">
                  <c:v>44273.800488204601</c:v>
                </c:pt>
                <c:pt idx="22">
                  <c:v>43486.637770686124</c:v>
                </c:pt>
                <c:pt idx="23">
                  <c:v>46030.031984095694</c:v>
                </c:pt>
                <c:pt idx="24">
                  <c:v>48217.990434710111</c:v>
                </c:pt>
                <c:pt idx="25">
                  <c:v>46910.186602271307</c:v>
                </c:pt>
                <c:pt idx="26">
                  <c:v>43407.934177065108</c:v>
                </c:pt>
                <c:pt idx="27">
                  <c:v>40169.91114065799</c:v>
                </c:pt>
                <c:pt idx="28">
                  <c:v>37176.18217270929</c:v>
                </c:pt>
                <c:pt idx="29">
                  <c:v>35637.176274617872</c:v>
                </c:pt>
                <c:pt idx="30">
                  <c:v>34164.803931352166</c:v>
                </c:pt>
                <c:pt idx="31">
                  <c:v>32756.263079157809</c:v>
                </c:pt>
                <c:pt idx="32">
                  <c:v>31408.865126129534</c:v>
                </c:pt>
                <c:pt idx="33">
                  <c:v>30120.030499659621</c:v>
                </c:pt>
                <c:pt idx="34">
                  <c:v>28887.284364425162</c:v>
                </c:pt>
                <c:pt idx="35">
                  <c:v>27708.252504501004</c:v>
                </c:pt>
                <c:pt idx="36">
                  <c:v>26191.264245800132</c:v>
                </c:pt>
                <c:pt idx="37">
                  <c:v>24757.35792832599</c:v>
                </c:pt>
                <c:pt idx="38">
                  <c:v>23405.215393545903</c:v>
                </c:pt>
                <c:pt idx="39">
                  <c:v>22130.172709790437</c:v>
                </c:pt>
                <c:pt idx="40">
                  <c:v>20927.828156472013</c:v>
                </c:pt>
                <c:pt idx="41">
                  <c:v>19794.027742082711</c:v>
                </c:pt>
                <c:pt idx="42">
                  <c:v>18724.851508693078</c:v>
                </c:pt>
                <c:pt idx="43">
                  <c:v>17716.600580858856</c:v>
                </c:pt>
                <c:pt idx="44">
                  <c:v>16765.784919067646</c:v>
                </c:pt>
                <c:pt idx="45">
                  <c:v>16270.242662260742</c:v>
                </c:pt>
                <c:pt idx="46">
                  <c:v>16117.104414674932</c:v>
                </c:pt>
                <c:pt idx="47">
                  <c:v>15963.966167089131</c:v>
                </c:pt>
                <c:pt idx="48">
                  <c:v>15810.827919503326</c:v>
                </c:pt>
                <c:pt idx="49">
                  <c:v>15657.689671917524</c:v>
                </c:pt>
                <c:pt idx="50">
                  <c:v>15504.551424331719</c:v>
                </c:pt>
                <c:pt idx="51">
                  <c:v>15504.551424331719</c:v>
                </c:pt>
                <c:pt idx="52">
                  <c:v>15504.551424331719</c:v>
                </c:pt>
                <c:pt idx="53">
                  <c:v>15504.551424331719</c:v>
                </c:pt>
                <c:pt idx="54">
                  <c:v>15504.551424331719</c:v>
                </c:pt>
                <c:pt idx="55">
                  <c:v>15504.551424331719</c:v>
                </c:pt>
                <c:pt idx="56">
                  <c:v>15504.551424331719</c:v>
                </c:pt>
                <c:pt idx="57">
                  <c:v>15504.551424331719</c:v>
                </c:pt>
                <c:pt idx="58">
                  <c:v>15504.551424331719</c:v>
                </c:pt>
                <c:pt idx="59">
                  <c:v>15504.551424331719</c:v>
                </c:pt>
                <c:pt idx="60">
                  <c:v>15504.551424331719</c:v>
                </c:pt>
              </c:numCache>
            </c:numRef>
          </c:val>
          <c:smooth val="0"/>
          <c:extLst>
            <c:ext xmlns:c16="http://schemas.microsoft.com/office/drawing/2014/chart" uri="{C3380CC4-5D6E-409C-BE32-E72D297353CC}">
              <c16:uniqueId val="{00000004-C74A-42AB-B108-7D0410A14307}"/>
            </c:ext>
          </c:extLst>
        </c:ser>
        <c:ser>
          <c:idx val="6"/>
          <c:order val="6"/>
          <c:tx>
            <c:v>Electricity T&amp;D with strategies</c:v>
          </c:tx>
          <c:spPr>
            <a:ln>
              <a:solidFill>
                <a:schemeClr val="accent1">
                  <a:lumMod val="40000"/>
                  <a:lumOff val="60000"/>
                </a:schemeClr>
              </a:solidFill>
              <a:prstDash val="sysDash"/>
            </a:ln>
          </c:spPr>
          <c:marker>
            <c:symbol val="none"/>
          </c:marker>
          <c:val>
            <c:numRef>
              <c:f>Calc_CO2e!$P$8:$P$68</c:f>
              <c:numCache>
                <c:formatCode>#,##0</c:formatCode>
                <c:ptCount val="61"/>
                <c:pt idx="0">
                  <c:v>2386.4169326831238</c:v>
                </c:pt>
                <c:pt idx="1">
                  <c:v>2535.1054374275564</c:v>
                </c:pt>
                <c:pt idx="2">
                  <c:v>2772.1818083672638</c:v>
                </c:pt>
                <c:pt idx="3">
                  <c:v>2647.4037639638077</c:v>
                </c:pt>
                <c:pt idx="4">
                  <c:v>2598.3222080882897</c:v>
                </c:pt>
                <c:pt idx="5">
                  <c:v>3221.3337149129688</c:v>
                </c:pt>
                <c:pt idx="6">
                  <c:v>3428.5952772803489</c:v>
                </c:pt>
                <c:pt idx="7">
                  <c:v>3461.6206073838348</c:v>
                </c:pt>
                <c:pt idx="8">
                  <c:v>3183.8303397480677</c:v>
                </c:pt>
                <c:pt idx="9">
                  <c:v>3281.9222024408082</c:v>
                </c:pt>
                <c:pt idx="10">
                  <c:v>3129.3194302155289</c:v>
                </c:pt>
                <c:pt idx="11">
                  <c:v>2965.4524878873249</c:v>
                </c:pt>
                <c:pt idx="12">
                  <c:v>2811.2081285643803</c:v>
                </c:pt>
                <c:pt idx="13">
                  <c:v>3081.0146674152111</c:v>
                </c:pt>
                <c:pt idx="14">
                  <c:v>3050.2835203913937</c:v>
                </c:pt>
                <c:pt idx="15">
                  <c:v>2829.0252116409683</c:v>
                </c:pt>
                <c:pt idx="16">
                  <c:v>2771.2208581908062</c:v>
                </c:pt>
                <c:pt idx="17">
                  <c:v>2415.0135314490917</c:v>
                </c:pt>
                <c:pt idx="18">
                  <c:v>2500.2501941626874</c:v>
                </c:pt>
                <c:pt idx="19">
                  <c:v>2370.8681754828353</c:v>
                </c:pt>
                <c:pt idx="20">
                  <c:v>2211.7985950981456</c:v>
                </c:pt>
                <c:pt idx="21">
                  <c:v>2663.695611144668</c:v>
                </c:pt>
                <c:pt idx="22">
                  <c:v>2557.4970230049362</c:v>
                </c:pt>
                <c:pt idx="23">
                  <c:v>2632.159762401056</c:v>
                </c:pt>
                <c:pt idx="24">
                  <c:v>2642.7522400262146</c:v>
                </c:pt>
                <c:pt idx="25">
                  <c:v>2642.8270697427902</c:v>
                </c:pt>
                <c:pt idx="26">
                  <c:v>2470.5384218921708</c:v>
                </c:pt>
                <c:pt idx="27">
                  <c:v>2241.0615168414574</c:v>
                </c:pt>
                <c:pt idx="28">
                  <c:v>1950.2174675818505</c:v>
                </c:pt>
                <c:pt idx="29">
                  <c:v>1714.3004310487363</c:v>
                </c:pt>
                <c:pt idx="30">
                  <c:v>1538.7434072755514</c:v>
                </c:pt>
                <c:pt idx="31">
                  <c:v>1371.7725920704013</c:v>
                </c:pt>
                <c:pt idx="32">
                  <c:v>1145.9360802260521</c:v>
                </c:pt>
                <c:pt idx="33">
                  <c:v>978.9652650209016</c:v>
                </c:pt>
                <c:pt idx="34">
                  <c:v>807.4215198440495</c:v>
                </c:pt>
                <c:pt idx="35">
                  <c:v>566.63589103010213</c:v>
                </c:pt>
                <c:pt idx="36">
                  <c:v>344.81265778208524</c:v>
                </c:pt>
                <c:pt idx="37">
                  <c:v>211.41808312993015</c:v>
                </c:pt>
                <c:pt idx="38">
                  <c:v>69.568118482136583</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numCache>
            </c:numRef>
          </c:val>
          <c:smooth val="0"/>
          <c:extLst>
            <c:ext xmlns:c16="http://schemas.microsoft.com/office/drawing/2014/chart" uri="{C3380CC4-5D6E-409C-BE32-E72D297353CC}">
              <c16:uniqueId val="{00000005-C74A-42AB-B108-7D0410A14307}"/>
            </c:ext>
          </c:extLst>
        </c:ser>
        <c:dLbls>
          <c:showLegendKey val="0"/>
          <c:showVal val="0"/>
          <c:showCatName val="0"/>
          <c:showSerName val="0"/>
          <c:showPercent val="0"/>
          <c:showBubbleSize val="0"/>
        </c:dLbls>
        <c:marker val="1"/>
        <c:smooth val="0"/>
        <c:axId val="44439040"/>
        <c:axId val="44440576"/>
      </c:lineChart>
      <c:lineChart>
        <c:grouping val="standard"/>
        <c:varyColors val="0"/>
        <c:ser>
          <c:idx val="3"/>
          <c:order val="3"/>
          <c:tx>
            <c:v>student headcount</c:v>
          </c:tx>
          <c:spPr>
            <a:ln>
              <a:solidFill>
                <a:schemeClr val="tx1"/>
              </a:solidFill>
            </a:ln>
          </c:spPr>
          <c:marker>
            <c:symbol val="diamond"/>
            <c:size val="4"/>
          </c:marker>
          <c:val>
            <c:numRef>
              <c:f>BAU_Calc_CO2e!$B$8:$B$68</c:f>
              <c:numCache>
                <c:formatCode>#,##0</c:formatCode>
                <c:ptCount val="61"/>
                <c:pt idx="0">
                  <c:v>31166</c:v>
                </c:pt>
                <c:pt idx="1">
                  <c:v>30440</c:v>
                </c:pt>
                <c:pt idx="2">
                  <c:v>29096</c:v>
                </c:pt>
                <c:pt idx="3">
                  <c:v>27282</c:v>
                </c:pt>
                <c:pt idx="4">
                  <c:v>24310</c:v>
                </c:pt>
                <c:pt idx="5">
                  <c:v>25019</c:v>
                </c:pt>
                <c:pt idx="6">
                  <c:v>27189</c:v>
                </c:pt>
                <c:pt idx="7">
                  <c:v>27653</c:v>
                </c:pt>
                <c:pt idx="8">
                  <c:v>27203</c:v>
                </c:pt>
                <c:pt idx="9">
                  <c:v>27947</c:v>
                </c:pt>
                <c:pt idx="10">
                  <c:v>29066</c:v>
                </c:pt>
                <c:pt idx="11">
                  <c:v>31448</c:v>
                </c:pt>
                <c:pt idx="12">
                  <c:v>33579</c:v>
                </c:pt>
                <c:pt idx="13">
                  <c:v>33426</c:v>
                </c:pt>
                <c:pt idx="14">
                  <c:v>31341</c:v>
                </c:pt>
                <c:pt idx="15">
                  <c:v>33243</c:v>
                </c:pt>
                <c:pt idx="16">
                  <c:v>34560</c:v>
                </c:pt>
                <c:pt idx="17">
                  <c:v>35446</c:v>
                </c:pt>
                <c:pt idx="18">
                  <c:v>36208</c:v>
                </c:pt>
                <c:pt idx="19">
                  <c:v>35198</c:v>
                </c:pt>
                <c:pt idx="20">
                  <c:v>35272</c:v>
                </c:pt>
                <c:pt idx="21">
                  <c:v>36911</c:v>
                </c:pt>
                <c:pt idx="22">
                  <c:v>36164</c:v>
                </c:pt>
                <c:pt idx="23">
                  <c:v>38310</c:v>
                </c:pt>
                <c:pt idx="24">
                  <c:v>40131</c:v>
                </c:pt>
                <c:pt idx="25">
                  <c:v>41351.347356312646</c:v>
                </c:pt>
                <c:pt idx="26">
                  <c:v>40524.320409186395</c:v>
                </c:pt>
                <c:pt idx="27">
                  <c:v>39713.834001002666</c:v>
                </c:pt>
                <c:pt idx="28">
                  <c:v>38919.557320982611</c:v>
                </c:pt>
                <c:pt idx="29">
                  <c:v>39503.350680797346</c:v>
                </c:pt>
                <c:pt idx="30">
                  <c:v>40095.900941009306</c:v>
                </c:pt>
                <c:pt idx="31">
                  <c:v>40697.339455124442</c:v>
                </c:pt>
                <c:pt idx="32">
                  <c:v>41307.799546951304</c:v>
                </c:pt>
                <c:pt idx="33">
                  <c:v>41927.416540155573</c:v>
                </c:pt>
                <c:pt idx="34">
                  <c:v>42556.327788257906</c:v>
                </c:pt>
                <c:pt idx="35">
                  <c:v>43194.672705081772</c:v>
                </c:pt>
                <c:pt idx="36">
                  <c:v>43200.321099365508</c:v>
                </c:pt>
                <c:pt idx="37">
                  <c:v>43200.321099365508</c:v>
                </c:pt>
                <c:pt idx="38">
                  <c:v>43200.321099365508</c:v>
                </c:pt>
                <c:pt idx="39">
                  <c:v>43200.321099365508</c:v>
                </c:pt>
                <c:pt idx="40">
                  <c:v>43200.321099365508</c:v>
                </c:pt>
                <c:pt idx="41">
                  <c:v>43200.321099365508</c:v>
                </c:pt>
                <c:pt idx="42">
                  <c:v>43200.321099365508</c:v>
                </c:pt>
                <c:pt idx="43">
                  <c:v>43200.321099365508</c:v>
                </c:pt>
                <c:pt idx="44">
                  <c:v>43200.321099365508</c:v>
                </c:pt>
                <c:pt idx="45">
                  <c:v>43200.321099365508</c:v>
                </c:pt>
                <c:pt idx="46">
                  <c:v>43200.321099365508</c:v>
                </c:pt>
                <c:pt idx="47">
                  <c:v>43200.321099365508</c:v>
                </c:pt>
                <c:pt idx="48">
                  <c:v>43200.321099365508</c:v>
                </c:pt>
                <c:pt idx="49">
                  <c:v>43200.321099365508</c:v>
                </c:pt>
                <c:pt idx="50">
                  <c:v>43200.321099365508</c:v>
                </c:pt>
                <c:pt idx="51">
                  <c:v>43200.321099365508</c:v>
                </c:pt>
                <c:pt idx="52">
                  <c:v>43200.321099365508</c:v>
                </c:pt>
                <c:pt idx="53">
                  <c:v>43200.321099365508</c:v>
                </c:pt>
                <c:pt idx="54">
                  <c:v>43200.321099365508</c:v>
                </c:pt>
                <c:pt idx="55">
                  <c:v>43200.321099365508</c:v>
                </c:pt>
                <c:pt idx="56">
                  <c:v>43200.321099365508</c:v>
                </c:pt>
                <c:pt idx="57">
                  <c:v>43200.321099365508</c:v>
                </c:pt>
                <c:pt idx="58">
                  <c:v>43200.321099365508</c:v>
                </c:pt>
                <c:pt idx="59">
                  <c:v>43200.321099365508</c:v>
                </c:pt>
                <c:pt idx="60">
                  <c:v>43200.321099365508</c:v>
                </c:pt>
              </c:numCache>
            </c:numRef>
          </c:val>
          <c:smooth val="0"/>
          <c:extLst>
            <c:ext xmlns:c16="http://schemas.microsoft.com/office/drawing/2014/chart" uri="{C3380CC4-5D6E-409C-BE32-E72D297353CC}">
              <c16:uniqueId val="{00000006-C74A-42AB-B108-7D0410A14307}"/>
            </c:ext>
          </c:extLst>
        </c:ser>
        <c:dLbls>
          <c:showLegendKey val="0"/>
          <c:showVal val="0"/>
          <c:showCatName val="0"/>
          <c:showSerName val="0"/>
          <c:showPercent val="0"/>
          <c:showBubbleSize val="0"/>
        </c:dLbls>
        <c:marker val="1"/>
        <c:smooth val="0"/>
        <c:axId val="44461440"/>
        <c:axId val="44459136"/>
      </c:lineChart>
      <c:catAx>
        <c:axId val="44439040"/>
        <c:scaling>
          <c:orientation val="minMax"/>
        </c:scaling>
        <c:delete val="0"/>
        <c:axPos val="b"/>
        <c:numFmt formatCode="General" sourceLinked="1"/>
        <c:majorTickMark val="out"/>
        <c:minorTickMark val="none"/>
        <c:tickLblPos val="nextTo"/>
        <c:crossAx val="44440576"/>
        <c:crosses val="autoZero"/>
        <c:auto val="1"/>
        <c:lblAlgn val="ctr"/>
        <c:lblOffset val="100"/>
        <c:noMultiLvlLbl val="0"/>
      </c:catAx>
      <c:valAx>
        <c:axId val="44440576"/>
        <c:scaling>
          <c:orientation val="minMax"/>
        </c:scaling>
        <c:delete val="0"/>
        <c:axPos val="l"/>
        <c:majorGridlines/>
        <c:title>
          <c:tx>
            <c:rich>
              <a:bodyPr rot="-5400000" vert="horz"/>
              <a:lstStyle/>
              <a:p>
                <a:pPr>
                  <a:defRPr sz="1100"/>
                </a:pPr>
                <a:r>
                  <a:rPr lang="en-US" sz="1100"/>
                  <a:t>eCO2 (tonnes)</a:t>
                </a:r>
              </a:p>
            </c:rich>
          </c:tx>
          <c:layout>
            <c:manualLayout>
              <c:xMode val="edge"/>
              <c:yMode val="edge"/>
              <c:x val="0"/>
              <c:y val="0.32051736776146228"/>
            </c:manualLayout>
          </c:layout>
          <c:overlay val="0"/>
        </c:title>
        <c:numFmt formatCode="#,##0" sourceLinked="1"/>
        <c:majorTickMark val="out"/>
        <c:minorTickMark val="none"/>
        <c:tickLblPos val="nextTo"/>
        <c:crossAx val="44439040"/>
        <c:crosses val="autoZero"/>
        <c:crossBetween val="between"/>
      </c:valAx>
      <c:valAx>
        <c:axId val="44459136"/>
        <c:scaling>
          <c:orientation val="minMax"/>
        </c:scaling>
        <c:delete val="0"/>
        <c:axPos val="r"/>
        <c:title>
          <c:tx>
            <c:rich>
              <a:bodyPr rot="-5400000" vert="horz"/>
              <a:lstStyle/>
              <a:p>
                <a:pPr>
                  <a:defRPr sz="1100"/>
                </a:pPr>
                <a:r>
                  <a:rPr lang="en-US" sz="1100"/>
                  <a:t>Headcount</a:t>
                </a:r>
              </a:p>
            </c:rich>
          </c:tx>
          <c:overlay val="0"/>
        </c:title>
        <c:numFmt formatCode="#,##0" sourceLinked="1"/>
        <c:majorTickMark val="out"/>
        <c:minorTickMark val="none"/>
        <c:tickLblPos val="nextTo"/>
        <c:crossAx val="44461440"/>
        <c:crosses val="max"/>
        <c:crossBetween val="between"/>
        <c:dispUnits>
          <c:builtInUnit val="thousands"/>
          <c:dispUnitsLbl>
            <c:txPr>
              <a:bodyPr/>
              <a:lstStyle/>
              <a:p>
                <a:pPr>
                  <a:defRPr sz="1100"/>
                </a:pPr>
                <a:endParaRPr lang="en-US"/>
              </a:p>
            </c:txPr>
          </c:dispUnitsLbl>
        </c:dispUnits>
      </c:valAx>
      <c:catAx>
        <c:axId val="44461440"/>
        <c:scaling>
          <c:orientation val="minMax"/>
        </c:scaling>
        <c:delete val="1"/>
        <c:axPos val="b"/>
        <c:majorTickMark val="out"/>
        <c:minorTickMark val="none"/>
        <c:tickLblPos val="nextTo"/>
        <c:crossAx val="44459136"/>
        <c:crosses val="autoZero"/>
        <c:auto val="1"/>
        <c:lblAlgn val="ctr"/>
        <c:lblOffset val="100"/>
        <c:noMultiLvlLbl val="0"/>
      </c:catAx>
    </c:plotArea>
    <c:legend>
      <c:legendPos val="r"/>
      <c:layout>
        <c:manualLayout>
          <c:xMode val="edge"/>
          <c:yMode val="edge"/>
          <c:x val="0.65120751732956461"/>
          <c:y val="0.19155817234557393"/>
          <c:w val="0.24986992940081887"/>
          <c:h val="0.34118748669929772"/>
        </c:manualLayout>
      </c:layout>
      <c:overlay val="0"/>
      <c:spPr>
        <a:solidFill>
          <a:srgbClr val="F8F8F8"/>
        </a:solidFill>
      </c:spPr>
    </c:legend>
    <c:plotVisOnly val="1"/>
    <c:dispBlanksAs val="gap"/>
    <c:showDLblsOverMax val="0"/>
  </c:chart>
  <c:spPr>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BAU</a:t>
            </a:r>
          </a:p>
        </c:rich>
      </c:tx>
      <c:layout>
        <c:manualLayout>
          <c:xMode val="edge"/>
          <c:yMode val="edge"/>
          <c:x val="0.82373258631132662"/>
          <c:y val="4.4769770626497778E-2"/>
        </c:manualLayout>
      </c:layout>
      <c:overlay val="1"/>
      <c:spPr>
        <a:solidFill>
          <a:srgbClr val="F8F8F8"/>
        </a:solidFill>
      </c:spPr>
    </c:title>
    <c:autoTitleDeleted val="0"/>
    <c:plotArea>
      <c:layout>
        <c:manualLayout>
          <c:layoutTarget val="inner"/>
          <c:xMode val="edge"/>
          <c:yMode val="edge"/>
          <c:x val="0.13216249411131303"/>
          <c:y val="4.3028282791882137E-2"/>
          <c:w val="0.80453613971330507"/>
          <c:h val="0.81795075887253221"/>
        </c:manualLayout>
      </c:layout>
      <c:areaChart>
        <c:grouping val="stacked"/>
        <c:varyColors val="0"/>
        <c:ser>
          <c:idx val="0"/>
          <c:order val="0"/>
          <c:tx>
            <c:v>Scope1</c:v>
          </c:tx>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BAU_Calc_CO2e!$W$8:$W$68</c:f>
              <c:numCache>
                <c:formatCode>#,##0_);[Red]\(#,##0\);"-"_)</c:formatCode>
                <c:ptCount val="61"/>
                <c:pt idx="0">
                  <c:v>13650.814274999999</c:v>
                </c:pt>
                <c:pt idx="1">
                  <c:v>13667.031897000001</c:v>
                </c:pt>
                <c:pt idx="2">
                  <c:v>10509.071693000002</c:v>
                </c:pt>
                <c:pt idx="3">
                  <c:v>10604.811038000002</c:v>
                </c:pt>
                <c:pt idx="4">
                  <c:v>5187.1971149999999</c:v>
                </c:pt>
                <c:pt idx="5">
                  <c:v>5856.7506640000011</c:v>
                </c:pt>
                <c:pt idx="6">
                  <c:v>6497.2518680000003</c:v>
                </c:pt>
                <c:pt idx="7">
                  <c:v>7950.9681550000005</c:v>
                </c:pt>
                <c:pt idx="8">
                  <c:v>5626.1708770000005</c:v>
                </c:pt>
                <c:pt idx="9">
                  <c:v>5595.3561499999996</c:v>
                </c:pt>
                <c:pt idx="10">
                  <c:v>5091.6731449999997</c:v>
                </c:pt>
                <c:pt idx="11">
                  <c:v>4696.4923924200002</c:v>
                </c:pt>
                <c:pt idx="12">
                  <c:v>3979.2209856700006</c:v>
                </c:pt>
                <c:pt idx="13">
                  <c:v>4356.3308845700003</c:v>
                </c:pt>
                <c:pt idx="14">
                  <c:v>5099.3498157499998</c:v>
                </c:pt>
                <c:pt idx="15">
                  <c:v>5358.5280400600004</c:v>
                </c:pt>
                <c:pt idx="16">
                  <c:v>4894.6581544299997</c:v>
                </c:pt>
                <c:pt idx="17">
                  <c:v>8026.6507605999996</c:v>
                </c:pt>
                <c:pt idx="18">
                  <c:v>6710.2584524800004</c:v>
                </c:pt>
                <c:pt idx="19">
                  <c:v>8317.1337020700012</c:v>
                </c:pt>
                <c:pt idx="20">
                  <c:v>9347.2605479699996</c:v>
                </c:pt>
                <c:pt idx="21">
                  <c:v>8489.6641560000007</c:v>
                </c:pt>
                <c:pt idx="22">
                  <c:v>8422.9043907800024</c:v>
                </c:pt>
                <c:pt idx="23">
                  <c:v>8331.0385632400012</c:v>
                </c:pt>
                <c:pt idx="24">
                  <c:v>8376.9714770099999</c:v>
                </c:pt>
                <c:pt idx="25">
                  <c:v>8377.2086715498026</c:v>
                </c:pt>
                <c:pt idx="26">
                  <c:v>8377.4458660896034</c:v>
                </c:pt>
                <c:pt idx="27">
                  <c:v>8377.6830606294061</c:v>
                </c:pt>
                <c:pt idx="28">
                  <c:v>8377.9202551692069</c:v>
                </c:pt>
                <c:pt idx="29">
                  <c:v>8378.1574497090078</c:v>
                </c:pt>
                <c:pt idx="30">
                  <c:v>8463.7208149440175</c:v>
                </c:pt>
                <c:pt idx="31">
                  <c:v>8549.2841801790255</c:v>
                </c:pt>
                <c:pt idx="32">
                  <c:v>8634.8475454140371</c:v>
                </c:pt>
                <c:pt idx="33">
                  <c:v>8720.4109106490469</c:v>
                </c:pt>
                <c:pt idx="34">
                  <c:v>8805.9742758840566</c:v>
                </c:pt>
                <c:pt idx="35">
                  <c:v>8891.5376411190682</c:v>
                </c:pt>
                <c:pt idx="36">
                  <c:v>8977.1010063540762</c:v>
                </c:pt>
                <c:pt idx="37">
                  <c:v>9062.6643715890878</c:v>
                </c:pt>
                <c:pt idx="38">
                  <c:v>9148.2277368240993</c:v>
                </c:pt>
                <c:pt idx="39">
                  <c:v>9233.7911020591055</c:v>
                </c:pt>
                <c:pt idx="40">
                  <c:v>9319.3544672941171</c:v>
                </c:pt>
                <c:pt idx="41">
                  <c:v>9404.9178325291286</c:v>
                </c:pt>
                <c:pt idx="42">
                  <c:v>9490.4811977641366</c:v>
                </c:pt>
                <c:pt idx="43">
                  <c:v>9576.0445629991464</c:v>
                </c:pt>
                <c:pt idx="44">
                  <c:v>9661.607928234158</c:v>
                </c:pt>
                <c:pt idx="45">
                  <c:v>9747.1712934691677</c:v>
                </c:pt>
                <c:pt idx="46">
                  <c:v>9747.1712934691677</c:v>
                </c:pt>
                <c:pt idx="47">
                  <c:v>9747.1712934691677</c:v>
                </c:pt>
                <c:pt idx="48">
                  <c:v>9747.1712934691677</c:v>
                </c:pt>
                <c:pt idx="49">
                  <c:v>9747.1712934691677</c:v>
                </c:pt>
                <c:pt idx="50">
                  <c:v>9747.1712934691677</c:v>
                </c:pt>
                <c:pt idx="51">
                  <c:v>9747.1712934691677</c:v>
                </c:pt>
                <c:pt idx="52">
                  <c:v>9747.1712934691677</c:v>
                </c:pt>
                <c:pt idx="53">
                  <c:v>9747.1712934691677</c:v>
                </c:pt>
                <c:pt idx="54">
                  <c:v>9747.1712934691677</c:v>
                </c:pt>
                <c:pt idx="55">
                  <c:v>9747.1712934691677</c:v>
                </c:pt>
                <c:pt idx="56">
                  <c:v>9747.1712934691677</c:v>
                </c:pt>
                <c:pt idx="57">
                  <c:v>9747.1712934691677</c:v>
                </c:pt>
                <c:pt idx="58">
                  <c:v>9747.1712934691677</c:v>
                </c:pt>
                <c:pt idx="59">
                  <c:v>9747.1712934691677</c:v>
                </c:pt>
                <c:pt idx="60">
                  <c:v>9747.1712934691677</c:v>
                </c:pt>
              </c:numCache>
            </c:numRef>
          </c:val>
          <c:extLst>
            <c:ext xmlns:c16="http://schemas.microsoft.com/office/drawing/2014/chart" uri="{C3380CC4-5D6E-409C-BE32-E72D297353CC}">
              <c16:uniqueId val="{00000000-3830-441B-A5CC-EF7EEEE4E11C}"/>
            </c:ext>
          </c:extLst>
        </c:ser>
        <c:ser>
          <c:idx val="1"/>
          <c:order val="1"/>
          <c:tx>
            <c:v>Scope2</c:v>
          </c:tx>
          <c:spPr>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BAU_Calc_CO2e!$X$8:$X$68</c:f>
              <c:numCache>
                <c:formatCode>General</c:formatCode>
                <c:ptCount val="61"/>
                <c:pt idx="0">
                  <c:v>24129.326763796031</c:v>
                </c:pt>
                <c:pt idx="1">
                  <c:v>25632.732756211957</c:v>
                </c:pt>
                <c:pt idx="2">
                  <c:v>28029.838284602338</c:v>
                </c:pt>
                <c:pt idx="3">
                  <c:v>26768.193613411837</c:v>
                </c:pt>
                <c:pt idx="4">
                  <c:v>26271.92454844826</c:v>
                </c:pt>
                <c:pt idx="5">
                  <c:v>32571.263117453353</c:v>
                </c:pt>
                <c:pt idx="6">
                  <c:v>34666.907803612419</c:v>
                </c:pt>
                <c:pt idx="7">
                  <c:v>35000.830585769887</c:v>
                </c:pt>
                <c:pt idx="8">
                  <c:v>32192.062324119353</c:v>
                </c:pt>
                <c:pt idx="9">
                  <c:v>33183.880046901511</c:v>
                </c:pt>
                <c:pt idx="10">
                  <c:v>31640.896461068125</c:v>
                </c:pt>
                <c:pt idx="11">
                  <c:v>29984.019599749616</c:v>
                </c:pt>
                <c:pt idx="12">
                  <c:v>28424.437744373179</c:v>
                </c:pt>
                <c:pt idx="13">
                  <c:v>31152.481637198252</c:v>
                </c:pt>
                <c:pt idx="14">
                  <c:v>30841.755595068542</c:v>
                </c:pt>
                <c:pt idx="15">
                  <c:v>28604.588251036457</c:v>
                </c:pt>
                <c:pt idx="16">
                  <c:v>28020.122010595933</c:v>
                </c:pt>
                <c:pt idx="17">
                  <c:v>24418.470151318594</c:v>
                </c:pt>
                <c:pt idx="18">
                  <c:v>25280.307518756064</c:v>
                </c:pt>
                <c:pt idx="19">
                  <c:v>23972.111552104219</c:v>
                </c:pt>
                <c:pt idx="20">
                  <c:v>22363.741350436812</c:v>
                </c:pt>
                <c:pt idx="21">
                  <c:v>26932.922290462753</c:v>
                </c:pt>
                <c:pt idx="22">
                  <c:v>25859.136565938799</c:v>
                </c:pt>
                <c:pt idx="23">
                  <c:v>26614.059819832899</c:v>
                </c:pt>
                <c:pt idx="24">
                  <c:v>30244.352572552194</c:v>
                </c:pt>
                <c:pt idx="25">
                  <c:v>30006.642250485638</c:v>
                </c:pt>
                <c:pt idx="26">
                  <c:v>26276.182422723239</c:v>
                </c:pt>
                <c:pt idx="27">
                  <c:v>23805.02076301038</c:v>
                </c:pt>
                <c:pt idx="28">
                  <c:v>23223.166312396315</c:v>
                </c:pt>
                <c:pt idx="29">
                  <c:v>22916.048981227443</c:v>
                </c:pt>
                <c:pt idx="30">
                  <c:v>23157.019243864077</c:v>
                </c:pt>
                <c:pt idx="31">
                  <c:v>23260.511866892812</c:v>
                </c:pt>
                <c:pt idx="32">
                  <c:v>23356.415242551786</c:v>
                </c:pt>
                <c:pt idx="33">
                  <c:v>22567.625820041008</c:v>
                </c:pt>
                <c:pt idx="34">
                  <c:v>21267.72518459646</c:v>
                </c:pt>
                <c:pt idx="35">
                  <c:v>17491.305206116267</c:v>
                </c:pt>
                <c:pt idx="36">
                  <c:v>14762.228734940638</c:v>
                </c:pt>
                <c:pt idx="37">
                  <c:v>14323.816173049145</c:v>
                </c:pt>
                <c:pt idx="38">
                  <c:v>14013.965497414463</c:v>
                </c:pt>
                <c:pt idx="39">
                  <c:v>13940.866776414954</c:v>
                </c:pt>
                <c:pt idx="40">
                  <c:v>13877.648256479057</c:v>
                </c:pt>
                <c:pt idx="41">
                  <c:v>13850.008001909593</c:v>
                </c:pt>
                <c:pt idx="42">
                  <c:v>14038.09938797215</c:v>
                </c:pt>
                <c:pt idx="43">
                  <c:v>14183.289067155616</c:v>
                </c:pt>
                <c:pt idx="44">
                  <c:v>14350.094323055942</c:v>
                </c:pt>
                <c:pt idx="45">
                  <c:v>14504.572725349175</c:v>
                </c:pt>
                <c:pt idx="46">
                  <c:v>14531.966446620283</c:v>
                </c:pt>
                <c:pt idx="47">
                  <c:v>14559.360167891393</c:v>
                </c:pt>
                <c:pt idx="48">
                  <c:v>14586.753889162501</c:v>
                </c:pt>
                <c:pt idx="49">
                  <c:v>14614.147610433609</c:v>
                </c:pt>
                <c:pt idx="50">
                  <c:v>14641.541331704717</c:v>
                </c:pt>
                <c:pt idx="51">
                  <c:v>14668.935052975827</c:v>
                </c:pt>
                <c:pt idx="52">
                  <c:v>14696.328774246935</c:v>
                </c:pt>
                <c:pt idx="53">
                  <c:v>14723.722495518041</c:v>
                </c:pt>
                <c:pt idx="54">
                  <c:v>14751.116216789151</c:v>
                </c:pt>
                <c:pt idx="55">
                  <c:v>14778.509938060259</c:v>
                </c:pt>
                <c:pt idx="56">
                  <c:v>14805.903659331369</c:v>
                </c:pt>
                <c:pt idx="57">
                  <c:v>14833.297380602475</c:v>
                </c:pt>
                <c:pt idx="58">
                  <c:v>14860.691101873585</c:v>
                </c:pt>
                <c:pt idx="59">
                  <c:v>14888.084823144693</c:v>
                </c:pt>
                <c:pt idx="60">
                  <c:v>14915.478544415802</c:v>
                </c:pt>
              </c:numCache>
            </c:numRef>
          </c:val>
          <c:extLst>
            <c:ext xmlns:c16="http://schemas.microsoft.com/office/drawing/2014/chart" uri="{C3380CC4-5D6E-409C-BE32-E72D297353CC}">
              <c16:uniqueId val="{00000001-3830-441B-A5CC-EF7EEEE4E11C}"/>
            </c:ext>
          </c:extLst>
        </c:ser>
        <c:ser>
          <c:idx val="2"/>
          <c:order val="2"/>
          <c:tx>
            <c:v>Scope3</c:v>
          </c:tx>
          <c:spPr>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BAU_Calc_CO2e!$Y$8:$Y$68</c:f>
              <c:numCache>
                <c:formatCode>#,##0</c:formatCode>
                <c:ptCount val="61"/>
                <c:pt idx="0">
                  <c:v>44921.585039036974</c:v>
                </c:pt>
                <c:pt idx="1">
                  <c:v>43036.095534536224</c:v>
                </c:pt>
                <c:pt idx="2">
                  <c:v>41897.020497351768</c:v>
                </c:pt>
                <c:pt idx="3">
                  <c:v>40499.716400685735</c:v>
                </c:pt>
                <c:pt idx="4">
                  <c:v>37949.095833051331</c:v>
                </c:pt>
                <c:pt idx="5">
                  <c:v>38836.876057308575</c:v>
                </c:pt>
                <c:pt idx="6">
                  <c:v>41635.248656390431</c:v>
                </c:pt>
                <c:pt idx="7">
                  <c:v>42209.54470868221</c:v>
                </c:pt>
                <c:pt idx="8">
                  <c:v>42544.29328132025</c:v>
                </c:pt>
                <c:pt idx="9">
                  <c:v>45130.183022138321</c:v>
                </c:pt>
                <c:pt idx="10">
                  <c:v>45110.650802973192</c:v>
                </c:pt>
                <c:pt idx="11">
                  <c:v>46822.705866565317</c:v>
                </c:pt>
                <c:pt idx="12">
                  <c:v>49664.249930725498</c:v>
                </c:pt>
                <c:pt idx="13">
                  <c:v>49821.674071536545</c:v>
                </c:pt>
                <c:pt idx="14">
                  <c:v>44669.243330896221</c:v>
                </c:pt>
                <c:pt idx="15">
                  <c:v>47055.543493896796</c:v>
                </c:pt>
                <c:pt idx="16">
                  <c:v>48337.47549997329</c:v>
                </c:pt>
                <c:pt idx="17">
                  <c:v>49301.781593348096</c:v>
                </c:pt>
                <c:pt idx="18">
                  <c:v>49599.650331615478</c:v>
                </c:pt>
                <c:pt idx="19">
                  <c:v>48092.523031369506</c:v>
                </c:pt>
                <c:pt idx="20">
                  <c:v>47614.879978051235</c:v>
                </c:pt>
                <c:pt idx="21">
                  <c:v>51356.649204581241</c:v>
                </c:pt>
                <c:pt idx="22">
                  <c:v>49046.209220986391</c:v>
                </c:pt>
                <c:pt idx="23">
                  <c:v>51856.185056229238</c:v>
                </c:pt>
                <c:pt idx="24">
                  <c:v>54517.814336450982</c:v>
                </c:pt>
                <c:pt idx="25">
                  <c:v>53767.357887760481</c:v>
                </c:pt>
                <c:pt idx="26">
                  <c:v>50570.881096972298</c:v>
                </c:pt>
                <c:pt idx="27">
                  <c:v>47582.083096490147</c:v>
                </c:pt>
                <c:pt idx="28">
                  <c:v>44787.290344359215</c:v>
                </c:pt>
                <c:pt idx="29">
                  <c:v>43585.541491830874</c:v>
                </c:pt>
                <c:pt idx="30">
                  <c:v>42452.733431289438</c:v>
                </c:pt>
                <c:pt idx="31">
                  <c:v>41360.597226315222</c:v>
                </c:pt>
                <c:pt idx="32">
                  <c:v>40307.827854553601</c:v>
                </c:pt>
                <c:pt idx="33">
                  <c:v>39293.164158291009</c:v>
                </c:pt>
                <c:pt idx="34">
                  <c:v>38315.387395424179</c:v>
                </c:pt>
                <c:pt idx="35">
                  <c:v>37373.319838779302</c:v>
                </c:pt>
                <c:pt idx="36">
                  <c:v>35973.106180073388</c:v>
                </c:pt>
                <c:pt idx="37">
                  <c:v>34635.632268060879</c:v>
                </c:pt>
                <c:pt idx="38">
                  <c:v>33362.246613516414</c:v>
                </c:pt>
                <c:pt idx="39">
                  <c:v>32149.927368706169</c:v>
                </c:pt>
                <c:pt idx="40">
                  <c:v>30995.795569792233</c:v>
                </c:pt>
                <c:pt idx="41">
                  <c:v>29897.108367114382</c:v>
                </c:pt>
                <c:pt idx="42">
                  <c:v>28851.252576680326</c:v>
                </c:pt>
                <c:pt idx="43">
                  <c:v>27855.738537607886</c:v>
                </c:pt>
                <c:pt idx="44">
                  <c:v>26908.19426098785</c:v>
                </c:pt>
                <c:pt idx="45">
                  <c:v>26497.94014920486</c:v>
                </c:pt>
                <c:pt idx="46">
                  <c:v>26497.94014920486</c:v>
                </c:pt>
                <c:pt idx="47">
                  <c:v>26497.94014920486</c:v>
                </c:pt>
                <c:pt idx="48">
                  <c:v>26497.94014920486</c:v>
                </c:pt>
                <c:pt idx="49">
                  <c:v>26497.94014920486</c:v>
                </c:pt>
                <c:pt idx="50">
                  <c:v>26497.94014920486</c:v>
                </c:pt>
                <c:pt idx="51">
                  <c:v>26497.94014920486</c:v>
                </c:pt>
                <c:pt idx="52">
                  <c:v>26497.94014920486</c:v>
                </c:pt>
                <c:pt idx="53">
                  <c:v>26497.94014920486</c:v>
                </c:pt>
                <c:pt idx="54">
                  <c:v>26497.94014920486</c:v>
                </c:pt>
                <c:pt idx="55">
                  <c:v>26497.94014920486</c:v>
                </c:pt>
                <c:pt idx="56">
                  <c:v>26497.94014920486</c:v>
                </c:pt>
                <c:pt idx="57">
                  <c:v>26497.94014920486</c:v>
                </c:pt>
                <c:pt idx="58">
                  <c:v>26497.94014920486</c:v>
                </c:pt>
                <c:pt idx="59">
                  <c:v>26497.94014920486</c:v>
                </c:pt>
                <c:pt idx="60">
                  <c:v>26497.94014920486</c:v>
                </c:pt>
              </c:numCache>
            </c:numRef>
          </c:val>
          <c:extLst>
            <c:ext xmlns:c16="http://schemas.microsoft.com/office/drawing/2014/chart" uri="{C3380CC4-5D6E-409C-BE32-E72D297353CC}">
              <c16:uniqueId val="{00000002-3830-441B-A5CC-EF7EEEE4E11C}"/>
            </c:ext>
          </c:extLst>
        </c:ser>
        <c:dLbls>
          <c:showLegendKey val="0"/>
          <c:showVal val="0"/>
          <c:showCatName val="0"/>
          <c:showSerName val="0"/>
          <c:showPercent val="0"/>
          <c:showBubbleSize val="0"/>
        </c:dLbls>
        <c:axId val="44487424"/>
        <c:axId val="44488960"/>
      </c:areaChart>
      <c:catAx>
        <c:axId val="44487424"/>
        <c:scaling>
          <c:orientation val="minMax"/>
        </c:scaling>
        <c:delete val="0"/>
        <c:axPos val="b"/>
        <c:majorGridlines>
          <c:spPr>
            <a:ln>
              <a:noFill/>
            </a:ln>
          </c:spPr>
        </c:majorGridlines>
        <c:numFmt formatCode="General" sourceLinked="1"/>
        <c:majorTickMark val="out"/>
        <c:minorTickMark val="none"/>
        <c:tickLblPos val="nextTo"/>
        <c:crossAx val="44488960"/>
        <c:crosses val="autoZero"/>
        <c:auto val="1"/>
        <c:lblAlgn val="ctr"/>
        <c:lblOffset val="100"/>
        <c:noMultiLvlLbl val="0"/>
      </c:catAx>
      <c:valAx>
        <c:axId val="44488960"/>
        <c:scaling>
          <c:orientation val="minMax"/>
        </c:scaling>
        <c:delete val="0"/>
        <c:axPos val="l"/>
        <c:majorGridlines/>
        <c:title>
          <c:tx>
            <c:rich>
              <a:bodyPr rot="-5400000" vert="horz"/>
              <a:lstStyle/>
              <a:p>
                <a:pPr>
                  <a:defRPr sz="1100"/>
                </a:pPr>
                <a:r>
                  <a:rPr lang="en-US" sz="1100"/>
                  <a:t>eCO2 (tonnes)</a:t>
                </a:r>
              </a:p>
            </c:rich>
          </c:tx>
          <c:layout>
            <c:manualLayout>
              <c:xMode val="edge"/>
              <c:yMode val="edge"/>
              <c:x val="7.3186284406756849E-3"/>
              <c:y val="0.30118366997603563"/>
            </c:manualLayout>
          </c:layout>
          <c:overlay val="0"/>
        </c:title>
        <c:numFmt formatCode="#,##0_);[Red]\(#,##0\);&quot;-&quot;_)" sourceLinked="1"/>
        <c:majorTickMark val="out"/>
        <c:minorTickMark val="none"/>
        <c:tickLblPos val="nextTo"/>
        <c:crossAx val="44487424"/>
        <c:crosses val="autoZero"/>
        <c:crossBetween val="midCat"/>
      </c:valAx>
      <c:spPr>
        <a:ln>
          <a:solidFill>
            <a:sysClr val="windowText" lastClr="000000"/>
          </a:solidFill>
        </a:ln>
      </c:spPr>
    </c:plotArea>
    <c:legend>
      <c:legendPos val="r"/>
      <c:layout>
        <c:manualLayout>
          <c:xMode val="edge"/>
          <c:yMode val="edge"/>
          <c:x val="0.25491941356308834"/>
          <c:y val="0.31045196009537707"/>
          <c:w val="0.1530829801373064"/>
          <c:h val="0.16551865799383772"/>
        </c:manualLayout>
      </c:layout>
      <c:overlay val="0"/>
      <c:spPr>
        <a:solidFill>
          <a:srgbClr val="F8F8F8"/>
        </a:solidFill>
      </c:spPr>
    </c:legend>
    <c:plotVisOnly val="1"/>
    <c:dispBlanksAs val="zero"/>
    <c:showDLblsOverMax val="0"/>
  </c:chart>
  <c:spPr>
    <a:ln>
      <a:noFill/>
    </a:ln>
  </c:sp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a:pPr>
            <a:r>
              <a:rPr lang="en-US" sz="1400"/>
              <a:t>with strategies</a:t>
            </a:r>
            <a:endParaRPr lang="en-US" sz="1400" baseline="0"/>
          </a:p>
        </c:rich>
      </c:tx>
      <c:layout>
        <c:manualLayout>
          <c:xMode val="edge"/>
          <c:yMode val="edge"/>
          <c:x val="0.72742899925970794"/>
          <c:y val="5.8435183406952182E-2"/>
        </c:manualLayout>
      </c:layout>
      <c:overlay val="1"/>
    </c:title>
    <c:autoTitleDeleted val="0"/>
    <c:plotArea>
      <c:layout>
        <c:manualLayout>
          <c:layoutTarget val="inner"/>
          <c:xMode val="edge"/>
          <c:yMode val="edge"/>
          <c:x val="0.13392539874823342"/>
          <c:y val="4.9357921168944788E-2"/>
          <c:w val="0.80453613971330507"/>
          <c:h val="0.84203034376800467"/>
        </c:manualLayout>
      </c:layout>
      <c:areaChart>
        <c:grouping val="stacked"/>
        <c:varyColors val="0"/>
        <c:ser>
          <c:idx val="0"/>
          <c:order val="0"/>
          <c:tx>
            <c:v>Scope1</c:v>
          </c:tx>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Calc_CO2e!$W$8:$W$68</c:f>
              <c:numCache>
                <c:formatCode>#,##0_);[Red]\(#,##0\);"-"_)</c:formatCode>
                <c:ptCount val="61"/>
                <c:pt idx="0">
                  <c:v>13650.814274999999</c:v>
                </c:pt>
                <c:pt idx="1">
                  <c:v>13667.031897000001</c:v>
                </c:pt>
                <c:pt idx="2">
                  <c:v>10509.071693000002</c:v>
                </c:pt>
                <c:pt idx="3">
                  <c:v>10604.811038000002</c:v>
                </c:pt>
                <c:pt idx="4">
                  <c:v>5187.1971149999999</c:v>
                </c:pt>
                <c:pt idx="5">
                  <c:v>5856.7506640000011</c:v>
                </c:pt>
                <c:pt idx="6">
                  <c:v>6497.2518680000003</c:v>
                </c:pt>
                <c:pt idx="7">
                  <c:v>7950.9681550000005</c:v>
                </c:pt>
                <c:pt idx="8">
                  <c:v>5626.1708770000005</c:v>
                </c:pt>
                <c:pt idx="9">
                  <c:v>5595.3561499999996</c:v>
                </c:pt>
                <c:pt idx="10">
                  <c:v>5091.6731449999997</c:v>
                </c:pt>
                <c:pt idx="11">
                  <c:v>4696.4923924200002</c:v>
                </c:pt>
                <c:pt idx="12">
                  <c:v>3979.2209856700006</c:v>
                </c:pt>
                <c:pt idx="13">
                  <c:v>4356.3308845700003</c:v>
                </c:pt>
                <c:pt idx="14">
                  <c:v>5099.3498157499998</c:v>
                </c:pt>
                <c:pt idx="15">
                  <c:v>5358.5280400600004</c:v>
                </c:pt>
                <c:pt idx="16">
                  <c:v>4894.6581544299997</c:v>
                </c:pt>
                <c:pt idx="17">
                  <c:v>8026.6507605999996</c:v>
                </c:pt>
                <c:pt idx="18">
                  <c:v>6710.2584524800004</c:v>
                </c:pt>
                <c:pt idx="19">
                  <c:v>8317.1337020700012</c:v>
                </c:pt>
                <c:pt idx="20">
                  <c:v>9347.2605479699996</c:v>
                </c:pt>
                <c:pt idx="21">
                  <c:v>8489.6641560000007</c:v>
                </c:pt>
                <c:pt idx="22">
                  <c:v>8422.9043907800024</c:v>
                </c:pt>
                <c:pt idx="23">
                  <c:v>8331.0385632400012</c:v>
                </c:pt>
                <c:pt idx="24">
                  <c:v>8376.9714770099999</c:v>
                </c:pt>
                <c:pt idx="25">
                  <c:v>8377.2086715498026</c:v>
                </c:pt>
                <c:pt idx="26">
                  <c:v>8377.183422912578</c:v>
                </c:pt>
                <c:pt idx="27">
                  <c:v>8330.1151666862588</c:v>
                </c:pt>
                <c:pt idx="28">
                  <c:v>8234.019234617268</c:v>
                </c:pt>
                <c:pt idx="29">
                  <c:v>8186.9509783909461</c:v>
                </c:pt>
                <c:pt idx="30">
                  <c:v>8188.6015010418168</c:v>
                </c:pt>
                <c:pt idx="31">
                  <c:v>8220.0676794655974</c:v>
                </c:pt>
                <c:pt idx="32">
                  <c:v>8205.1438998887079</c:v>
                </c:pt>
                <c:pt idx="33">
                  <c:v>8257.6055324744902</c:v>
                </c:pt>
                <c:pt idx="34">
                  <c:v>8280.25150928736</c:v>
                </c:pt>
                <c:pt idx="35">
                  <c:v>8332.7131418731424</c:v>
                </c:pt>
                <c:pt idx="36">
                  <c:v>8317.5269191192274</c:v>
                </c:pt>
                <c:pt idx="37">
                  <c:v>8386.9001546699601</c:v>
                </c:pt>
                <c:pt idx="38">
                  <c:v>8426.4577344477821</c:v>
                </c:pt>
                <c:pt idx="39">
                  <c:v>8495.830969998513</c:v>
                </c:pt>
                <c:pt idx="40">
                  <c:v>8524.2280769599201</c:v>
                </c:pt>
                <c:pt idx="41">
                  <c:v>8593.8637556876783</c:v>
                </c:pt>
                <c:pt idx="42">
                  <c:v>8633.6837786425258</c:v>
                </c:pt>
                <c:pt idx="43">
                  <c:v>8705.0606123702819</c:v>
                </c:pt>
                <c:pt idx="44">
                  <c:v>8733.4577193316891</c:v>
                </c:pt>
                <c:pt idx="45">
                  <c:v>8804.8345530594434</c:v>
                </c:pt>
                <c:pt idx="46">
                  <c:v>8759.0912107792828</c:v>
                </c:pt>
                <c:pt idx="47">
                  <c:v>8752.0370315571472</c:v>
                </c:pt>
                <c:pt idx="48">
                  <c:v>8715.2022000215766</c:v>
                </c:pt>
                <c:pt idx="49">
                  <c:v>8708.1480207994446</c:v>
                </c:pt>
                <c:pt idx="50">
                  <c:v>8708.1480207994446</c:v>
                </c:pt>
                <c:pt idx="51">
                  <c:v>8708.1480207994446</c:v>
                </c:pt>
                <c:pt idx="52">
                  <c:v>8708.1480207994446</c:v>
                </c:pt>
                <c:pt idx="53">
                  <c:v>8708.1480207994446</c:v>
                </c:pt>
                <c:pt idx="54">
                  <c:v>8708.1480207994446</c:v>
                </c:pt>
                <c:pt idx="55">
                  <c:v>8708.1480207994446</c:v>
                </c:pt>
                <c:pt idx="56">
                  <c:v>8708.1480207994446</c:v>
                </c:pt>
                <c:pt idx="57">
                  <c:v>8708.1480207994446</c:v>
                </c:pt>
                <c:pt idx="58">
                  <c:v>8708.1480207994446</c:v>
                </c:pt>
                <c:pt idx="59">
                  <c:v>8708.1480207994446</c:v>
                </c:pt>
                <c:pt idx="60">
                  <c:v>8708.1480207994446</c:v>
                </c:pt>
              </c:numCache>
            </c:numRef>
          </c:val>
          <c:extLst>
            <c:ext xmlns:c16="http://schemas.microsoft.com/office/drawing/2014/chart" uri="{C3380CC4-5D6E-409C-BE32-E72D297353CC}">
              <c16:uniqueId val="{00000000-B04E-45B2-96CE-1E9F722E861D}"/>
            </c:ext>
          </c:extLst>
        </c:ser>
        <c:ser>
          <c:idx val="1"/>
          <c:order val="1"/>
          <c:tx>
            <c:v>Scope2</c:v>
          </c:tx>
          <c:spPr>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Calc_CO2e!$X$8:$X$68</c:f>
              <c:numCache>
                <c:formatCode>General</c:formatCode>
                <c:ptCount val="61"/>
                <c:pt idx="0">
                  <c:v>24129.326763796031</c:v>
                </c:pt>
                <c:pt idx="1">
                  <c:v>25632.732756211957</c:v>
                </c:pt>
                <c:pt idx="2">
                  <c:v>28029.838284602338</c:v>
                </c:pt>
                <c:pt idx="3">
                  <c:v>26768.193613411837</c:v>
                </c:pt>
                <c:pt idx="4">
                  <c:v>26271.92454844826</c:v>
                </c:pt>
                <c:pt idx="5">
                  <c:v>32571.263117453353</c:v>
                </c:pt>
                <c:pt idx="6">
                  <c:v>34666.907803612419</c:v>
                </c:pt>
                <c:pt idx="7">
                  <c:v>35000.830585769887</c:v>
                </c:pt>
                <c:pt idx="8">
                  <c:v>32192.062324119353</c:v>
                </c:pt>
                <c:pt idx="9">
                  <c:v>33183.880046901511</c:v>
                </c:pt>
                <c:pt idx="10">
                  <c:v>31640.896461068125</c:v>
                </c:pt>
                <c:pt idx="11">
                  <c:v>29984.019599749616</c:v>
                </c:pt>
                <c:pt idx="12">
                  <c:v>28424.437744373179</c:v>
                </c:pt>
                <c:pt idx="13">
                  <c:v>31152.481637198252</c:v>
                </c:pt>
                <c:pt idx="14">
                  <c:v>30841.755595068542</c:v>
                </c:pt>
                <c:pt idx="15">
                  <c:v>28604.588251036457</c:v>
                </c:pt>
                <c:pt idx="16">
                  <c:v>28020.122010595933</c:v>
                </c:pt>
                <c:pt idx="17">
                  <c:v>24418.470151318594</c:v>
                </c:pt>
                <c:pt idx="18">
                  <c:v>25280.307518756064</c:v>
                </c:pt>
                <c:pt idx="19">
                  <c:v>23972.111552104219</c:v>
                </c:pt>
                <c:pt idx="20">
                  <c:v>22363.741350436812</c:v>
                </c:pt>
                <c:pt idx="21">
                  <c:v>26932.922290462753</c:v>
                </c:pt>
                <c:pt idx="22">
                  <c:v>25859.136565938799</c:v>
                </c:pt>
                <c:pt idx="23">
                  <c:v>26614.059819832899</c:v>
                </c:pt>
                <c:pt idx="24">
                  <c:v>30244.352572552194</c:v>
                </c:pt>
                <c:pt idx="25">
                  <c:v>30006.642250485638</c:v>
                </c:pt>
                <c:pt idx="26">
                  <c:v>24562.515267503812</c:v>
                </c:pt>
                <c:pt idx="27">
                  <c:v>20185.011601001908</c:v>
                </c:pt>
                <c:pt idx="28">
                  <c:v>17135.581196899195</c:v>
                </c:pt>
                <c:pt idx="29">
                  <c:v>14863.077609816972</c:v>
                </c:pt>
                <c:pt idx="30">
                  <c:v>13344.985910845033</c:v>
                </c:pt>
                <c:pt idx="31">
                  <c:v>11830.476103939713</c:v>
                </c:pt>
                <c:pt idx="32">
                  <c:v>9825.2247653451686</c:v>
                </c:pt>
                <c:pt idx="33">
                  <c:v>8030.5777771150742</c:v>
                </c:pt>
                <c:pt idx="34">
                  <c:v>6181.2247484958216</c:v>
                </c:pt>
                <c:pt idx="35">
                  <c:v>3533.2959297152343</c:v>
                </c:pt>
                <c:pt idx="36">
                  <c:v>1797.3373761677326</c:v>
                </c:pt>
                <c:pt idx="37">
                  <c:v>1059.194117677672</c:v>
                </c:pt>
                <c:pt idx="38">
                  <c:v>337.80410381568976</c:v>
                </c:pt>
                <c:pt idx="39">
                  <c:v>-305.45064789962072</c:v>
                </c:pt>
                <c:pt idx="40">
                  <c:v>-1007.9707035912763</c:v>
                </c:pt>
                <c:pt idx="41">
                  <c:v>-1619.4895003991019</c:v>
                </c:pt>
                <c:pt idx="42">
                  <c:v>-2291.7732150503707</c:v>
                </c:pt>
                <c:pt idx="43">
                  <c:v>-2911.5316261369085</c:v>
                </c:pt>
                <c:pt idx="44">
                  <c:v>-3624.5545554438827</c:v>
                </c:pt>
                <c:pt idx="45">
                  <c:v>-4251.0551776410693</c:v>
                </c:pt>
                <c:pt idx="46">
                  <c:v>-5057.0056177351962</c:v>
                </c:pt>
                <c:pt idx="47">
                  <c:v>-5816.3272838313223</c:v>
                </c:pt>
                <c:pt idx="48">
                  <c:v>-6630.6499933041296</c:v>
                </c:pt>
                <c:pt idx="49">
                  <c:v>-7395.7126216910956</c:v>
                </c:pt>
                <c:pt idx="50">
                  <c:v>-8143.4184343850084</c:v>
                </c:pt>
                <c:pt idx="51">
                  <c:v>-8158.6544351400989</c:v>
                </c:pt>
                <c:pt idx="52">
                  <c:v>-8173.8904358951904</c:v>
                </c:pt>
                <c:pt idx="53">
                  <c:v>-8189.1264366502819</c:v>
                </c:pt>
                <c:pt idx="54">
                  <c:v>-8204.3624374053725</c:v>
                </c:pt>
                <c:pt idx="55">
                  <c:v>-8219.598438160463</c:v>
                </c:pt>
                <c:pt idx="56">
                  <c:v>-8234.8344389155536</c:v>
                </c:pt>
                <c:pt idx="57">
                  <c:v>-8250.070439670646</c:v>
                </c:pt>
                <c:pt idx="58">
                  <c:v>-8265.3064404257366</c:v>
                </c:pt>
                <c:pt idx="59">
                  <c:v>-8280.5424411808272</c:v>
                </c:pt>
                <c:pt idx="60">
                  <c:v>-8295.7784419359177</c:v>
                </c:pt>
              </c:numCache>
            </c:numRef>
          </c:val>
          <c:extLst>
            <c:ext xmlns:c16="http://schemas.microsoft.com/office/drawing/2014/chart" uri="{C3380CC4-5D6E-409C-BE32-E72D297353CC}">
              <c16:uniqueId val="{00000001-B04E-45B2-96CE-1E9F722E861D}"/>
            </c:ext>
          </c:extLst>
        </c:ser>
        <c:ser>
          <c:idx val="2"/>
          <c:order val="2"/>
          <c:tx>
            <c:v>Scope3</c:v>
          </c:tx>
          <c:spPr>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Calc_CO2e!$Y$8:$Y$68</c:f>
              <c:numCache>
                <c:formatCode>#,##0</c:formatCode>
                <c:ptCount val="61"/>
                <c:pt idx="0">
                  <c:v>44921.585039036974</c:v>
                </c:pt>
                <c:pt idx="1">
                  <c:v>43036.095534536224</c:v>
                </c:pt>
                <c:pt idx="2">
                  <c:v>41897.020497351768</c:v>
                </c:pt>
                <c:pt idx="3">
                  <c:v>40499.716400685735</c:v>
                </c:pt>
                <c:pt idx="4">
                  <c:v>37949.095833051331</c:v>
                </c:pt>
                <c:pt idx="5">
                  <c:v>38836.876057308575</c:v>
                </c:pt>
                <c:pt idx="6">
                  <c:v>41635.248656390431</c:v>
                </c:pt>
                <c:pt idx="7">
                  <c:v>42209.54470868221</c:v>
                </c:pt>
                <c:pt idx="8">
                  <c:v>42544.29328132025</c:v>
                </c:pt>
                <c:pt idx="9">
                  <c:v>45130.183022138321</c:v>
                </c:pt>
                <c:pt idx="10">
                  <c:v>45110.650802973192</c:v>
                </c:pt>
                <c:pt idx="11">
                  <c:v>46822.705866565317</c:v>
                </c:pt>
                <c:pt idx="12">
                  <c:v>49664.249930725498</c:v>
                </c:pt>
                <c:pt idx="13">
                  <c:v>49821.674071536545</c:v>
                </c:pt>
                <c:pt idx="14">
                  <c:v>44669.243330896221</c:v>
                </c:pt>
                <c:pt idx="15">
                  <c:v>47055.543493896796</c:v>
                </c:pt>
                <c:pt idx="16">
                  <c:v>48337.47549997329</c:v>
                </c:pt>
                <c:pt idx="17">
                  <c:v>49301.781593348096</c:v>
                </c:pt>
                <c:pt idx="18">
                  <c:v>49599.650331615478</c:v>
                </c:pt>
                <c:pt idx="19">
                  <c:v>48092.523031369506</c:v>
                </c:pt>
                <c:pt idx="20">
                  <c:v>47614.879978051235</c:v>
                </c:pt>
                <c:pt idx="21">
                  <c:v>51356.649204581241</c:v>
                </c:pt>
                <c:pt idx="22">
                  <c:v>49046.209220986391</c:v>
                </c:pt>
                <c:pt idx="23">
                  <c:v>51856.185056229238</c:v>
                </c:pt>
                <c:pt idx="24">
                  <c:v>54517.814336450982</c:v>
                </c:pt>
                <c:pt idx="25">
                  <c:v>53321.29357011008</c:v>
                </c:pt>
                <c:pt idx="26">
                  <c:v>49571.386899091347</c:v>
                </c:pt>
                <c:pt idx="27">
                  <c:v>45986.797343494858</c:v>
                </c:pt>
                <c:pt idx="28">
                  <c:v>42588.34113099338</c:v>
                </c:pt>
                <c:pt idx="29">
                  <c:v>40822.345116632532</c:v>
                </c:pt>
                <c:pt idx="30">
                  <c:v>39182.831540629806</c:v>
                </c:pt>
                <c:pt idx="31">
                  <c:v>37615.207192605099</c:v>
                </c:pt>
                <c:pt idx="32">
                  <c:v>36085.126102768649</c:v>
                </c:pt>
                <c:pt idx="33">
                  <c:v>34672.984023788529</c:v>
                </c:pt>
                <c:pt idx="34">
                  <c:v>33312.873083851322</c:v>
                </c:pt>
                <c:pt idx="35">
                  <c:v>31947.328103106938</c:v>
                </c:pt>
                <c:pt idx="36">
                  <c:v>30208.996841384436</c:v>
                </c:pt>
                <c:pt idx="37">
                  <c:v>28641.695949258141</c:v>
                </c:pt>
                <c:pt idx="38">
                  <c:v>27147.70344983026</c:v>
                </c:pt>
                <c:pt idx="39">
                  <c:v>25803.092647592657</c:v>
                </c:pt>
                <c:pt idx="40">
                  <c:v>24600.748094274233</c:v>
                </c:pt>
                <c:pt idx="41">
                  <c:v>23466.947679884932</c:v>
                </c:pt>
                <c:pt idx="42">
                  <c:v>22397.771446495299</c:v>
                </c:pt>
                <c:pt idx="43">
                  <c:v>21389.520518661076</c:v>
                </c:pt>
                <c:pt idx="44">
                  <c:v>20438.704856869866</c:v>
                </c:pt>
                <c:pt idx="45">
                  <c:v>19943.162600062962</c:v>
                </c:pt>
                <c:pt idx="46">
                  <c:v>19790.024352477154</c:v>
                </c:pt>
                <c:pt idx="47">
                  <c:v>19636.88610489135</c:v>
                </c:pt>
                <c:pt idx="48">
                  <c:v>19483.747857305545</c:v>
                </c:pt>
                <c:pt idx="49">
                  <c:v>19330.609609719744</c:v>
                </c:pt>
                <c:pt idx="50">
                  <c:v>19177.47136213394</c:v>
                </c:pt>
                <c:pt idx="51">
                  <c:v>19177.47136213394</c:v>
                </c:pt>
                <c:pt idx="52">
                  <c:v>19177.47136213394</c:v>
                </c:pt>
                <c:pt idx="53">
                  <c:v>19177.47136213394</c:v>
                </c:pt>
                <c:pt idx="54">
                  <c:v>19177.47136213394</c:v>
                </c:pt>
                <c:pt idx="55">
                  <c:v>19177.47136213394</c:v>
                </c:pt>
                <c:pt idx="56">
                  <c:v>19177.47136213394</c:v>
                </c:pt>
                <c:pt idx="57">
                  <c:v>19177.47136213394</c:v>
                </c:pt>
                <c:pt idx="58">
                  <c:v>19177.47136213394</c:v>
                </c:pt>
                <c:pt idx="59">
                  <c:v>19177.47136213394</c:v>
                </c:pt>
                <c:pt idx="60">
                  <c:v>19177.47136213394</c:v>
                </c:pt>
              </c:numCache>
            </c:numRef>
          </c:val>
          <c:extLst>
            <c:ext xmlns:c16="http://schemas.microsoft.com/office/drawing/2014/chart" uri="{C3380CC4-5D6E-409C-BE32-E72D297353CC}">
              <c16:uniqueId val="{00000002-B04E-45B2-96CE-1E9F722E861D}"/>
            </c:ext>
          </c:extLst>
        </c:ser>
        <c:dLbls>
          <c:showLegendKey val="0"/>
          <c:showVal val="0"/>
          <c:showCatName val="0"/>
          <c:showSerName val="0"/>
          <c:showPercent val="0"/>
          <c:showBubbleSize val="0"/>
        </c:dLbls>
        <c:axId val="45044096"/>
        <c:axId val="45045632"/>
      </c:areaChart>
      <c:catAx>
        <c:axId val="45044096"/>
        <c:scaling>
          <c:orientation val="minMax"/>
        </c:scaling>
        <c:delete val="0"/>
        <c:axPos val="b"/>
        <c:majorGridlines>
          <c:spPr>
            <a:ln>
              <a:noFill/>
            </a:ln>
          </c:spPr>
        </c:majorGridlines>
        <c:numFmt formatCode="General" sourceLinked="1"/>
        <c:majorTickMark val="out"/>
        <c:minorTickMark val="none"/>
        <c:tickLblPos val="nextTo"/>
        <c:crossAx val="45045632"/>
        <c:crosses val="autoZero"/>
        <c:auto val="1"/>
        <c:lblAlgn val="ctr"/>
        <c:lblOffset val="100"/>
        <c:noMultiLvlLbl val="0"/>
      </c:catAx>
      <c:valAx>
        <c:axId val="45045632"/>
        <c:scaling>
          <c:orientation val="minMax"/>
        </c:scaling>
        <c:delete val="0"/>
        <c:axPos val="l"/>
        <c:majorGridlines/>
        <c:title>
          <c:tx>
            <c:rich>
              <a:bodyPr rot="-5400000" vert="horz"/>
              <a:lstStyle/>
              <a:p>
                <a:pPr>
                  <a:defRPr sz="1100"/>
                </a:pPr>
                <a:r>
                  <a:rPr lang="en-US" sz="1100"/>
                  <a:t>eCO2 (tonnes)</a:t>
                </a:r>
              </a:p>
            </c:rich>
          </c:tx>
          <c:layout>
            <c:manualLayout>
              <c:xMode val="edge"/>
              <c:yMode val="edge"/>
              <c:x val="4.9064540009421901E-3"/>
              <c:y val="0.36438921964022791"/>
            </c:manualLayout>
          </c:layout>
          <c:overlay val="0"/>
        </c:title>
        <c:numFmt formatCode="#,##0_);[Red]\(#,##0\);&quot;-&quot;_)" sourceLinked="1"/>
        <c:majorTickMark val="out"/>
        <c:minorTickMark val="none"/>
        <c:tickLblPos val="nextTo"/>
        <c:crossAx val="45044096"/>
        <c:crosses val="autoZero"/>
        <c:crossBetween val="midCat"/>
        <c:majorUnit val="10000"/>
      </c:valAx>
      <c:spPr>
        <a:ln>
          <a:solidFill>
            <a:sysClr val="windowText" lastClr="000000"/>
          </a:solidFill>
        </a:ln>
      </c:spPr>
    </c:plotArea>
    <c:legend>
      <c:legendPos val="r"/>
      <c:layout>
        <c:manualLayout>
          <c:xMode val="edge"/>
          <c:yMode val="edge"/>
          <c:x val="0.24450274860519217"/>
          <c:y val="0.30740085406944267"/>
          <c:w val="0.16376674069587457"/>
          <c:h val="0.15251059471224634"/>
        </c:manualLayout>
      </c:layout>
      <c:overlay val="0"/>
      <c:spPr>
        <a:solidFill>
          <a:srgbClr val="F8F8F8"/>
        </a:solidFill>
      </c:spPr>
    </c:legend>
    <c:plotVisOnly val="1"/>
    <c:dispBlanksAs val="zero"/>
    <c:showDLblsOverMax val="0"/>
  </c:chart>
  <c:spPr>
    <a:ln>
      <a:noFill/>
    </a:ln>
  </c:sp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419425641970193E-2"/>
          <c:y val="5.1444539409479122E-2"/>
          <c:w val="0.86280474589799083"/>
          <c:h val="0.85036557497287435"/>
        </c:manualLayout>
      </c:layout>
      <c:areaChart>
        <c:grouping val="stacked"/>
        <c:varyColors val="0"/>
        <c:ser>
          <c:idx val="0"/>
          <c:order val="0"/>
          <c:spPr>
            <a:noFill/>
            <a:ln w="3175">
              <a:solidFill>
                <a:srgbClr val="000000"/>
              </a:solidFill>
              <a:prstDash val="solid"/>
            </a:ln>
          </c:spPr>
          <c:cat>
            <c:numRef>
              <c:f>'Cascade Data 7'!$A$5:$A$105</c:f>
              <c:numCache>
                <c:formatCode>General</c:formatCode>
                <c:ptCount val="101"/>
                <c:pt idx="0">
                  <c:v>0</c:v>
                </c:pt>
                <c:pt idx="1">
                  <c:v>0</c:v>
                </c:pt>
                <c:pt idx="2">
                  <c:v>610.06177985507213</c:v>
                </c:pt>
                <c:pt idx="3">
                  <c:v>1220.1235597101443</c:v>
                </c:pt>
                <c:pt idx="4">
                  <c:v>1220.1235597101443</c:v>
                </c:pt>
                <c:pt idx="5">
                  <c:v>1220.1235597101443</c:v>
                </c:pt>
                <c:pt idx="6">
                  <c:v>1230.8807764084868</c:v>
                </c:pt>
                <c:pt idx="7">
                  <c:v>1241.6379931068293</c:v>
                </c:pt>
                <c:pt idx="8">
                  <c:v>1241.6379931068293</c:v>
                </c:pt>
                <c:pt idx="9">
                  <c:v>1241.6379931068293</c:v>
                </c:pt>
                <c:pt idx="10">
                  <c:v>1370.9773475999577</c:v>
                </c:pt>
                <c:pt idx="11">
                  <c:v>1500.3167020930862</c:v>
                </c:pt>
                <c:pt idx="12">
                  <c:v>1500.3167020930862</c:v>
                </c:pt>
                <c:pt idx="13">
                  <c:v>1500.3167020930862</c:v>
                </c:pt>
                <c:pt idx="14">
                  <c:v>2028.1097970451024</c:v>
                </c:pt>
                <c:pt idx="15">
                  <c:v>2555.9028919971188</c:v>
                </c:pt>
                <c:pt idx="16">
                  <c:v>2555.9028919971188</c:v>
                </c:pt>
                <c:pt idx="17">
                  <c:v>2555.9028919971188</c:v>
                </c:pt>
                <c:pt idx="18">
                  <c:v>2733.7287884555949</c:v>
                </c:pt>
                <c:pt idx="19">
                  <c:v>2911.554684914071</c:v>
                </c:pt>
                <c:pt idx="20">
                  <c:v>2911.554684914071</c:v>
                </c:pt>
                <c:pt idx="21">
                  <c:v>2911.554684914071</c:v>
                </c:pt>
                <c:pt idx="22">
                  <c:v>3021.7582528317689</c:v>
                </c:pt>
                <c:pt idx="23">
                  <c:v>3131.9618207494673</c:v>
                </c:pt>
                <c:pt idx="24">
                  <c:v>3131.9618207494673</c:v>
                </c:pt>
                <c:pt idx="25">
                  <c:v>3131.9618207494673</c:v>
                </c:pt>
                <c:pt idx="26">
                  <c:v>3148.1779120219999</c:v>
                </c:pt>
                <c:pt idx="27">
                  <c:v>3164.394003294532</c:v>
                </c:pt>
                <c:pt idx="28">
                  <c:v>3164.394003294532</c:v>
                </c:pt>
                <c:pt idx="29">
                  <c:v>3164.394003294532</c:v>
                </c:pt>
                <c:pt idx="30">
                  <c:v>4850.1090082619712</c:v>
                </c:pt>
                <c:pt idx="31">
                  <c:v>6535.8240132294104</c:v>
                </c:pt>
                <c:pt idx="32">
                  <c:v>6535.8240132294104</c:v>
                </c:pt>
                <c:pt idx="33">
                  <c:v>6535.8240132294104</c:v>
                </c:pt>
                <c:pt idx="34">
                  <c:v>6955.556236351209</c:v>
                </c:pt>
                <c:pt idx="35">
                  <c:v>7375.2884594730076</c:v>
                </c:pt>
                <c:pt idx="36">
                  <c:v>7375.2884594730076</c:v>
                </c:pt>
                <c:pt idx="37">
                  <c:v>7375.2884594730076</c:v>
                </c:pt>
                <c:pt idx="38">
                  <c:v>7792.6178546041665</c:v>
                </c:pt>
                <c:pt idx="39">
                  <c:v>8209.9472497353254</c:v>
                </c:pt>
                <c:pt idx="40">
                  <c:v>8209.9472497353254</c:v>
                </c:pt>
                <c:pt idx="41">
                  <c:v>8209.9472497353254</c:v>
                </c:pt>
                <c:pt idx="42">
                  <c:v>27546.80805685111</c:v>
                </c:pt>
                <c:pt idx="43">
                  <c:v>46883.668863966894</c:v>
                </c:pt>
                <c:pt idx="44">
                  <c:v>46883.668863966894</c:v>
                </c:pt>
                <c:pt idx="45">
                  <c:v>46883.668863966894</c:v>
                </c:pt>
                <c:pt idx="46">
                  <c:v>47364.834335493186</c:v>
                </c:pt>
                <c:pt idx="47">
                  <c:v>47845.999807019478</c:v>
                </c:pt>
                <c:pt idx="48">
                  <c:v>47845.999807019478</c:v>
                </c:pt>
                <c:pt idx="49">
                  <c:v>47845.999807019478</c:v>
                </c:pt>
                <c:pt idx="50">
                  <c:v>48108.649038965348</c:v>
                </c:pt>
                <c:pt idx="51">
                  <c:v>48371.298270911211</c:v>
                </c:pt>
                <c:pt idx="52">
                  <c:v>48371.298270911211</c:v>
                </c:pt>
                <c:pt idx="53">
                  <c:v>48371.298270911211</c:v>
                </c:pt>
                <c:pt idx="54">
                  <c:v>48373.397816327415</c:v>
                </c:pt>
                <c:pt idx="55">
                  <c:v>48375.497361743612</c:v>
                </c:pt>
                <c:pt idx="56">
                  <c:v>48375.497361743612</c:v>
                </c:pt>
                <c:pt idx="57">
                  <c:v>48375.497361743612</c:v>
                </c:pt>
                <c:pt idx="58">
                  <c:v>48427.985997148615</c:v>
                </c:pt>
                <c:pt idx="59">
                  <c:v>48480.474632553611</c:v>
                </c:pt>
                <c:pt idx="60">
                  <c:v>48480.474632553611</c:v>
                </c:pt>
                <c:pt idx="61">
                  <c:v>48480.474632553611</c:v>
                </c:pt>
                <c:pt idx="62">
                  <c:v>48748.458363729565</c:v>
                </c:pt>
                <c:pt idx="63">
                  <c:v>49016.44209490552</c:v>
                </c:pt>
                <c:pt idx="64">
                  <c:v>49016.44209490552</c:v>
                </c:pt>
                <c:pt idx="65">
                  <c:v>49016.44209490552</c:v>
                </c:pt>
                <c:pt idx="66">
                  <c:v>49017.491867613615</c:v>
                </c:pt>
                <c:pt idx="67">
                  <c:v>49018.541640321717</c:v>
                </c:pt>
                <c:pt idx="68">
                  <c:v>49018.541640321717</c:v>
                </c:pt>
                <c:pt idx="69">
                  <c:v>49018.541640321717</c:v>
                </c:pt>
                <c:pt idx="70">
                  <c:v>50843.593108166853</c:v>
                </c:pt>
                <c:pt idx="71">
                  <c:v>52668.644576011982</c:v>
                </c:pt>
                <c:pt idx="72">
                  <c:v>52668.644576011982</c:v>
                </c:pt>
                <c:pt idx="73">
                  <c:v>52668.644576011982</c:v>
                </c:pt>
                <c:pt idx="74">
                  <c:v>52675.609196011981</c:v>
                </c:pt>
                <c:pt idx="75">
                  <c:v>52682.57381601198</c:v>
                </c:pt>
                <c:pt idx="76">
                  <c:v>52682.57381601198</c:v>
                </c:pt>
                <c:pt idx="77">
                  <c:v>52682.57381601198</c:v>
                </c:pt>
                <c:pt idx="78">
                  <c:v>52774.68826583292</c:v>
                </c:pt>
                <c:pt idx="79">
                  <c:v>52866.802715653859</c:v>
                </c:pt>
                <c:pt idx="80">
                  <c:v>52866.802715653859</c:v>
                </c:pt>
                <c:pt idx="81">
                  <c:v>52866.802715653859</c:v>
                </c:pt>
                <c:pt idx="82">
                  <c:v>52915.513428353079</c:v>
                </c:pt>
                <c:pt idx="83">
                  <c:v>52964.224141052306</c:v>
                </c:pt>
                <c:pt idx="84">
                  <c:v>52964.224141052306</c:v>
                </c:pt>
                <c:pt idx="85">
                  <c:v>52964.224141052306</c:v>
                </c:pt>
                <c:pt idx="86">
                  <c:v>52985.579100748415</c:v>
                </c:pt>
                <c:pt idx="87">
                  <c:v>53006.934060444524</c:v>
                </c:pt>
                <c:pt idx="88">
                  <c:v>53006.934060444524</c:v>
                </c:pt>
                <c:pt idx="89">
                  <c:v>53006.934060444524</c:v>
                </c:pt>
                <c:pt idx="90">
                  <c:v>53078.257583295737</c:v>
                </c:pt>
                <c:pt idx="91">
                  <c:v>53149.581106146943</c:v>
                </c:pt>
                <c:pt idx="92">
                  <c:v>53149.581106146943</c:v>
                </c:pt>
                <c:pt idx="93">
                  <c:v>53149.581106146943</c:v>
                </c:pt>
                <c:pt idx="94">
                  <c:v>53871.898736758332</c:v>
                </c:pt>
                <c:pt idx="95">
                  <c:v>54594.216367369714</c:v>
                </c:pt>
                <c:pt idx="96">
                  <c:v>54594.216367369714</c:v>
                </c:pt>
                <c:pt idx="97">
                  <c:v>54594.216367369714</c:v>
                </c:pt>
                <c:pt idx="98">
                  <c:v>54597.186993898082</c:v>
                </c:pt>
                <c:pt idx="99">
                  <c:v>54600.157620426442</c:v>
                </c:pt>
                <c:pt idx="100">
                  <c:v>54600.157620426442</c:v>
                </c:pt>
              </c:numCache>
            </c:numRef>
          </c:cat>
          <c:val>
            <c:numRef>
              <c:f>'Cascade Data 7'!$B$5:$B$105</c:f>
              <c:numCache>
                <c:formatCode>General</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0-602E-46E9-B82A-EF985C398189}"/>
            </c:ext>
          </c:extLst>
        </c:ser>
        <c:ser>
          <c:idx val="25"/>
          <c:order val="1"/>
          <c:tx>
            <c:strRef>
              <c:f>'project_cost-benefit'!$Y$1</c:f>
              <c:strCache>
                <c:ptCount val="1"/>
                <c:pt idx="0">
                  <c:v>High-efficiency elevator motors</c:v>
                </c:pt>
              </c:strCache>
            </c:strRef>
          </c:tx>
          <c:spPr>
            <a:solidFill>
              <a:srgbClr val="FFFF99"/>
            </a:solidFill>
            <a:ln w="3175">
              <a:solidFill>
                <a:srgbClr val="000000"/>
              </a:solidFill>
              <a:prstDash val="solid"/>
            </a:ln>
          </c:spPr>
          <c:val>
            <c:numRef>
              <c:f>'Cascade Data 7'!$AA$5:$AA$105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18626.372171782124</c:v>
                </c:pt>
                <c:pt idx="98">
                  <c:v>18626.372171782124</c:v>
                </c:pt>
                <c:pt idx="99">
                  <c:v>18626.372171782124</c:v>
                </c:pt>
                <c:pt idx="100">
                  <c:v>0</c:v>
                </c:pt>
              </c:numCache>
            </c:numRef>
          </c:val>
          <c:extLst>
            <c:ext xmlns:c16="http://schemas.microsoft.com/office/drawing/2014/chart" uri="{C3380CC4-5D6E-409C-BE32-E72D297353CC}">
              <c16:uniqueId val="{00000001-602E-46E9-B82A-EF985C398189}"/>
            </c:ext>
          </c:extLst>
        </c:ser>
        <c:ser>
          <c:idx val="24"/>
          <c:order val="2"/>
          <c:tx>
            <c:strRef>
              <c:f>'project_cost-benefit'!$X$1</c:f>
              <c:strCache>
                <c:ptCount val="1"/>
                <c:pt idx="0">
                  <c:v>New AHUs</c:v>
                </c:pt>
              </c:strCache>
            </c:strRef>
          </c:tx>
          <c:spPr>
            <a:solidFill>
              <a:srgbClr val="FF0000"/>
            </a:solidFill>
            <a:ln w="3175">
              <a:solidFill>
                <a:srgbClr val="000000"/>
              </a:solidFill>
              <a:prstDash val="solid"/>
            </a:ln>
          </c:spPr>
          <c:val>
            <c:numRef>
              <c:f>'Cascade Data 7'!$Z$5:$Z$105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2000.0138223955341</c:v>
                </c:pt>
                <c:pt idx="94">
                  <c:v>2000.0138223955341</c:v>
                </c:pt>
                <c:pt idx="95">
                  <c:v>2000.0138223955341</c:v>
                </c:pt>
                <c:pt idx="96">
                  <c:v>0</c:v>
                </c:pt>
                <c:pt idx="97">
                  <c:v>0</c:v>
                </c:pt>
                <c:pt idx="98">
                  <c:v>0</c:v>
                </c:pt>
                <c:pt idx="99">
                  <c:v>0</c:v>
                </c:pt>
                <c:pt idx="100">
                  <c:v>0</c:v>
                </c:pt>
              </c:numCache>
            </c:numRef>
          </c:val>
          <c:extLst>
            <c:ext xmlns:c16="http://schemas.microsoft.com/office/drawing/2014/chart" uri="{C3380CC4-5D6E-409C-BE32-E72D297353CC}">
              <c16:uniqueId val="{00000002-602E-46E9-B82A-EF985C398189}"/>
            </c:ext>
          </c:extLst>
        </c:ser>
        <c:ser>
          <c:idx val="23"/>
          <c:order val="3"/>
          <c:tx>
            <c:strRef>
              <c:f>'project_cost-benefit'!$W$1</c:f>
              <c:strCache>
                <c:ptCount val="1"/>
                <c:pt idx="0">
                  <c:v>Zero/Low emission vehicles</c:v>
                </c:pt>
              </c:strCache>
            </c:strRef>
          </c:tx>
          <c:spPr>
            <a:solidFill>
              <a:srgbClr val="777777"/>
            </a:solidFill>
            <a:ln w="3175">
              <a:solidFill>
                <a:srgbClr val="000000"/>
              </a:solidFill>
              <a:prstDash val="solid"/>
            </a:ln>
          </c:spPr>
          <c:val>
            <c:numRef>
              <c:f>'Cascade Data 7'!$Y$5:$Y$105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464.9458975919726</c:v>
                </c:pt>
                <c:pt idx="90">
                  <c:v>464.9458975919726</c:v>
                </c:pt>
                <c:pt idx="91">
                  <c:v>464.9458975919726</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3-602E-46E9-B82A-EF985C398189}"/>
            </c:ext>
          </c:extLst>
        </c:ser>
        <c:ser>
          <c:idx val="22"/>
          <c:order val="4"/>
          <c:tx>
            <c:strRef>
              <c:f>'project_cost-benefit'!$V$1</c:f>
              <c:strCache>
                <c:ptCount val="1"/>
                <c:pt idx="0">
                  <c:v>Book-stack lighting</c:v>
                </c:pt>
              </c:strCache>
            </c:strRef>
          </c:tx>
          <c:spPr>
            <a:solidFill>
              <a:srgbClr val="00CC00"/>
            </a:solidFill>
            <a:ln w="3175">
              <a:solidFill>
                <a:srgbClr val="000000"/>
              </a:solidFill>
              <a:prstDash val="solid"/>
            </a:ln>
          </c:spPr>
          <c:val>
            <c:numRef>
              <c:f>'Cascade Data 7'!$X$5:$X$105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347.14358874068017</c:v>
                </c:pt>
                <c:pt idx="86">
                  <c:v>347.14358874068017</c:v>
                </c:pt>
                <c:pt idx="87">
                  <c:v>347.14358874068017</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4-602E-46E9-B82A-EF985C398189}"/>
            </c:ext>
          </c:extLst>
        </c:ser>
        <c:ser>
          <c:idx val="21"/>
          <c:order val="5"/>
          <c:tx>
            <c:strRef>
              <c:f>'project_cost-benefit'!$U$1</c:f>
              <c:strCache>
                <c:ptCount val="1"/>
                <c:pt idx="0">
                  <c:v>Task area lighting</c:v>
                </c:pt>
              </c:strCache>
            </c:strRef>
          </c:tx>
          <c:spPr>
            <a:solidFill>
              <a:srgbClr val="FFDD71"/>
            </a:solidFill>
            <a:ln w="3175">
              <a:solidFill>
                <a:srgbClr val="000000"/>
              </a:solidFill>
              <a:prstDash val="solid"/>
            </a:ln>
          </c:spPr>
          <c:val>
            <c:numRef>
              <c:f>'Cascade Data 7'!$W$5:$W$105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172.02227221269032</c:v>
                </c:pt>
                <c:pt idx="82">
                  <c:v>172.02227221269032</c:v>
                </c:pt>
                <c:pt idx="83">
                  <c:v>172.02227221269032</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5-602E-46E9-B82A-EF985C398189}"/>
            </c:ext>
          </c:extLst>
        </c:ser>
        <c:ser>
          <c:idx val="20"/>
          <c:order val="6"/>
          <c:tx>
            <c:strRef>
              <c:f>'project_cost-benefit'!$T$1</c:f>
              <c:strCache>
                <c:ptCount val="1"/>
                <c:pt idx="0">
                  <c:v>Phase out all HCFC equipment</c:v>
                </c:pt>
              </c:strCache>
            </c:strRef>
          </c:tx>
          <c:spPr>
            <a:solidFill>
              <a:srgbClr val="3366FF"/>
            </a:solidFill>
            <a:ln w="3175">
              <a:solidFill>
                <a:srgbClr val="000000"/>
              </a:solidFill>
              <a:prstDash val="solid"/>
            </a:ln>
          </c:spPr>
          <c:val>
            <c:numRef>
              <c:f>'Cascade Data 7'!$V$5:$V$105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68.792524953207504</c:v>
                </c:pt>
                <c:pt idx="78">
                  <c:v>68.792524953207504</c:v>
                </c:pt>
                <c:pt idx="79">
                  <c:v>68.792524953207504</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6-602E-46E9-B82A-EF985C398189}"/>
            </c:ext>
          </c:extLst>
        </c:ser>
        <c:ser>
          <c:idx val="19"/>
          <c:order val="7"/>
          <c:tx>
            <c:strRef>
              <c:f>'project_cost-benefit'!$S$1</c:f>
              <c:strCache>
                <c:ptCount val="1"/>
                <c:pt idx="0">
                  <c:v>Battery-powered Grounds Eqmt</c:v>
                </c:pt>
              </c:strCache>
            </c:strRef>
          </c:tx>
          <c:spPr>
            <a:solidFill>
              <a:srgbClr val="FF66FF"/>
            </a:solidFill>
            <a:ln w="3175">
              <a:solidFill>
                <a:srgbClr val="000000"/>
              </a:solidFill>
              <a:prstDash val="solid"/>
            </a:ln>
          </c:spPr>
          <c:val>
            <c:numRef>
              <c:f>'Cascade Data 7'!$U$5:$U$105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62.975438717403101</c:v>
                </c:pt>
                <c:pt idx="74">
                  <c:v>62.975438717403101</c:v>
                </c:pt>
                <c:pt idx="75">
                  <c:v>62.975438717403101</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7-602E-46E9-B82A-EF985C398189}"/>
            </c:ext>
          </c:extLst>
        </c:ser>
        <c:ser>
          <c:idx val="18"/>
          <c:order val="8"/>
          <c:tx>
            <c:strRef>
              <c:f>'project_cost-benefit'!$R$1</c:f>
              <c:strCache>
                <c:ptCount val="1"/>
                <c:pt idx="0">
                  <c:v>Interior LED lighting </c:v>
                </c:pt>
              </c:strCache>
            </c:strRef>
          </c:tx>
          <c:spPr>
            <a:solidFill>
              <a:srgbClr val="00CCFF"/>
            </a:solidFill>
            <a:ln w="3175">
              <a:solidFill>
                <a:srgbClr val="000000"/>
              </a:solidFill>
              <a:prstDash val="solid"/>
            </a:ln>
          </c:spPr>
          <c:val>
            <c:numRef>
              <c:f>'Cascade Data 7'!$T$5:$T$105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48.912598966131668</c:v>
                </c:pt>
                <c:pt idx="70">
                  <c:v>48.912598966131668</c:v>
                </c:pt>
                <c:pt idx="71">
                  <c:v>48.912598966131668</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8-602E-46E9-B82A-EF985C398189}"/>
            </c:ext>
          </c:extLst>
        </c:ser>
        <c:ser>
          <c:idx val="17"/>
          <c:order val="9"/>
          <c:tx>
            <c:strRef>
              <c:f>'project_cost-benefit'!$Q$1</c:f>
              <c:strCache>
                <c:ptCount val="1"/>
                <c:pt idx="0">
                  <c:v>No-Idling Policy</c:v>
                </c:pt>
              </c:strCache>
            </c:strRef>
          </c:tx>
          <c:spPr>
            <a:solidFill>
              <a:srgbClr val="EBF1DE"/>
            </a:solidFill>
            <a:ln w="3175">
              <a:solidFill>
                <a:srgbClr val="000000"/>
              </a:solidFill>
              <a:prstDash val="solid"/>
            </a:ln>
          </c:spPr>
          <c:val>
            <c:numRef>
              <c:f>'Cascade Data 7'!$S$5:$S$105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23.54418514531012</c:v>
                </c:pt>
                <c:pt idx="66">
                  <c:v>23.54418514531012</c:v>
                </c:pt>
                <c:pt idx="67">
                  <c:v>23.54418514531012</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9-602E-46E9-B82A-EF985C398189}"/>
            </c:ext>
          </c:extLst>
        </c:ser>
        <c:ser>
          <c:idx val="16"/>
          <c:order val="10"/>
          <c:tx>
            <c:strRef>
              <c:f>'project_cost-benefit'!$P$1</c:f>
              <c:strCache>
                <c:ptCount val="1"/>
                <c:pt idx="0">
                  <c:v>Pneumatic to DDC controls</c:v>
                </c:pt>
              </c:strCache>
            </c:strRef>
          </c:tx>
          <c:spPr>
            <a:solidFill>
              <a:srgbClr val="00B050"/>
            </a:solidFill>
            <a:ln w="3175">
              <a:solidFill>
                <a:srgbClr val="000000"/>
              </a:solidFill>
              <a:prstDash val="solid"/>
            </a:ln>
          </c:spPr>
          <c:val>
            <c:numRef>
              <c:f>'Cascade Data 7'!$R$5:$R$105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18.033117548929134</c:v>
                </c:pt>
                <c:pt idx="62">
                  <c:v>18.033117548929134</c:v>
                </c:pt>
                <c:pt idx="63">
                  <c:v>18.033117548929134</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A-602E-46E9-B82A-EF985C398189}"/>
            </c:ext>
          </c:extLst>
        </c:ser>
        <c:ser>
          <c:idx val="15"/>
          <c:order val="11"/>
          <c:tx>
            <c:strRef>
              <c:f>'project_cost-benefit'!$O$1</c:f>
              <c:strCache>
                <c:ptCount val="1"/>
                <c:pt idx="0">
                  <c:v>Bike Share</c:v>
                </c:pt>
              </c:strCache>
            </c:strRef>
          </c:tx>
          <c:spPr>
            <a:solidFill>
              <a:srgbClr val="DAEEF3"/>
            </a:solidFill>
            <a:ln w="3175">
              <a:solidFill>
                <a:srgbClr val="000000"/>
              </a:solidFill>
              <a:prstDash val="solid"/>
            </a:ln>
          </c:spPr>
          <c:val>
            <c:numRef>
              <c:f>'Cascade Data 7'!$Q$5:$Q$105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-10.748952523659154</c:v>
                </c:pt>
                <c:pt idx="58">
                  <c:v>-10.748952523659154</c:v>
                </c:pt>
                <c:pt idx="59">
                  <c:v>-10.748952523659154</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B-602E-46E9-B82A-EF985C398189}"/>
            </c:ext>
          </c:extLst>
        </c:ser>
        <c:ser>
          <c:idx val="14"/>
          <c:order val="12"/>
          <c:tx>
            <c:strRef>
              <c:f>'project_cost-benefit'!$N$1</c:f>
              <c:strCache>
                <c:ptCount val="1"/>
                <c:pt idx="0">
                  <c:v>Sizing Vehicle Fleet</c:v>
                </c:pt>
              </c:strCache>
            </c:strRef>
          </c:tx>
          <c:spPr>
            <a:solidFill>
              <a:srgbClr val="00CC99"/>
            </a:solidFill>
            <a:ln w="3175">
              <a:solidFill>
                <a:srgbClr val="000000"/>
              </a:solidFill>
              <a:prstDash val="solid"/>
            </a:ln>
          </c:spPr>
          <c:val>
            <c:numRef>
              <c:f>'Cascade Data 7'!$P$5:$P$105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-14.559301153544629</c:v>
                </c:pt>
                <c:pt idx="54">
                  <c:v>-14.559301153544629</c:v>
                </c:pt>
                <c:pt idx="55">
                  <c:v>-14.559301153544629</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C-602E-46E9-B82A-EF985C398189}"/>
            </c:ext>
          </c:extLst>
        </c:ser>
        <c:ser>
          <c:idx val="13"/>
          <c:order val="13"/>
          <c:tx>
            <c:strRef>
              <c:f>'project_cost-benefit'!$M$1</c:f>
              <c:strCache>
                <c:ptCount val="1"/>
                <c:pt idx="0">
                  <c:v>Central Plant Chiller Retrofit</c:v>
                </c:pt>
              </c:strCache>
            </c:strRef>
          </c:tx>
          <c:spPr>
            <a:solidFill>
              <a:srgbClr val="FF9900"/>
            </a:solidFill>
            <a:ln w="3175">
              <a:solidFill>
                <a:srgbClr val="000000"/>
              </a:solidFill>
              <a:prstDash val="solid"/>
            </a:ln>
          </c:spPr>
          <c:val>
            <c:numRef>
              <c:f>'Cascade Data 7'!$O$5:$O$105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-23.38451536483398</c:v>
                </c:pt>
                <c:pt idx="50">
                  <c:v>-23.38451536483398</c:v>
                </c:pt>
                <c:pt idx="51">
                  <c:v>-23.38451536483398</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D-602E-46E9-B82A-EF985C398189}"/>
            </c:ext>
          </c:extLst>
        </c:ser>
        <c:ser>
          <c:idx val="12"/>
          <c:order val="14"/>
          <c:tx>
            <c:strRef>
              <c:f>'project_cost-benefit'!$L$1</c:f>
              <c:strCache>
                <c:ptCount val="1"/>
                <c:pt idx="0">
                  <c:v>Demand controlled ventilation</c:v>
                </c:pt>
              </c:strCache>
            </c:strRef>
          </c:tx>
          <c:spPr>
            <a:solidFill>
              <a:srgbClr val="FFCCFF"/>
            </a:solidFill>
            <a:ln w="3175">
              <a:solidFill>
                <a:srgbClr val="000000"/>
              </a:solidFill>
              <a:prstDash val="solid"/>
            </a:ln>
          </c:spPr>
          <c:val>
            <c:numRef>
              <c:f>'Cascade Data 7'!$N$5:$N$105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-58.213704902308336</c:v>
                </c:pt>
                <c:pt idx="46">
                  <c:v>-58.213704902308336</c:v>
                </c:pt>
                <c:pt idx="47">
                  <c:v>-58.213704902308336</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E-602E-46E9-B82A-EF985C398189}"/>
            </c:ext>
          </c:extLst>
        </c:ser>
        <c:ser>
          <c:idx val="11"/>
          <c:order val="15"/>
          <c:tx>
            <c:strRef>
              <c:f>'project_cost-benefit'!$K$1</c:f>
              <c:strCache>
                <c:ptCount val="1"/>
                <c:pt idx="0">
                  <c:v>Solar PV </c:v>
                </c:pt>
              </c:strCache>
            </c:strRef>
          </c:tx>
          <c:spPr>
            <a:solidFill>
              <a:srgbClr val="FFFF00"/>
            </a:solidFill>
            <a:ln w="3175">
              <a:solidFill>
                <a:srgbClr val="000000"/>
              </a:solidFill>
              <a:prstDash val="solid"/>
            </a:ln>
          </c:spPr>
          <c:val>
            <c:numRef>
              <c:f>'Cascade Data 7'!$M$5:$M$105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-67.657275366439279</c:v>
                </c:pt>
                <c:pt idx="42">
                  <c:v>-67.657275366439279</c:v>
                </c:pt>
                <c:pt idx="43">
                  <c:v>-67.657275366439279</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0F-602E-46E9-B82A-EF985C398189}"/>
            </c:ext>
          </c:extLst>
        </c:ser>
        <c:ser>
          <c:idx val="10"/>
          <c:order val="16"/>
          <c:tx>
            <c:strRef>
              <c:f>'project_cost-benefit'!$J$1</c:f>
              <c:strCache>
                <c:ptCount val="1"/>
                <c:pt idx="0">
                  <c:v>High efficiency windows</c:v>
                </c:pt>
              </c:strCache>
            </c:strRef>
          </c:tx>
          <c:spPr>
            <a:solidFill>
              <a:srgbClr val="16365C"/>
            </a:solidFill>
            <a:ln w="3175">
              <a:solidFill>
                <a:srgbClr val="000000"/>
              </a:solidFill>
              <a:prstDash val="solid"/>
            </a:ln>
          </c:spPr>
          <c:val>
            <c:numRef>
              <c:f>'Cascade Data 7'!$L$5:$L$105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-146.97918084218279</c:v>
                </c:pt>
                <c:pt idx="38">
                  <c:v>-146.97918084218279</c:v>
                </c:pt>
                <c:pt idx="39">
                  <c:v>-146.97918084218279</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0-602E-46E9-B82A-EF985C398189}"/>
            </c:ext>
          </c:extLst>
        </c:ser>
        <c:ser>
          <c:idx val="9"/>
          <c:order val="17"/>
          <c:tx>
            <c:strRef>
              <c:f>'project_cost-benefit'!$I$1</c:f>
              <c:strCache>
                <c:ptCount val="1"/>
                <c:pt idx="0">
                  <c:v>Exterior LED lighting &amp; controls</c:v>
                </c:pt>
              </c:strCache>
            </c:strRef>
          </c:tx>
          <c:spPr>
            <a:solidFill>
              <a:srgbClr val="D9D9D9"/>
            </a:solidFill>
            <a:ln w="3175">
              <a:solidFill>
                <a:srgbClr val="000000"/>
              </a:solidFill>
              <a:prstDash val="solid"/>
            </a:ln>
          </c:spPr>
          <c:val>
            <c:numRef>
              <c:f>'Cascade Data 7'!$K$5:$K$105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-151.00247509412324</c:v>
                </c:pt>
                <c:pt idx="34">
                  <c:v>-151.00247509412324</c:v>
                </c:pt>
                <c:pt idx="35">
                  <c:v>-151.00247509412324</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1-602E-46E9-B82A-EF985C398189}"/>
            </c:ext>
          </c:extLst>
        </c:ser>
        <c:ser>
          <c:idx val="8"/>
          <c:order val="18"/>
          <c:tx>
            <c:strRef>
              <c:f>'project_cost-benefit'!$H$1</c:f>
              <c:strCache>
                <c:ptCount val="1"/>
                <c:pt idx="0">
                  <c:v>Occupancy-based HVAC</c:v>
                </c:pt>
              </c:strCache>
            </c:strRef>
          </c:tx>
          <c:spPr>
            <a:solidFill>
              <a:srgbClr val="FCD5B4"/>
            </a:solidFill>
            <a:ln w="3175">
              <a:solidFill>
                <a:srgbClr val="000000"/>
              </a:solidFill>
              <a:prstDash val="solid"/>
            </a:ln>
          </c:spPr>
          <c:val>
            <c:numRef>
              <c:f>'Cascade Data 7'!$J$5:$J$105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-163.29559536526364</c:v>
                </c:pt>
                <c:pt idx="30">
                  <c:v>-163.29559536526364</c:v>
                </c:pt>
                <c:pt idx="31">
                  <c:v>-163.29559536526364</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2-602E-46E9-B82A-EF985C398189}"/>
            </c:ext>
          </c:extLst>
        </c:ser>
        <c:ser>
          <c:idx val="7"/>
          <c:order val="19"/>
          <c:tx>
            <c:strRef>
              <c:f>'project_cost-benefit'!$G$1</c:f>
              <c:strCache>
                <c:ptCount val="1"/>
                <c:pt idx="0">
                  <c:v>Stairwell bi-level lighting</c:v>
                </c:pt>
              </c:strCache>
            </c:strRef>
          </c:tx>
          <c:spPr>
            <a:solidFill>
              <a:srgbClr val="948A54"/>
            </a:solidFill>
            <a:ln w="3175">
              <a:solidFill>
                <a:srgbClr val="000000"/>
              </a:solidFill>
              <a:prstDash val="solid"/>
            </a:ln>
          </c:spPr>
          <c:val>
            <c:numRef>
              <c:f>'Cascade Data 7'!$I$5:$I$105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-169.19005804359506</c:v>
                </c:pt>
                <c:pt idx="26">
                  <c:v>-169.19005804359506</c:v>
                </c:pt>
                <c:pt idx="27">
                  <c:v>-169.19005804359506</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3-602E-46E9-B82A-EF985C398189}"/>
            </c:ext>
          </c:extLst>
        </c:ser>
        <c:ser>
          <c:idx val="6"/>
          <c:order val="20"/>
          <c:tx>
            <c:strRef>
              <c:f>'project_cost-benefit'!$F$1</c:f>
              <c:strCache>
                <c:ptCount val="1"/>
                <c:pt idx="0">
                  <c:v>Daylight harvesting </c:v>
                </c:pt>
              </c:strCache>
            </c:strRef>
          </c:tx>
          <c:spPr>
            <a:solidFill>
              <a:srgbClr val="4BACC6"/>
            </a:solidFill>
            <a:ln w="3175">
              <a:solidFill>
                <a:srgbClr val="000000"/>
              </a:solidFill>
              <a:prstDash val="solid"/>
            </a:ln>
          </c:spPr>
          <c:val>
            <c:numRef>
              <c:f>'Cascade Data 7'!$H$5:$H$105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-179.09671549661277</c:v>
                </c:pt>
                <c:pt idx="22">
                  <c:v>-179.09671549661277</c:v>
                </c:pt>
                <c:pt idx="23">
                  <c:v>-179.09671549661277</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4-602E-46E9-B82A-EF985C398189}"/>
            </c:ext>
          </c:extLst>
        </c:ser>
        <c:ser>
          <c:idx val="5"/>
          <c:order val="21"/>
          <c:tx>
            <c:strRef>
              <c:f>'project_cost-benefit'!$E$1</c:f>
              <c:strCache>
                <c:ptCount val="1"/>
                <c:pt idx="0">
                  <c:v>Network Thermostats</c:v>
                </c:pt>
              </c:strCache>
            </c:strRef>
          </c:tx>
          <c:spPr>
            <a:solidFill>
              <a:srgbClr val="60497A"/>
            </a:solidFill>
            <a:ln w="3175">
              <a:solidFill>
                <a:srgbClr val="000000"/>
              </a:solidFill>
              <a:prstDash val="solid"/>
            </a:ln>
          </c:spPr>
          <c:val>
            <c:numRef>
              <c:f>'Cascade Data 7'!$G$5:$G$105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-179.44270667377234</c:v>
                </c:pt>
                <c:pt idx="18">
                  <c:v>-179.44270667377234</c:v>
                </c:pt>
                <c:pt idx="19">
                  <c:v>-179.44270667377234</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5-602E-46E9-B82A-EF985C398189}"/>
            </c:ext>
          </c:extLst>
        </c:ser>
        <c:ser>
          <c:idx val="4"/>
          <c:order val="22"/>
          <c:tx>
            <c:strRef>
              <c:f>'project_cost-benefit'!$D$1</c:f>
              <c:strCache>
                <c:ptCount val="1"/>
                <c:pt idx="0">
                  <c:v>Lighting occupancy sensors</c:v>
                </c:pt>
              </c:strCache>
            </c:strRef>
          </c:tx>
          <c:spPr>
            <a:solidFill>
              <a:srgbClr val="DA9694"/>
            </a:solidFill>
            <a:ln w="3175">
              <a:solidFill>
                <a:srgbClr val="000000"/>
              </a:solidFill>
              <a:prstDash val="solid"/>
            </a:ln>
          </c:spPr>
          <c:val>
            <c:numRef>
              <c:f>'Cascade Data 7'!$F$5:$F$105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-189.17714887523417</c:v>
                </c:pt>
                <c:pt idx="14">
                  <c:v>-189.17714887523417</c:v>
                </c:pt>
                <c:pt idx="15">
                  <c:v>-189.17714887523417</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6-602E-46E9-B82A-EF985C398189}"/>
            </c:ext>
          </c:extLst>
        </c:ser>
        <c:ser>
          <c:idx val="3"/>
          <c:order val="23"/>
          <c:tx>
            <c:strRef>
              <c:f>'project_cost-benefit'!$C$1</c:f>
              <c:strCache>
                <c:ptCount val="1"/>
                <c:pt idx="0">
                  <c:v>Computer shut-down mgmt</c:v>
                </c:pt>
              </c:strCache>
            </c:strRef>
          </c:tx>
          <c:spPr>
            <a:solidFill>
              <a:srgbClr val="99FF66"/>
            </a:solidFill>
            <a:ln w="3175">
              <a:solidFill>
                <a:srgbClr val="000000"/>
              </a:solidFill>
              <a:prstDash val="solid"/>
            </a:ln>
          </c:spPr>
          <c:val>
            <c:numRef>
              <c:f>'Cascade Data 7'!$E$5:$E$105</c:f>
              <c:numCache>
                <c:formatCode>#,##0</c:formatCode>
                <c:ptCount val="101"/>
                <c:pt idx="0">
                  <c:v>0</c:v>
                </c:pt>
                <c:pt idx="1">
                  <c:v>0</c:v>
                </c:pt>
                <c:pt idx="2">
                  <c:v>0</c:v>
                </c:pt>
                <c:pt idx="3">
                  <c:v>0</c:v>
                </c:pt>
                <c:pt idx="4">
                  <c:v>0</c:v>
                </c:pt>
                <c:pt idx="5">
                  <c:v>0</c:v>
                </c:pt>
                <c:pt idx="6">
                  <c:v>0</c:v>
                </c:pt>
                <c:pt idx="7">
                  <c:v>0</c:v>
                </c:pt>
                <c:pt idx="8">
                  <c:v>0</c:v>
                </c:pt>
                <c:pt idx="9">
                  <c:v>-196.01182193349268</c:v>
                </c:pt>
                <c:pt idx="10">
                  <c:v>-196.01182193349268</c:v>
                </c:pt>
                <c:pt idx="11">
                  <c:v>-196.01182193349268</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7-602E-46E9-B82A-EF985C398189}"/>
            </c:ext>
          </c:extLst>
        </c:ser>
        <c:ser>
          <c:idx val="2"/>
          <c:order val="24"/>
          <c:tx>
            <c:strRef>
              <c:f>'project_cost-benefit'!$B$1</c:f>
              <c:strCache>
                <c:ptCount val="1"/>
                <c:pt idx="0">
                  <c:v>Vending misers </c:v>
                </c:pt>
              </c:strCache>
            </c:strRef>
          </c:tx>
          <c:spPr>
            <a:solidFill>
              <a:srgbClr val="76933C"/>
            </a:solidFill>
            <a:ln w="3175">
              <a:solidFill>
                <a:srgbClr val="000000"/>
              </a:solidFill>
              <a:prstDash val="solid"/>
            </a:ln>
          </c:spPr>
          <c:val>
            <c:numRef>
              <c:f>'Cascade Data 7'!$D$5:$D$105</c:f>
              <c:numCache>
                <c:formatCode>#,##0</c:formatCode>
                <c:ptCount val="101"/>
                <c:pt idx="0">
                  <c:v>0</c:v>
                </c:pt>
                <c:pt idx="1">
                  <c:v>0</c:v>
                </c:pt>
                <c:pt idx="2">
                  <c:v>0</c:v>
                </c:pt>
                <c:pt idx="3">
                  <c:v>0</c:v>
                </c:pt>
                <c:pt idx="4">
                  <c:v>0</c:v>
                </c:pt>
                <c:pt idx="5">
                  <c:v>-206.04539837349427</c:v>
                </c:pt>
                <c:pt idx="6">
                  <c:v>-206.04539837349427</c:v>
                </c:pt>
                <c:pt idx="7">
                  <c:v>-206.04539837349427</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8-602E-46E9-B82A-EF985C398189}"/>
            </c:ext>
          </c:extLst>
        </c:ser>
        <c:ser>
          <c:idx val="1"/>
          <c:order val="25"/>
          <c:tx>
            <c:strRef>
              <c:f>'project_cost-benefit'!$A$1</c:f>
              <c:strCache>
                <c:ptCount val="1"/>
                <c:pt idx="0">
                  <c:v>Central Plant Chiller Savings</c:v>
                </c:pt>
              </c:strCache>
            </c:strRef>
          </c:tx>
          <c:spPr>
            <a:solidFill>
              <a:srgbClr val="8DB4E2"/>
            </a:solidFill>
            <a:ln w="3175">
              <a:solidFill>
                <a:srgbClr val="000000"/>
              </a:solidFill>
              <a:prstDash val="solid"/>
            </a:ln>
          </c:spPr>
          <c:val>
            <c:numRef>
              <c:f>'Cascade Data 7'!$C$5:$C$105</c:f>
              <c:numCache>
                <c:formatCode>#,##0</c:formatCode>
                <c:ptCount val="101"/>
                <c:pt idx="0">
                  <c:v>0</c:v>
                </c:pt>
                <c:pt idx="1">
                  <c:v>-224.86997034955198</c:v>
                </c:pt>
                <c:pt idx="2">
                  <c:v>-224.86997034955198</c:v>
                </c:pt>
                <c:pt idx="3">
                  <c:v>-224.86997034955198</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19-602E-46E9-B82A-EF985C398189}"/>
            </c:ext>
          </c:extLst>
        </c:ser>
        <c:ser>
          <c:idx val="26"/>
          <c:order val="26"/>
          <c:spPr>
            <a:ln w="3175">
              <a:solidFill>
                <a:srgbClr val="000000"/>
              </a:solidFill>
              <a:prstDash val="solid"/>
            </a:ln>
          </c:spPr>
          <c:dLbls>
            <c:dLbl>
              <c:idx val="0"/>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602E-46E9-B82A-EF985C398189}"/>
                </c:ext>
              </c:extLst>
            </c:dLbl>
            <c:dLbl>
              <c:idx val="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602E-46E9-B82A-EF985C398189}"/>
                </c:ext>
              </c:extLst>
            </c:dLbl>
            <c:dLbl>
              <c:idx val="2"/>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602E-46E9-B82A-EF985C398189}"/>
                </c:ext>
              </c:extLst>
            </c:dLbl>
            <c:dLbl>
              <c:idx val="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602E-46E9-B82A-EF985C398189}"/>
                </c:ext>
              </c:extLst>
            </c:dLbl>
            <c:dLbl>
              <c:idx val="4"/>
              <c:layout>
                <c:manualLayout>
                  <c:x val="-7.9441819772528531E-3"/>
                  <c:y val="-3.0769230769230771E-2"/>
                </c:manualLayout>
              </c:layout>
              <c:tx>
                <c:strRef>
                  <c:f>'Cascade Data 7'!$BB$7</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{FA8C0245-486D-4174-801E-62B731609531}</c15:txfldGUID>
                      <c15:f>'Cascade Data 7'!$BB$7</c15:f>
                      <c15:dlblFieldTableCache>
                        <c:ptCount val="1"/>
                      </c15:dlblFieldTableCache>
                    </c15:dlblFTEntry>
                  </c15:dlblFieldTable>
                  <c15:showDataLabelsRange val="0"/>
                </c:ext>
                <c:ext xmlns:c16="http://schemas.microsoft.com/office/drawing/2014/chart" uri="{C3380CC4-5D6E-409C-BE32-E72D297353CC}">
                  <c16:uniqueId val="{0000001E-602E-46E9-B82A-EF985C398189}"/>
                </c:ext>
              </c:extLst>
            </c:dLbl>
            <c:dLbl>
              <c:idx val="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F-602E-46E9-B82A-EF985C398189}"/>
                </c:ext>
              </c:extLst>
            </c:dLbl>
            <c:dLbl>
              <c:idx val="6"/>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602E-46E9-B82A-EF985C398189}"/>
                </c:ext>
              </c:extLst>
            </c:dLbl>
            <c:dLbl>
              <c:idx val="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602E-46E9-B82A-EF985C398189}"/>
                </c:ext>
              </c:extLst>
            </c:dLbl>
            <c:dLbl>
              <c:idx val="8"/>
              <c:layout>
                <c:manualLayout>
                  <c:x val="-1.4330708661417323E-4"/>
                  <c:y val="-3.0769230769230771E-2"/>
                </c:manualLayout>
              </c:layout>
              <c:tx>
                <c:strRef>
                  <c:f>'Cascade Data 7'!$BB$11</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{FC6C78B5-D150-4518-BDE9-2784F4A368B0}</c15:txfldGUID>
                      <c15:f>'Cascade Data 7'!$BB$11</c15:f>
                      <c15:dlblFieldTableCache>
                        <c:ptCount val="1"/>
                      </c15:dlblFieldTableCache>
                    </c15:dlblFTEntry>
                  </c15:dlblFieldTable>
                  <c15:showDataLabelsRange val="0"/>
                </c:ext>
                <c:ext xmlns:c16="http://schemas.microsoft.com/office/drawing/2014/chart" uri="{C3380CC4-5D6E-409C-BE32-E72D297353CC}">
                  <c16:uniqueId val="{00000022-602E-46E9-B82A-EF985C398189}"/>
                </c:ext>
              </c:extLst>
            </c:dLbl>
            <c:dLbl>
              <c:idx val="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602E-46E9-B82A-EF985C398189}"/>
                </c:ext>
              </c:extLst>
            </c:dLbl>
            <c:dLbl>
              <c:idx val="10"/>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602E-46E9-B82A-EF985C398189}"/>
                </c:ext>
              </c:extLst>
            </c:dLbl>
            <c:dLbl>
              <c:idx val="1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602E-46E9-B82A-EF985C398189}"/>
                </c:ext>
              </c:extLst>
            </c:dLbl>
            <c:dLbl>
              <c:idx val="12"/>
              <c:layout>
                <c:manualLayout>
                  <c:x val="-1.6929133858267819E-3"/>
                  <c:y val="-3.0769230769230771E-2"/>
                </c:manualLayout>
              </c:layout>
              <c:tx>
                <c:strRef>
                  <c:f>'Cascade Data 7'!$BB$15</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{756B2C29-0B6F-4AC9-A4FA-4258918A4A62}</c15:txfldGUID>
                      <c15:f>'Cascade Data 7'!$BB$15</c15:f>
                      <c15:dlblFieldTableCache>
                        <c:ptCount val="1"/>
                      </c15:dlblFieldTableCache>
                    </c15:dlblFTEntry>
                  </c15:dlblFieldTable>
                  <c15:showDataLabelsRange val="0"/>
                </c:ext>
                <c:ext xmlns:c16="http://schemas.microsoft.com/office/drawing/2014/chart" uri="{C3380CC4-5D6E-409C-BE32-E72D297353CC}">
                  <c16:uniqueId val="{00000026-602E-46E9-B82A-EF985C398189}"/>
                </c:ext>
              </c:extLst>
            </c:dLbl>
            <c:dLbl>
              <c:idx val="1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7-602E-46E9-B82A-EF985C398189}"/>
                </c:ext>
              </c:extLst>
            </c:dLbl>
            <c:dLbl>
              <c:idx val="14"/>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8-602E-46E9-B82A-EF985C398189}"/>
                </c:ext>
              </c:extLst>
            </c:dLbl>
            <c:dLbl>
              <c:idx val="1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9-602E-46E9-B82A-EF985C398189}"/>
                </c:ext>
              </c:extLst>
            </c:dLbl>
            <c:dLbl>
              <c:idx val="16"/>
              <c:layout>
                <c:manualLayout>
                  <c:x val="-6.8631671041119863E-3"/>
                  <c:y val="-3.0769230769230771E-2"/>
                </c:manualLayout>
              </c:layout>
              <c:tx>
                <c:strRef>
                  <c:f>'Cascade Data 7'!$BB$19</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{16B0DC6A-3452-44B9-8965-98FA16FE9723}</c15:txfldGUID>
                      <c15:f>'Cascade Data 7'!$BB$19</c15:f>
                      <c15:dlblFieldTableCache>
                        <c:ptCount val="1"/>
                      </c15:dlblFieldTableCache>
                    </c15:dlblFTEntry>
                  </c15:dlblFieldTable>
                  <c15:showDataLabelsRange val="0"/>
                </c:ext>
                <c:ext xmlns:c16="http://schemas.microsoft.com/office/drawing/2014/chart" uri="{C3380CC4-5D6E-409C-BE32-E72D297353CC}">
                  <c16:uniqueId val="{0000002A-602E-46E9-B82A-EF985C398189}"/>
                </c:ext>
              </c:extLst>
            </c:dLbl>
            <c:dLbl>
              <c:idx val="1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B-602E-46E9-B82A-EF985C398189}"/>
                </c:ext>
              </c:extLst>
            </c:dLbl>
            <c:dLbl>
              <c:idx val="18"/>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C-602E-46E9-B82A-EF985C398189}"/>
                </c:ext>
              </c:extLst>
            </c:dLbl>
            <c:dLbl>
              <c:idx val="1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602E-46E9-B82A-EF985C398189}"/>
                </c:ext>
              </c:extLst>
            </c:dLbl>
            <c:dLbl>
              <c:idx val="20"/>
              <c:layout>
                <c:manualLayout>
                  <c:x val="-2.3181102362204724E-3"/>
                  <c:y val="-3.0769230769230771E-2"/>
                </c:manualLayout>
              </c:layout>
              <c:tx>
                <c:strRef>
                  <c:f>'Cascade Data 7'!$BB$23</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{FA502856-D22C-437D-BB1B-9DA3413735F0}</c15:txfldGUID>
                      <c15:f>'Cascade Data 7'!$BB$23</c15:f>
                      <c15:dlblFieldTableCache>
                        <c:ptCount val="1"/>
                      </c15:dlblFieldTableCache>
                    </c15:dlblFTEntry>
                  </c15:dlblFieldTable>
                  <c15:showDataLabelsRange val="0"/>
                </c:ext>
                <c:ext xmlns:c16="http://schemas.microsoft.com/office/drawing/2014/chart" uri="{C3380CC4-5D6E-409C-BE32-E72D297353CC}">
                  <c16:uniqueId val="{0000002E-602E-46E9-B82A-EF985C398189}"/>
                </c:ext>
              </c:extLst>
            </c:dLbl>
            <c:dLbl>
              <c:idx val="2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602E-46E9-B82A-EF985C398189}"/>
                </c:ext>
              </c:extLst>
            </c:dLbl>
            <c:dLbl>
              <c:idx val="22"/>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0-602E-46E9-B82A-EF985C398189}"/>
                </c:ext>
              </c:extLst>
            </c:dLbl>
            <c:dLbl>
              <c:idx val="2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1-602E-46E9-B82A-EF985C398189}"/>
                </c:ext>
              </c:extLst>
            </c:dLbl>
            <c:dLbl>
              <c:idx val="24"/>
              <c:layout>
                <c:manualLayout>
                  <c:x val="-1.4325459317585303E-3"/>
                  <c:y val="-3.0769230769230771E-2"/>
                </c:manualLayout>
              </c:layout>
              <c:tx>
                <c:strRef>
                  <c:f>'Cascade Data 7'!$BB$27</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{43159238-0938-4A67-9D2A-11AD1F86B782}</c15:txfldGUID>
                      <c15:f>'Cascade Data 7'!$BB$27</c15:f>
                      <c15:dlblFieldTableCache>
                        <c:ptCount val="1"/>
                      </c15:dlblFieldTableCache>
                    </c15:dlblFTEntry>
                  </c15:dlblFieldTable>
                  <c15:showDataLabelsRange val="0"/>
                </c:ext>
                <c:ext xmlns:c16="http://schemas.microsoft.com/office/drawing/2014/chart" uri="{C3380CC4-5D6E-409C-BE32-E72D297353CC}">
                  <c16:uniqueId val="{00000032-602E-46E9-B82A-EF985C398189}"/>
                </c:ext>
              </c:extLst>
            </c:dLbl>
            <c:dLbl>
              <c:idx val="2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3-602E-46E9-B82A-EF985C398189}"/>
                </c:ext>
              </c:extLst>
            </c:dLbl>
            <c:dLbl>
              <c:idx val="26"/>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4-602E-46E9-B82A-EF985C398189}"/>
                </c:ext>
              </c:extLst>
            </c:dLbl>
            <c:dLbl>
              <c:idx val="2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5-602E-46E9-B82A-EF985C398189}"/>
                </c:ext>
              </c:extLst>
            </c:dLbl>
            <c:dLbl>
              <c:idx val="28"/>
              <c:layout>
                <c:manualLayout>
                  <c:x val="-2.0839895013123358E-4"/>
                  <c:y val="-3.0769230769230771E-2"/>
                </c:manualLayout>
              </c:layout>
              <c:tx>
                <c:strRef>
                  <c:f>'Cascade Data 7'!$BB$31</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{C1CAA659-E84F-4546-A2F1-BD539BA8B6D7}</c15:txfldGUID>
                      <c15:f>'Cascade Data 7'!$BB$31</c15:f>
                      <c15:dlblFieldTableCache>
                        <c:ptCount val="1"/>
                      </c15:dlblFieldTableCache>
                    </c15:dlblFTEntry>
                  </c15:dlblFieldTable>
                  <c15:showDataLabelsRange val="0"/>
                </c:ext>
                <c:ext xmlns:c16="http://schemas.microsoft.com/office/drawing/2014/chart" uri="{C3380CC4-5D6E-409C-BE32-E72D297353CC}">
                  <c16:uniqueId val="{00000036-602E-46E9-B82A-EF985C398189}"/>
                </c:ext>
              </c:extLst>
            </c:dLbl>
            <c:dLbl>
              <c:idx val="2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7-602E-46E9-B82A-EF985C398189}"/>
                </c:ext>
              </c:extLst>
            </c:dLbl>
            <c:dLbl>
              <c:idx val="30"/>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8-602E-46E9-B82A-EF985C398189}"/>
                </c:ext>
              </c:extLst>
            </c:dLbl>
            <c:dLbl>
              <c:idx val="3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9-602E-46E9-B82A-EF985C398189}"/>
                </c:ext>
              </c:extLst>
            </c:dLbl>
            <c:dLbl>
              <c:idx val="32"/>
              <c:layout>
                <c:manualLayout>
                  <c:x val="-2.1943832020997374E-2"/>
                  <c:y val="-3.0769230769230771E-2"/>
                </c:manualLayout>
              </c:layout>
              <c:tx>
                <c:strRef>
                  <c:f>'Cascade Data 7'!$BB$35</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{EDE745F8-6855-4852-911A-3884B31D5FC0}</c15:txfldGUID>
                      <c15:f>'Cascade Data 7'!$BB$35</c15:f>
                      <c15:dlblFieldTableCache>
                        <c:ptCount val="1"/>
                      </c15:dlblFieldTableCache>
                    </c15:dlblFTEntry>
                  </c15:dlblFieldTable>
                  <c15:showDataLabelsRange val="0"/>
                </c:ext>
                <c:ext xmlns:c16="http://schemas.microsoft.com/office/drawing/2014/chart" uri="{C3380CC4-5D6E-409C-BE32-E72D297353CC}">
                  <c16:uniqueId val="{0000003A-602E-46E9-B82A-EF985C398189}"/>
                </c:ext>
              </c:extLst>
            </c:dLbl>
            <c:dLbl>
              <c:idx val="3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B-602E-46E9-B82A-EF985C398189}"/>
                </c:ext>
              </c:extLst>
            </c:dLbl>
            <c:dLbl>
              <c:idx val="34"/>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C-602E-46E9-B82A-EF985C398189}"/>
                </c:ext>
              </c:extLst>
            </c:dLbl>
            <c:dLbl>
              <c:idx val="3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D-602E-46E9-B82A-EF985C398189}"/>
                </c:ext>
              </c:extLst>
            </c:dLbl>
            <c:dLbl>
              <c:idx val="36"/>
              <c:layout>
                <c:manualLayout>
                  <c:x val="-5.4696412948381252E-3"/>
                  <c:y val="-3.0769230769230771E-2"/>
                </c:manualLayout>
              </c:layout>
              <c:tx>
                <c:strRef>
                  <c:f>'Cascade Data 7'!$BB$39</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{748A1EA0-F812-4F2F-BC0C-71B2C8A1DF79}</c15:txfldGUID>
                      <c15:f>'Cascade Data 7'!$BB$39</c15:f>
                      <c15:dlblFieldTableCache>
                        <c:ptCount val="1"/>
                      </c15:dlblFieldTableCache>
                    </c15:dlblFTEntry>
                  </c15:dlblFieldTable>
                  <c15:showDataLabelsRange val="0"/>
                </c:ext>
                <c:ext xmlns:c16="http://schemas.microsoft.com/office/drawing/2014/chart" uri="{C3380CC4-5D6E-409C-BE32-E72D297353CC}">
                  <c16:uniqueId val="{0000003E-602E-46E9-B82A-EF985C398189}"/>
                </c:ext>
              </c:extLst>
            </c:dLbl>
            <c:dLbl>
              <c:idx val="3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3F-602E-46E9-B82A-EF985C398189}"/>
                </c:ext>
              </c:extLst>
            </c:dLbl>
            <c:dLbl>
              <c:idx val="38"/>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0-602E-46E9-B82A-EF985C398189}"/>
                </c:ext>
              </c:extLst>
            </c:dLbl>
            <c:dLbl>
              <c:idx val="3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1-602E-46E9-B82A-EF985C398189}"/>
                </c:ext>
              </c:extLst>
            </c:dLbl>
            <c:dLbl>
              <c:idx val="40"/>
              <c:layout>
                <c:manualLayout>
                  <c:x val="-5.4306211723534562E-3"/>
                  <c:y val="-3.0769230769230771E-2"/>
                </c:manualLayout>
              </c:layout>
              <c:tx>
                <c:strRef>
                  <c:f>'Cascade Data 7'!$BB$43</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{16C7A00E-1598-49F3-9E7E-B484B016F161}</c15:txfldGUID>
                      <c15:f>'Cascade Data 7'!$BB$43</c15:f>
                      <c15:dlblFieldTableCache>
                        <c:ptCount val="1"/>
                      </c15:dlblFieldTableCache>
                    </c15:dlblFTEntry>
                  </c15:dlblFieldTable>
                  <c15:showDataLabelsRange val="0"/>
                </c:ext>
                <c:ext xmlns:c16="http://schemas.microsoft.com/office/drawing/2014/chart" uri="{C3380CC4-5D6E-409C-BE32-E72D297353CC}">
                  <c16:uniqueId val="{00000042-602E-46E9-B82A-EF985C398189}"/>
                </c:ext>
              </c:extLst>
            </c:dLbl>
            <c:dLbl>
              <c:idx val="4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3-602E-46E9-B82A-EF985C398189}"/>
                </c:ext>
              </c:extLst>
            </c:dLbl>
            <c:dLbl>
              <c:idx val="42"/>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4-602E-46E9-B82A-EF985C398189}"/>
                </c:ext>
              </c:extLst>
            </c:dLbl>
            <c:dLbl>
              <c:idx val="4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5-602E-46E9-B82A-EF985C398189}"/>
                </c:ext>
              </c:extLst>
            </c:dLbl>
            <c:dLbl>
              <c:idx val="44"/>
              <c:layout>
                <c:manualLayout>
                  <c:x val="-0.25182659667541557"/>
                  <c:y val="-3.0769230769230771E-2"/>
                </c:manualLayout>
              </c:layout>
              <c:tx>
                <c:strRef>
                  <c:f>'Cascade Data 7'!$BB$47</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{73909C8C-30C8-4BF3-B9C1-0FDB2D6E4603}</c15:txfldGUID>
                      <c15:f>'Cascade Data 7'!$BB$47</c15:f>
                      <c15:dlblFieldTableCache>
                        <c:ptCount val="1"/>
                      </c15:dlblFieldTableCache>
                    </c15:dlblFTEntry>
                  </c15:dlblFieldTable>
                  <c15:showDataLabelsRange val="0"/>
                </c:ext>
                <c:ext xmlns:c16="http://schemas.microsoft.com/office/drawing/2014/chart" uri="{C3380CC4-5D6E-409C-BE32-E72D297353CC}">
                  <c16:uniqueId val="{00000046-602E-46E9-B82A-EF985C398189}"/>
                </c:ext>
              </c:extLst>
            </c:dLbl>
            <c:dLbl>
              <c:idx val="4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7-602E-46E9-B82A-EF985C398189}"/>
                </c:ext>
              </c:extLst>
            </c:dLbl>
            <c:dLbl>
              <c:idx val="46"/>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8-602E-46E9-B82A-EF985C398189}"/>
                </c:ext>
              </c:extLst>
            </c:dLbl>
            <c:dLbl>
              <c:idx val="4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9-602E-46E9-B82A-EF985C398189}"/>
                </c:ext>
              </c:extLst>
            </c:dLbl>
            <c:dLbl>
              <c:idx val="48"/>
              <c:layout>
                <c:manualLayout>
                  <c:x val="-6.2640419947507372E-3"/>
                  <c:y val="-3.0769230769230771E-2"/>
                </c:manualLayout>
              </c:layout>
              <c:tx>
                <c:strRef>
                  <c:f>'Cascade Data 7'!$BB$51</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{1FFFDC78-CD73-4D0D-AC4C-59927D86FA8A}</c15:txfldGUID>
                      <c15:f>'Cascade Data 7'!$BB$51</c15:f>
                      <c15:dlblFieldTableCache>
                        <c:ptCount val="1"/>
                      </c15:dlblFieldTableCache>
                    </c15:dlblFTEntry>
                  </c15:dlblFieldTable>
                  <c15:showDataLabelsRange val="0"/>
                </c:ext>
                <c:ext xmlns:c16="http://schemas.microsoft.com/office/drawing/2014/chart" uri="{C3380CC4-5D6E-409C-BE32-E72D297353CC}">
                  <c16:uniqueId val="{0000004A-602E-46E9-B82A-EF985C398189}"/>
                </c:ext>
              </c:extLst>
            </c:dLbl>
            <c:dLbl>
              <c:idx val="4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B-602E-46E9-B82A-EF985C398189}"/>
                </c:ext>
              </c:extLst>
            </c:dLbl>
            <c:dLbl>
              <c:idx val="50"/>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C-602E-46E9-B82A-EF985C398189}"/>
                </c:ext>
              </c:extLst>
            </c:dLbl>
            <c:dLbl>
              <c:idx val="5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D-602E-46E9-B82A-EF985C398189}"/>
                </c:ext>
              </c:extLst>
            </c:dLbl>
            <c:dLbl>
              <c:idx val="52"/>
              <c:layout>
                <c:manualLayout>
                  <c:x val="-3.4250218722660483E-3"/>
                  <c:y val="-3.0769230769230771E-2"/>
                </c:manualLayout>
              </c:layout>
              <c:tx>
                <c:strRef>
                  <c:f>'Cascade Data 7'!$BB$55</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{615453C9-A17D-4079-A282-AE55872AE748}</c15:txfldGUID>
                      <c15:f>'Cascade Data 7'!$BB$55</c15:f>
                      <c15:dlblFieldTableCache>
                        <c:ptCount val="1"/>
                      </c15:dlblFieldTableCache>
                    </c15:dlblFTEntry>
                  </c15:dlblFieldTable>
                  <c15:showDataLabelsRange val="0"/>
                </c:ext>
                <c:ext xmlns:c16="http://schemas.microsoft.com/office/drawing/2014/chart" uri="{C3380CC4-5D6E-409C-BE32-E72D297353CC}">
                  <c16:uniqueId val="{0000004E-602E-46E9-B82A-EF985C398189}"/>
                </c:ext>
              </c:extLst>
            </c:dLbl>
            <c:dLbl>
              <c:idx val="5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4F-602E-46E9-B82A-EF985C398189}"/>
                </c:ext>
              </c:extLst>
            </c:dLbl>
            <c:dLbl>
              <c:idx val="54"/>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0-602E-46E9-B82A-EF985C398189}"/>
                </c:ext>
              </c:extLst>
            </c:dLbl>
            <c:dLbl>
              <c:idx val="5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1-602E-46E9-B82A-EF985C398189}"/>
                </c:ext>
              </c:extLst>
            </c:dLbl>
            <c:dLbl>
              <c:idx val="56"/>
              <c:layout>
                <c:manualLayout>
                  <c:x val="-2.6071741032452433E-5"/>
                  <c:y val="-3.0769230769230771E-2"/>
                </c:manualLayout>
              </c:layout>
              <c:tx>
                <c:strRef>
                  <c:f>'Cascade Data 7'!$BB$59</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{20D67660-CCE8-4BF5-8786-1512294AB42C}</c15:txfldGUID>
                      <c15:f>'Cascade Data 7'!$BB$59</c15:f>
                      <c15:dlblFieldTableCache>
                        <c:ptCount val="1"/>
                      </c15:dlblFieldTableCache>
                    </c15:dlblFTEntry>
                  </c15:dlblFieldTable>
                  <c15:showDataLabelsRange val="0"/>
                </c:ext>
                <c:ext xmlns:c16="http://schemas.microsoft.com/office/drawing/2014/chart" uri="{C3380CC4-5D6E-409C-BE32-E72D297353CC}">
                  <c16:uniqueId val="{00000052-602E-46E9-B82A-EF985C398189}"/>
                </c:ext>
              </c:extLst>
            </c:dLbl>
            <c:dLbl>
              <c:idx val="5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3-602E-46E9-B82A-EF985C398189}"/>
                </c:ext>
              </c:extLst>
            </c:dLbl>
            <c:dLbl>
              <c:idx val="58"/>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4-602E-46E9-B82A-EF985C398189}"/>
                </c:ext>
              </c:extLst>
            </c:dLbl>
            <c:dLbl>
              <c:idx val="5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5-602E-46E9-B82A-EF985C398189}"/>
                </c:ext>
              </c:extLst>
            </c:dLbl>
            <c:dLbl>
              <c:idx val="60"/>
              <c:layout>
                <c:manualLayout>
                  <c:x val="-6.9028871391084261E-4"/>
                  <c:y val="-3.0769230769230771E-2"/>
                </c:manualLayout>
              </c:layout>
              <c:tx>
                <c:strRef>
                  <c:f>'Cascade Data 7'!$BB$63</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{E66C840B-541C-4B76-B19F-D98640C26FAE}</c15:txfldGUID>
                      <c15:f>'Cascade Data 7'!$BB$63</c15:f>
                      <c15:dlblFieldTableCache>
                        <c:ptCount val="1"/>
                      </c15:dlblFieldTableCache>
                    </c15:dlblFTEntry>
                  </c15:dlblFieldTable>
                  <c15:showDataLabelsRange val="0"/>
                </c:ext>
                <c:ext xmlns:c16="http://schemas.microsoft.com/office/drawing/2014/chart" uri="{C3380CC4-5D6E-409C-BE32-E72D297353CC}">
                  <c16:uniqueId val="{00000056-602E-46E9-B82A-EF985C398189}"/>
                </c:ext>
              </c:extLst>
            </c:dLbl>
            <c:dLbl>
              <c:idx val="6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7-602E-46E9-B82A-EF985C398189}"/>
                </c:ext>
              </c:extLst>
            </c:dLbl>
            <c:dLbl>
              <c:idx val="62"/>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8-602E-46E9-B82A-EF985C398189}"/>
                </c:ext>
              </c:extLst>
            </c:dLbl>
            <c:dLbl>
              <c:idx val="6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9-602E-46E9-B82A-EF985C398189}"/>
                </c:ext>
              </c:extLst>
            </c:dLbl>
            <c:dLbl>
              <c:idx val="64"/>
              <c:layout>
                <c:manualLayout>
                  <c:x val="-3.4902887139106795E-3"/>
                  <c:y val="3.0769230769230771E-2"/>
                </c:manualLayout>
              </c:layout>
              <c:tx>
                <c:strRef>
                  <c:f>'Cascade Data 7'!$BB$67</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{3487DDB9-DA44-4776-9EE9-67E353630D75}</c15:txfldGUID>
                      <c15:f>'Cascade Data 7'!$BB$67</c15:f>
                      <c15:dlblFieldTableCache>
                        <c:ptCount val="1"/>
                      </c15:dlblFieldTableCache>
                    </c15:dlblFTEntry>
                  </c15:dlblFieldTable>
                  <c15:showDataLabelsRange val="0"/>
                </c:ext>
                <c:ext xmlns:c16="http://schemas.microsoft.com/office/drawing/2014/chart" uri="{C3380CC4-5D6E-409C-BE32-E72D297353CC}">
                  <c16:uniqueId val="{0000005A-602E-46E9-B82A-EF985C398189}"/>
                </c:ext>
              </c:extLst>
            </c:dLbl>
            <c:dLbl>
              <c:idx val="6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B-602E-46E9-B82A-EF985C398189}"/>
                </c:ext>
              </c:extLst>
            </c:dLbl>
            <c:dLbl>
              <c:idx val="66"/>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C-602E-46E9-B82A-EF985C398189}"/>
                </c:ext>
              </c:extLst>
            </c:dLbl>
            <c:dLbl>
              <c:idx val="6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D-602E-46E9-B82A-EF985C398189}"/>
                </c:ext>
              </c:extLst>
            </c:dLbl>
            <c:dLbl>
              <c:idx val="68"/>
              <c:layout>
                <c:manualLayout>
                  <c:x val="-1.3123359580052494E-5"/>
                  <c:y val="3.0769230769230771E-2"/>
                </c:manualLayout>
              </c:layout>
              <c:tx>
                <c:strRef>
                  <c:f>'Cascade Data 7'!$BB$71</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{7D95EBCF-D8E6-47DD-94D5-BC511EC5603E}</c15:txfldGUID>
                      <c15:f>'Cascade Data 7'!$BB$71</c15:f>
                      <c15:dlblFieldTableCache>
                        <c:ptCount val="1"/>
                      </c15:dlblFieldTableCache>
                    </c15:dlblFTEntry>
                  </c15:dlblFieldTable>
                  <c15:showDataLabelsRange val="0"/>
                </c:ext>
                <c:ext xmlns:c16="http://schemas.microsoft.com/office/drawing/2014/chart" uri="{C3380CC4-5D6E-409C-BE32-E72D297353CC}">
                  <c16:uniqueId val="{0000005E-602E-46E9-B82A-EF985C398189}"/>
                </c:ext>
              </c:extLst>
            </c:dLbl>
            <c:dLbl>
              <c:idx val="6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5F-602E-46E9-B82A-EF985C398189}"/>
                </c:ext>
              </c:extLst>
            </c:dLbl>
            <c:dLbl>
              <c:idx val="70"/>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0-602E-46E9-B82A-EF985C398189}"/>
                </c:ext>
              </c:extLst>
            </c:dLbl>
            <c:dLbl>
              <c:idx val="7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1-602E-46E9-B82A-EF985C398189}"/>
                </c:ext>
              </c:extLst>
            </c:dLbl>
            <c:dLbl>
              <c:idx val="72"/>
              <c:layout>
                <c:manualLayout>
                  <c:x val="-2.3767104111986084E-2"/>
                  <c:y val="3.0769230769230771E-2"/>
                </c:manualLayout>
              </c:layout>
              <c:tx>
                <c:strRef>
                  <c:f>'Cascade Data 7'!$BB$75</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{D49776E1-F167-4CA4-A484-73B00FCE6F57}</c15:txfldGUID>
                      <c15:f>'Cascade Data 7'!$BB$75</c15:f>
                      <c15:dlblFieldTableCache>
                        <c:ptCount val="1"/>
                      </c15:dlblFieldTableCache>
                    </c15:dlblFTEntry>
                  </c15:dlblFieldTable>
                  <c15:showDataLabelsRange val="0"/>
                </c:ext>
                <c:ext xmlns:c16="http://schemas.microsoft.com/office/drawing/2014/chart" uri="{C3380CC4-5D6E-409C-BE32-E72D297353CC}">
                  <c16:uniqueId val="{00000062-602E-46E9-B82A-EF985C398189}"/>
                </c:ext>
              </c:extLst>
            </c:dLbl>
            <c:dLbl>
              <c:idx val="7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3-602E-46E9-B82A-EF985C398189}"/>
                </c:ext>
              </c:extLst>
            </c:dLbl>
            <c:dLbl>
              <c:idx val="74"/>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4-602E-46E9-B82A-EF985C398189}"/>
                </c:ext>
              </c:extLst>
            </c:dLbl>
            <c:dLbl>
              <c:idx val="7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5-602E-46E9-B82A-EF985C398189}"/>
                </c:ext>
              </c:extLst>
            </c:dLbl>
            <c:dLbl>
              <c:idx val="76"/>
              <c:layout>
                <c:manualLayout>
                  <c:x val="-9.1163604549594285E-5"/>
                  <c:y val="3.0769230769230771E-2"/>
                </c:manualLayout>
              </c:layout>
              <c:tx>
                <c:strRef>
                  <c:f>'Cascade Data 7'!$BB$79</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{716F41FC-A6D7-4D42-973E-330F9DE25F40}</c15:txfldGUID>
                      <c15:f>'Cascade Data 7'!$BB$79</c15:f>
                      <c15:dlblFieldTableCache>
                        <c:ptCount val="1"/>
                      </c15:dlblFieldTableCache>
                    </c15:dlblFTEntry>
                  </c15:dlblFieldTable>
                  <c15:showDataLabelsRange val="0"/>
                </c:ext>
                <c:ext xmlns:c16="http://schemas.microsoft.com/office/drawing/2014/chart" uri="{C3380CC4-5D6E-409C-BE32-E72D297353CC}">
                  <c16:uniqueId val="{00000066-602E-46E9-B82A-EF985C398189}"/>
                </c:ext>
              </c:extLst>
            </c:dLbl>
            <c:dLbl>
              <c:idx val="7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7-602E-46E9-B82A-EF985C398189}"/>
                </c:ext>
              </c:extLst>
            </c:dLbl>
            <c:dLbl>
              <c:idx val="78"/>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8-602E-46E9-B82A-EF985C398189}"/>
                </c:ext>
              </c:extLst>
            </c:dLbl>
            <c:dLbl>
              <c:idx val="7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9-602E-46E9-B82A-EF985C398189}"/>
                </c:ext>
              </c:extLst>
            </c:dLbl>
            <c:dLbl>
              <c:idx val="80"/>
              <c:layout>
                <c:manualLayout>
                  <c:x val="-1.1980752405949255E-3"/>
                  <c:y val="3.0769230769230771E-2"/>
                </c:manualLayout>
              </c:layout>
              <c:tx>
                <c:strRef>
                  <c:f>'Cascade Data 7'!$BB$83</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{1B7F3F35-2362-46E3-82D2-F3C86A1868EC}</c15:txfldGUID>
                      <c15:f>'Cascade Data 7'!$BB$83</c15:f>
                      <c15:dlblFieldTableCache>
                        <c:ptCount val="1"/>
                      </c15:dlblFieldTableCache>
                    </c15:dlblFTEntry>
                  </c15:dlblFieldTable>
                  <c15:showDataLabelsRange val="0"/>
                </c:ext>
                <c:ext xmlns:c16="http://schemas.microsoft.com/office/drawing/2014/chart" uri="{C3380CC4-5D6E-409C-BE32-E72D297353CC}">
                  <c16:uniqueId val="{0000006A-602E-46E9-B82A-EF985C398189}"/>
                </c:ext>
              </c:extLst>
            </c:dLbl>
            <c:dLbl>
              <c:idx val="8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B-602E-46E9-B82A-EF985C398189}"/>
                </c:ext>
              </c:extLst>
            </c:dLbl>
            <c:dLbl>
              <c:idx val="82"/>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C-602E-46E9-B82A-EF985C398189}"/>
                </c:ext>
              </c:extLst>
            </c:dLbl>
            <c:dLbl>
              <c:idx val="8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D-602E-46E9-B82A-EF985C398189}"/>
                </c:ext>
              </c:extLst>
            </c:dLbl>
            <c:dLbl>
              <c:idx val="84"/>
              <c:layout>
                <c:manualLayout>
                  <c:x val="-6.3814523184601928E-4"/>
                  <c:y val="3.0769230769230771E-2"/>
                </c:manualLayout>
              </c:layout>
              <c:tx>
                <c:strRef>
                  <c:f>'Cascade Data 7'!$BB$87</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{8FEFF386-B0FF-4D55-B282-51D5FE3A544A}</c15:txfldGUID>
                      <c15:f>'Cascade Data 7'!$BB$87</c15:f>
                      <c15:dlblFieldTableCache>
                        <c:ptCount val="1"/>
                      </c15:dlblFieldTableCache>
                    </c15:dlblFTEntry>
                  </c15:dlblFieldTable>
                  <c15:showDataLabelsRange val="0"/>
                </c:ext>
                <c:ext xmlns:c16="http://schemas.microsoft.com/office/drawing/2014/chart" uri="{C3380CC4-5D6E-409C-BE32-E72D297353CC}">
                  <c16:uniqueId val="{0000006E-602E-46E9-B82A-EF985C398189}"/>
                </c:ext>
              </c:extLst>
            </c:dLbl>
            <c:dLbl>
              <c:idx val="8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6F-602E-46E9-B82A-EF985C398189}"/>
                </c:ext>
              </c:extLst>
            </c:dLbl>
            <c:dLbl>
              <c:idx val="86"/>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0-602E-46E9-B82A-EF985C398189}"/>
                </c:ext>
              </c:extLst>
            </c:dLbl>
            <c:dLbl>
              <c:idx val="8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1-602E-46E9-B82A-EF985C398189}"/>
                </c:ext>
              </c:extLst>
            </c:dLbl>
            <c:dLbl>
              <c:idx val="88"/>
              <c:layout>
                <c:manualLayout>
                  <c:x val="-2.7349081364829396E-4"/>
                  <c:y val="3.0769230769230771E-2"/>
                </c:manualLayout>
              </c:layout>
              <c:tx>
                <c:strRef>
                  <c:f>'Cascade Data 7'!$BB$91</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{29E9B75F-4C52-4FA5-91D7-A6A72569C05D}</c15:txfldGUID>
                      <c15:f>'Cascade Data 7'!$BB$91</c15:f>
                      <c15:dlblFieldTableCache>
                        <c:ptCount val="1"/>
                      </c15:dlblFieldTableCache>
                    </c15:dlblFTEntry>
                  </c15:dlblFieldTable>
                  <c15:showDataLabelsRange val="0"/>
                </c:ext>
                <c:ext xmlns:c16="http://schemas.microsoft.com/office/drawing/2014/chart" uri="{C3380CC4-5D6E-409C-BE32-E72D297353CC}">
                  <c16:uniqueId val="{00000072-602E-46E9-B82A-EF985C398189}"/>
                </c:ext>
              </c:extLst>
            </c:dLbl>
            <c:dLbl>
              <c:idx val="8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3-602E-46E9-B82A-EF985C398189}"/>
                </c:ext>
              </c:extLst>
            </c:dLbl>
            <c:dLbl>
              <c:idx val="90"/>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4-602E-46E9-B82A-EF985C398189}"/>
                </c:ext>
              </c:extLst>
            </c:dLbl>
            <c:dLbl>
              <c:idx val="91"/>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5-602E-46E9-B82A-EF985C398189}"/>
                </c:ext>
              </c:extLst>
            </c:dLbl>
            <c:dLbl>
              <c:idx val="92"/>
              <c:layout>
                <c:manualLayout>
                  <c:x val="-9.2458442694679465E-4"/>
                  <c:y val="3.0769230769230771E-2"/>
                </c:manualLayout>
              </c:layout>
              <c:tx>
                <c:strRef>
                  <c:f>'Cascade Data 7'!$BB$95</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{A1224205-37A8-4D52-B172-4C402B10C1B6}</c15:txfldGUID>
                      <c15:f>'Cascade Data 7'!$BB$95</c15:f>
                      <c15:dlblFieldTableCache>
                        <c:ptCount val="1"/>
                      </c15:dlblFieldTableCache>
                    </c15:dlblFTEntry>
                  </c15:dlblFieldTable>
                  <c15:showDataLabelsRange val="0"/>
                </c:ext>
                <c:ext xmlns:c16="http://schemas.microsoft.com/office/drawing/2014/chart" uri="{C3380CC4-5D6E-409C-BE32-E72D297353CC}">
                  <c16:uniqueId val="{00000076-602E-46E9-B82A-EF985C398189}"/>
                </c:ext>
              </c:extLst>
            </c:dLbl>
            <c:dLbl>
              <c:idx val="93"/>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7-602E-46E9-B82A-EF985C398189}"/>
                </c:ext>
              </c:extLst>
            </c:dLbl>
            <c:dLbl>
              <c:idx val="94"/>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8-602E-46E9-B82A-EF985C398189}"/>
                </c:ext>
              </c:extLst>
            </c:dLbl>
            <c:dLbl>
              <c:idx val="95"/>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9-602E-46E9-B82A-EF985C398189}"/>
                </c:ext>
              </c:extLst>
            </c:dLbl>
            <c:dLbl>
              <c:idx val="96"/>
              <c:layout>
                <c:manualLayout>
                  <c:x val="-9.4157480314962256E-3"/>
                  <c:y val="3.0769230769230771E-2"/>
                </c:manualLayout>
              </c:layout>
              <c:tx>
                <c:strRef>
                  <c:f>'Cascade Data 7'!$BB$99</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{44B628C4-EE89-4B0D-9361-197527246B03}</c15:txfldGUID>
                      <c15:f>'Cascade Data 7'!$BB$99</c15:f>
                      <c15:dlblFieldTableCache>
                        <c:ptCount val="1"/>
                      </c15:dlblFieldTableCache>
                    </c15:dlblFTEntry>
                  </c15:dlblFieldTable>
                  <c15:showDataLabelsRange val="0"/>
                </c:ext>
                <c:ext xmlns:c16="http://schemas.microsoft.com/office/drawing/2014/chart" uri="{C3380CC4-5D6E-409C-BE32-E72D297353CC}">
                  <c16:uniqueId val="{0000007A-602E-46E9-B82A-EF985C398189}"/>
                </c:ext>
              </c:extLst>
            </c:dLbl>
            <c:dLbl>
              <c:idx val="97"/>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B-602E-46E9-B82A-EF985C398189}"/>
                </c:ext>
              </c:extLst>
            </c:dLbl>
            <c:dLbl>
              <c:idx val="98"/>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C-602E-46E9-B82A-EF985C398189}"/>
                </c:ext>
              </c:extLst>
            </c:dLbl>
            <c:dLbl>
              <c:idx val="99"/>
              <c:tx>
                <c:rich>
                  <a:bodyPr/>
                  <a:lstStyle/>
                  <a:p>
                    <a:endParaRPr lang="en-US"/>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7D-602E-46E9-B82A-EF985C398189}"/>
                </c:ext>
              </c:extLst>
            </c:dLbl>
            <c:dLbl>
              <c:idx val="100"/>
              <c:layout>
                <c:manualLayout>
                  <c:x val="-3.9020122484689413E-5"/>
                  <c:y val="3.0769230769230771E-2"/>
                </c:manualLayout>
              </c:layout>
              <c:tx>
                <c:strRef>
                  <c:f>'Cascade Data 7'!$BB$103</c:f>
                  <c:strCache>
                    <c:ptCount val="1"/>
                  </c:strCache>
                </c:strRef>
              </c:tx>
              <c:spPr/>
              <c:txPr>
                <a:bodyPr rot="0" vert="horz"/>
                <a:lstStyle/>
                <a:p>
                  <a:pPr algn="ctr">
                    <a:defRPr sz="800"/>
                  </a:pPr>
                  <a:endParaRPr lang="en-US"/>
                </a:p>
              </c:txPr>
              <c:showLegendKey val="0"/>
              <c:showVal val="1"/>
              <c:showCatName val="0"/>
              <c:showSerName val="0"/>
              <c:showPercent val="0"/>
              <c:showBubbleSize val="0"/>
              <c:extLst>
                <c:ext xmlns:c15="http://schemas.microsoft.com/office/drawing/2012/chart" uri="{CE6537A1-D6FC-4f65-9D91-7224C49458BB}">
                  <c15:dlblFieldTable>
                    <c15:dlblFTEntry>
                      <c15:txfldGUID>{ACA35DD1-EE94-491F-B647-762F8B679559}</c15:txfldGUID>
                      <c15:f>'Cascade Data 7'!$BB$103</c15:f>
                      <c15:dlblFieldTableCache>
                        <c:ptCount val="1"/>
                      </c15:dlblFieldTableCache>
                    </c15:dlblFTEntry>
                  </c15:dlblFieldTable>
                  <c15:showDataLabelsRange val="0"/>
                </c:ext>
                <c:ext xmlns:c16="http://schemas.microsoft.com/office/drawing/2014/chart" uri="{C3380CC4-5D6E-409C-BE32-E72D297353CC}">
                  <c16:uniqueId val="{0000007E-602E-46E9-B82A-EF985C398189}"/>
                </c:ext>
              </c:extLst>
            </c:dLbl>
            <c:spPr>
              <a:noFill/>
              <a:ln>
                <a:noFill/>
              </a:ln>
              <a:effectLst/>
            </c:spPr>
            <c:txPr>
              <a:bodyPr/>
              <a:lstStyle/>
              <a:p>
                <a:pPr algn="ct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'Cascade Data 7'!$AB$5:$AB$105</c:f>
              <c:numCache>
                <c:formatCode>#,##0</c:formatCode>
                <c:ptCount val="101"/>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numCache>
            </c:numRef>
          </c:val>
          <c:extLst>
            <c:ext xmlns:c16="http://schemas.microsoft.com/office/drawing/2014/chart" uri="{C3380CC4-5D6E-409C-BE32-E72D297353CC}">
              <c16:uniqueId val="{0000007F-602E-46E9-B82A-EF985C398189}"/>
            </c:ext>
          </c:extLst>
        </c:ser>
        <c:dLbls>
          <c:showLegendKey val="0"/>
          <c:showVal val="0"/>
          <c:showCatName val="0"/>
          <c:showSerName val="0"/>
          <c:showPercent val="0"/>
          <c:showBubbleSize val="0"/>
        </c:dLbls>
        <c:axId val="45002112"/>
        <c:axId val="45258240"/>
      </c:areaChart>
      <c:dateAx>
        <c:axId val="45002112"/>
        <c:scaling>
          <c:orientation val="minMax"/>
          <c:max val="55000"/>
        </c:scaling>
        <c:delete val="0"/>
        <c:axPos val="b"/>
        <c:title>
          <c:tx>
            <c:rich>
              <a:bodyPr/>
              <a:lstStyle/>
              <a:p>
                <a:pPr>
                  <a:defRPr sz="1100"/>
                </a:pPr>
                <a:r>
                  <a:rPr lang="en-US" sz="1100"/>
                  <a:t>eCO2 (tonnes)</a:t>
                </a:r>
              </a:p>
            </c:rich>
          </c:tx>
          <c:layout>
            <c:manualLayout>
              <c:xMode val="edge"/>
              <c:yMode val="edge"/>
              <c:x val="0.44199860017497811"/>
              <c:y val="0.77846153846153843"/>
            </c:manualLayout>
          </c:layout>
          <c:overlay val="0"/>
        </c:title>
        <c:numFmt formatCode="#,##0" sourceLinked="0"/>
        <c:majorTickMark val="out"/>
        <c:minorTickMark val="none"/>
        <c:tickLblPos val="low"/>
        <c:txPr>
          <a:bodyPr/>
          <a:lstStyle/>
          <a:p>
            <a:pPr>
              <a:defRPr sz="1100"/>
            </a:pPr>
            <a:endParaRPr lang="en-US"/>
          </a:p>
        </c:txPr>
        <c:crossAx val="45258240"/>
        <c:crosses val="autoZero"/>
        <c:auto val="0"/>
        <c:lblOffset val="100"/>
        <c:baseTimeUnit val="days"/>
        <c:majorUnit val="5500"/>
        <c:majorTimeUnit val="days"/>
      </c:dateAx>
      <c:valAx>
        <c:axId val="45258240"/>
        <c:scaling>
          <c:orientation val="minMax"/>
          <c:max val="1200"/>
          <c:min val="-400"/>
        </c:scaling>
        <c:delete val="0"/>
        <c:axPos val="l"/>
        <c:title>
          <c:tx>
            <c:rich>
              <a:bodyPr/>
              <a:lstStyle/>
              <a:p>
                <a:pPr>
                  <a:defRPr sz="1100"/>
                </a:pPr>
                <a:r>
                  <a:rPr lang="en-US" sz="1100"/>
                  <a:t>net cost (2015 $)/tonne eCO2</a:t>
                </a:r>
              </a:p>
            </c:rich>
          </c:tx>
          <c:overlay val="0"/>
        </c:title>
        <c:numFmt formatCode="#,##0" sourceLinked="0"/>
        <c:majorTickMark val="out"/>
        <c:minorTickMark val="none"/>
        <c:tickLblPos val="nextTo"/>
        <c:txPr>
          <a:bodyPr/>
          <a:lstStyle/>
          <a:p>
            <a:pPr>
              <a:defRPr sz="1100"/>
            </a:pPr>
            <a:endParaRPr lang="en-US"/>
          </a:p>
        </c:txPr>
        <c:crossAx val="45002112"/>
        <c:crosses val="autoZero"/>
        <c:crossBetween val="midCat"/>
        <c:majorUnit val="200"/>
        <c:minorUnit val="100"/>
      </c:valAx>
      <c:spPr>
        <a:noFill/>
        <a:ln>
          <a:solidFill>
            <a:schemeClr val="tx1">
              <a:lumMod val="50000"/>
              <a:lumOff val="50000"/>
            </a:schemeClr>
          </a:solidFill>
        </a:ln>
      </c:spPr>
    </c:plotArea>
    <c:legend>
      <c:legendPos val="r"/>
      <c:legendEntry>
        <c:idx val="0"/>
        <c:delete val="1"/>
      </c:legendEntry>
      <c:legendEntry>
        <c:idx val="26"/>
        <c:delete val="1"/>
      </c:legendEntry>
      <c:layout>
        <c:manualLayout>
          <c:xMode val="edge"/>
          <c:yMode val="edge"/>
          <c:x val="0.14473601326150021"/>
          <c:y val="0.13544616391773198"/>
          <c:w val="0.73526404199475048"/>
          <c:h val="0.51086711158795683"/>
        </c:manualLayout>
      </c:layout>
      <c:overlay val="0"/>
      <c:txPr>
        <a:bodyPr/>
        <a:lstStyle/>
        <a:p>
          <a:pPr>
            <a:defRPr sz="1100"/>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1465597383542"/>
          <c:y val="3.9846743295019235E-2"/>
          <c:w val="0.8457482543035274"/>
          <c:h val="0.61456122332534502"/>
        </c:manualLayout>
      </c:layout>
      <c:barChart>
        <c:barDir val="col"/>
        <c:grouping val="stacked"/>
        <c:varyColors val="0"/>
        <c:ser>
          <c:idx val="2"/>
          <c:order val="0"/>
          <c:tx>
            <c:strRef>
              <c:f>S_Graph_Sum!$BM$9</c:f>
              <c:strCache>
                <c:ptCount val="1"/>
                <c:pt idx="0">
                  <c:v>On-Campus Stationary</c:v>
                </c:pt>
              </c:strCache>
            </c:strRef>
          </c:tx>
          <c:spPr>
            <a:solidFill>
              <a:srgbClr val="FFC000"/>
            </a:solidFill>
            <a:ln w="12700">
              <a:solidFill>
                <a:srgbClr val="000000"/>
              </a:solidFill>
              <a:prstDash val="solid"/>
            </a:ln>
          </c:spPr>
          <c:invertIfNegative val="0"/>
          <c:cat>
            <c:numRef>
              <c:f>CPC_Total_2012.xlsx!DynamicYear</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Cache>
            </c:numRef>
          </c:cat>
          <c:val>
            <c:numRef>
              <c:f>Spreadsheet_Map!eCO2_Stationary</c:f>
              <c:numCache>
                <c:formatCode>#,##0_);[Red]\(#,##0\)</c:formatCode>
                <c:ptCount val="24"/>
                <c:pt idx="0">
                  <c:v>13079.240774448404</c:v>
                </c:pt>
                <c:pt idx="1">
                  <c:v>13111.690738935929</c:v>
                </c:pt>
                <c:pt idx="2">
                  <c:v>10037.289447585112</c:v>
                </c:pt>
                <c:pt idx="3">
                  <c:v>10148.054321474247</c:v>
                </c:pt>
                <c:pt idx="4">
                  <c:v>4692.4913584505603</c:v>
                </c:pt>
                <c:pt idx="5">
                  <c:v>5273.0927696945746</c:v>
                </c:pt>
                <c:pt idx="6">
                  <c:v>5959.8339294262214</c:v>
                </c:pt>
                <c:pt idx="7">
                  <c:v>7297.1725343673897</c:v>
                </c:pt>
                <c:pt idx="8">
                  <c:v>5086.9023668033624</c:v>
                </c:pt>
                <c:pt idx="9">
                  <c:v>5185.5117337734318</c:v>
                </c:pt>
                <c:pt idx="10">
                  <c:v>4738.2769247822644</c:v>
                </c:pt>
                <c:pt idx="11">
                  <c:v>4344.4427341282808</c:v>
                </c:pt>
                <c:pt idx="12">
                  <c:v>3648.959346521001</c:v>
                </c:pt>
                <c:pt idx="13">
                  <c:v>4038.5441370635212</c:v>
                </c:pt>
                <c:pt idx="14">
                  <c:v>4764.0008773872605</c:v>
                </c:pt>
                <c:pt idx="15">
                  <c:v>5002.1525003213646</c:v>
                </c:pt>
                <c:pt idx="16">
                  <c:v>4540.2326535851134</c:v>
                </c:pt>
                <c:pt idx="17">
                  <c:v>7633.1185708255134</c:v>
                </c:pt>
                <c:pt idx="18">
                  <c:v>6341.1448527673401</c:v>
                </c:pt>
                <c:pt idx="19">
                  <c:v>7931.1813926761597</c:v>
                </c:pt>
                <c:pt idx="20">
                  <c:v>8878.235229547985</c:v>
                </c:pt>
                <c:pt idx="21">
                  <c:v>8150.4967255098254</c:v>
                </c:pt>
                <c:pt idx="22">
                  <c:v>8015.4131524414897</c:v>
                </c:pt>
                <c:pt idx="23">
                  <c:v>7869.6432667637891</c:v>
                </c:pt>
              </c:numCache>
            </c:numRef>
          </c:val>
          <c:extLst>
            <c:ext xmlns:c16="http://schemas.microsoft.com/office/drawing/2014/chart" uri="{C3380CC4-5D6E-409C-BE32-E72D297353CC}">
              <c16:uniqueId val="{00000000-94E1-4767-A7D3-8E3A68711E50}"/>
            </c:ext>
          </c:extLst>
        </c:ser>
        <c:ser>
          <c:idx val="3"/>
          <c:order val="1"/>
          <c:tx>
            <c:strRef>
              <c:f>S_Graph_Sum!$BN$9</c:f>
              <c:strCache>
                <c:ptCount val="1"/>
                <c:pt idx="0">
                  <c:v>Direct Transportation</c:v>
                </c:pt>
              </c:strCache>
            </c:strRef>
          </c:tx>
          <c:spPr>
            <a:solidFill>
              <a:schemeClr val="tx1"/>
            </a:solidFill>
            <a:ln w="12700">
              <a:solidFill>
                <a:srgbClr val="000000"/>
              </a:solidFill>
              <a:prstDash val="solid"/>
            </a:ln>
          </c:spPr>
          <c:invertIfNegative val="0"/>
          <c:cat>
            <c:numRef>
              <c:f>CPC_Total_2012.xlsx!DynamicYear</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Cache>
            </c:numRef>
          </c:cat>
          <c:val>
            <c:numRef>
              <c:f>Spreadsheet_Map!eCO2_Transportation</c:f>
              <c:numCache>
                <c:formatCode>#,##0_);[Red]\(#,##0\)</c:formatCode>
                <c:ptCount val="24"/>
                <c:pt idx="0">
                  <c:v>577.9020714480165</c:v>
                </c:pt>
                <c:pt idx="1">
                  <c:v>561.43218551065559</c:v>
                </c:pt>
                <c:pt idx="2">
                  <c:v>477.18800629871652</c:v>
                </c:pt>
                <c:pt idx="3">
                  <c:v>462.20086637043687</c:v>
                </c:pt>
                <c:pt idx="4">
                  <c:v>499.06431828782661</c:v>
                </c:pt>
                <c:pt idx="5">
                  <c:v>585.07921134673654</c:v>
                </c:pt>
                <c:pt idx="6">
                  <c:v>538.24970314303653</c:v>
                </c:pt>
                <c:pt idx="7">
                  <c:v>654.10248328424723</c:v>
                </c:pt>
                <c:pt idx="8">
                  <c:v>538.89388717965585</c:v>
                </c:pt>
                <c:pt idx="9">
                  <c:v>409.44267139024402</c:v>
                </c:pt>
                <c:pt idx="10">
                  <c:v>353.14575130160466</c:v>
                </c:pt>
                <c:pt idx="11">
                  <c:v>351.79642338773925</c:v>
                </c:pt>
                <c:pt idx="12">
                  <c:v>330.06825096010408</c:v>
                </c:pt>
                <c:pt idx="13">
                  <c:v>317.20433458139411</c:v>
                </c:pt>
                <c:pt idx="14">
                  <c:v>335.25658514055681</c:v>
                </c:pt>
                <c:pt idx="15">
                  <c:v>356.27847730424367</c:v>
                </c:pt>
                <c:pt idx="16">
                  <c:v>354.33672980750862</c:v>
                </c:pt>
                <c:pt idx="17">
                  <c:v>393.38143178019169</c:v>
                </c:pt>
                <c:pt idx="18">
                  <c:v>368.98116969758286</c:v>
                </c:pt>
                <c:pt idx="19">
                  <c:v>385.79591689842363</c:v>
                </c:pt>
                <c:pt idx="20">
                  <c:v>468.83521659525189</c:v>
                </c:pt>
                <c:pt idx="21">
                  <c:v>339.00974476283204</c:v>
                </c:pt>
                <c:pt idx="22">
                  <c:v>407.33214924110115</c:v>
                </c:pt>
                <c:pt idx="23">
                  <c:v>461.23897083264666</c:v>
                </c:pt>
              </c:numCache>
            </c:numRef>
          </c:val>
          <c:extLst>
            <c:ext xmlns:c16="http://schemas.microsoft.com/office/drawing/2014/chart" uri="{C3380CC4-5D6E-409C-BE32-E72D297353CC}">
              <c16:uniqueId val="{00000001-94E1-4767-A7D3-8E3A68711E50}"/>
            </c:ext>
          </c:extLst>
        </c:ser>
        <c:ser>
          <c:idx val="6"/>
          <c:order val="2"/>
          <c:tx>
            <c:strRef>
              <c:f>S_Graph_Sum!$BO$9</c:f>
              <c:strCache>
                <c:ptCount val="1"/>
                <c:pt idx="0">
                  <c:v>Refrigerants &amp; Chemicals</c:v>
                </c:pt>
              </c:strCache>
            </c:strRef>
          </c:tx>
          <c:spPr>
            <a:solidFill>
              <a:srgbClr val="00B050"/>
            </a:solidFill>
            <a:ln w="12700">
              <a:solidFill>
                <a:srgbClr val="000000"/>
              </a:solidFill>
              <a:prstDash val="solid"/>
            </a:ln>
          </c:spPr>
          <c:invertIfNegative val="0"/>
          <c:val>
            <c:numRef>
              <c:f>Spreadsheet_Map!eCO2_Refrigerants</c:f>
              <c:numCache>
                <c:formatCode>#,##0_);[Red]\(#,##0\)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302.09251841999946</c:v>
                </c:pt>
                <c:pt idx="21">
                  <c:v>232.4570177776003</c:v>
                </c:pt>
                <c:pt idx="22">
                  <c:v>245.66562759199999</c:v>
                </c:pt>
                <c:pt idx="23">
                  <c:v>374.47316008563973</c:v>
                </c:pt>
              </c:numCache>
            </c:numRef>
          </c:val>
          <c:extLst>
            <c:ext xmlns:c16="http://schemas.microsoft.com/office/drawing/2014/chart" uri="{C3380CC4-5D6E-409C-BE32-E72D297353CC}">
              <c16:uniqueId val="{00000002-94E1-4767-A7D3-8E3A68711E50}"/>
            </c:ext>
          </c:extLst>
        </c:ser>
        <c:ser>
          <c:idx val="4"/>
          <c:order val="3"/>
          <c:tx>
            <c:strRef>
              <c:f>S_Graph_Sum!$BP$9</c:f>
              <c:strCache>
                <c:ptCount val="1"/>
                <c:pt idx="0">
                  <c:v>Agriculture</c:v>
                </c:pt>
              </c:strCache>
            </c:strRef>
          </c:tx>
          <c:spPr>
            <a:solidFill>
              <a:srgbClr val="660066"/>
            </a:solidFill>
            <a:ln w="12700">
              <a:solidFill>
                <a:srgbClr val="000000"/>
              </a:solidFill>
              <a:prstDash val="solid"/>
            </a:ln>
          </c:spPr>
          <c:invertIfNegative val="0"/>
          <c:val>
            <c:numRef>
              <c:f>Spreadsheet_Map!eCO2_Agriculture</c:f>
              <c:numCache>
                <c:formatCode>#,##0_);[Red]\(#,##0\)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3-94E1-4767-A7D3-8E3A68711E50}"/>
            </c:ext>
          </c:extLst>
        </c:ser>
        <c:ser>
          <c:idx val="0"/>
          <c:order val="4"/>
          <c:tx>
            <c:strRef>
              <c:f>S_Graph_Sum!$BQ$9</c:f>
              <c:strCache>
                <c:ptCount val="1"/>
                <c:pt idx="0">
                  <c:v>Purchased Electricity</c:v>
                </c:pt>
              </c:strCache>
            </c:strRef>
          </c:tx>
          <c:spPr>
            <a:solidFill>
              <a:srgbClr val="FF0000"/>
            </a:solidFill>
            <a:ln w="12700">
              <a:solidFill>
                <a:srgbClr val="000000"/>
              </a:solidFill>
              <a:prstDash val="solid"/>
            </a:ln>
          </c:spPr>
          <c:invertIfNegative val="0"/>
          <c:cat>
            <c:numRef>
              <c:f>CPC_Total_2012.xlsx!DynamicYear</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Cache>
            </c:numRef>
          </c:cat>
          <c:val>
            <c:numRef>
              <c:f>Spreadsheet_Map!eCO2_Electric</c:f>
              <c:numCache>
                <c:formatCode>#,##0_);[Red]\(#,##0\)</c:formatCode>
                <c:ptCount val="24"/>
                <c:pt idx="0">
                  <c:v>24199.757615942061</c:v>
                </c:pt>
                <c:pt idx="1">
                  <c:v>25707.551885171688</c:v>
                </c:pt>
                <c:pt idx="2">
                  <c:v>28111.654301071623</c:v>
                </c:pt>
                <c:pt idx="3">
                  <c:v>26846.327027785897</c:v>
                </c:pt>
                <c:pt idx="4">
                  <c:v>26348.609407979377</c:v>
                </c:pt>
                <c:pt idx="5">
                  <c:v>32666.33505374446</c:v>
                </c:pt>
                <c:pt idx="6">
                  <c:v>34768.096696355999</c:v>
                </c:pt>
                <c:pt idx="7">
                  <c:v>35102.994162404502</c:v>
                </c:pt>
                <c:pt idx="8">
                  <c:v>32286.027414982469</c:v>
                </c:pt>
                <c:pt idx="9">
                  <c:v>33280.740144661038</c:v>
                </c:pt>
                <c:pt idx="10">
                  <c:v>31735.783288295021</c:v>
                </c:pt>
                <c:pt idx="11">
                  <c:v>30073.767094357579</c:v>
                </c:pt>
                <c:pt idx="12">
                  <c:v>28510.139031536124</c:v>
                </c:pt>
                <c:pt idx="13">
                  <c:v>31246.305811215399</c:v>
                </c:pt>
                <c:pt idx="14">
                  <c:v>30934.908837757222</c:v>
                </c:pt>
                <c:pt idx="15">
                  <c:v>28692.201968495028</c:v>
                </c:pt>
                <c:pt idx="16">
                  <c:v>28106.789375998917</c:v>
                </c:pt>
                <c:pt idx="17">
                  <c:v>24494.659671211339</c:v>
                </c:pt>
                <c:pt idx="18">
                  <c:v>25359.779468074212</c:v>
                </c:pt>
                <c:pt idx="19">
                  <c:v>24069.776527336304</c:v>
                </c:pt>
                <c:pt idx="20">
                  <c:v>22436.43360773422</c:v>
                </c:pt>
                <c:pt idx="21">
                  <c:v>27018.839186014546</c:v>
                </c:pt>
                <c:pt idx="22">
                  <c:v>25943.32024966375</c:v>
                </c:pt>
                <c:pt idx="23">
                  <c:v>25736.182415338066</c:v>
                </c:pt>
              </c:numCache>
            </c:numRef>
          </c:val>
          <c:extLst>
            <c:ext xmlns:c16="http://schemas.microsoft.com/office/drawing/2014/chart" uri="{C3380CC4-5D6E-409C-BE32-E72D297353CC}">
              <c16:uniqueId val="{00000004-94E1-4767-A7D3-8E3A68711E50}"/>
            </c:ext>
          </c:extLst>
        </c:ser>
        <c:ser>
          <c:idx val="1"/>
          <c:order val="5"/>
          <c:tx>
            <c:strRef>
              <c:f>S_Graph_Sum!$BR$9</c:f>
              <c:strCache>
                <c:ptCount val="1"/>
                <c:pt idx="0">
                  <c:v>Purchased Steam / Chilled Water</c:v>
                </c:pt>
              </c:strCache>
            </c:strRef>
          </c:tx>
          <c:spPr>
            <a:solidFill>
              <a:srgbClr val="993366"/>
            </a:solidFill>
            <a:ln w="12700">
              <a:solidFill>
                <a:srgbClr val="000000"/>
              </a:solidFill>
              <a:prstDash val="solid"/>
            </a:ln>
          </c:spPr>
          <c:invertIfNegative val="0"/>
          <c:val>
            <c:numRef>
              <c:f>Spreadsheet_Map!eCO2_Steam</c:f>
              <c:numCache>
                <c:formatCode>#,##0_);[Red]\(#,##0\)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5-94E1-4767-A7D3-8E3A68711E50}"/>
            </c:ext>
          </c:extLst>
        </c:ser>
        <c:ser>
          <c:idx val="7"/>
          <c:order val="6"/>
          <c:tx>
            <c:strRef>
              <c:f>S_Graph_Sum!$BS$9</c:f>
              <c:strCache>
                <c:ptCount val="1"/>
                <c:pt idx="0">
                  <c:v>Commuting</c:v>
                </c:pt>
              </c:strCache>
            </c:strRef>
          </c:tx>
          <c:spPr>
            <a:solidFill>
              <a:schemeClr val="tx2">
                <a:lumMod val="40000"/>
                <a:lumOff val="60000"/>
              </a:schemeClr>
            </a:solidFill>
            <a:ln w="12700">
              <a:solidFill>
                <a:srgbClr val="000000"/>
              </a:solidFill>
              <a:prstDash val="solid"/>
            </a:ln>
          </c:spPr>
          <c:invertIfNegative val="0"/>
          <c:val>
            <c:numRef>
              <c:f>Spreadsheet_Map!eCO2_Commuting</c:f>
              <c:numCache>
                <c:formatCode>#,##0_);[Red]\(#,##0\)</c:formatCode>
                <c:ptCount val="24"/>
                <c:pt idx="0">
                  <c:v>41365.358505700104</c:v>
                </c:pt>
                <c:pt idx="1">
                  <c:v>39266.463399624598</c:v>
                </c:pt>
                <c:pt idx="2">
                  <c:v>37898.719360331175</c:v>
                </c:pt>
                <c:pt idx="3">
                  <c:v>36550.220895578626</c:v>
                </c:pt>
                <c:pt idx="4">
                  <c:v>33632.763876498488</c:v>
                </c:pt>
                <c:pt idx="5">
                  <c:v>33738.906226370076</c:v>
                </c:pt>
                <c:pt idx="6">
                  <c:v>36275.250517951543</c:v>
                </c:pt>
                <c:pt idx="7">
                  <c:v>36751.683224536275</c:v>
                </c:pt>
                <c:pt idx="8">
                  <c:v>36932.862601944253</c:v>
                </c:pt>
                <c:pt idx="9">
                  <c:v>39026.018198545782</c:v>
                </c:pt>
                <c:pt idx="10">
                  <c:v>39219.781008592006</c:v>
                </c:pt>
                <c:pt idx="11">
                  <c:v>41139.811287232362</c:v>
                </c:pt>
                <c:pt idx="12">
                  <c:v>43995.945840255903</c:v>
                </c:pt>
                <c:pt idx="13">
                  <c:v>43657.207047546995</c:v>
                </c:pt>
                <c:pt idx="14">
                  <c:v>38970.414307825158</c:v>
                </c:pt>
                <c:pt idx="15">
                  <c:v>41360.26432444439</c:v>
                </c:pt>
                <c:pt idx="16">
                  <c:v>42700.982714852638</c:v>
                </c:pt>
                <c:pt idx="17">
                  <c:v>43878.061156723787</c:v>
                </c:pt>
                <c:pt idx="18">
                  <c:v>44271.512447775807</c:v>
                </c:pt>
                <c:pt idx="19">
                  <c:v>42970.993600443406</c:v>
                </c:pt>
                <c:pt idx="20">
                  <c:v>43100.020534192947</c:v>
                </c:pt>
                <c:pt idx="21">
                  <c:v>44823.239977922429</c:v>
                </c:pt>
                <c:pt idx="22">
                  <c:v>45431.502593469158</c:v>
                </c:pt>
                <c:pt idx="23">
                  <c:v>48371.587565252812</c:v>
                </c:pt>
              </c:numCache>
            </c:numRef>
          </c:val>
          <c:extLst>
            <c:ext xmlns:c16="http://schemas.microsoft.com/office/drawing/2014/chart" uri="{C3380CC4-5D6E-409C-BE32-E72D297353CC}">
              <c16:uniqueId val="{00000006-94E1-4767-A7D3-8E3A68711E50}"/>
            </c:ext>
          </c:extLst>
        </c:ser>
        <c:ser>
          <c:idx val="8"/>
          <c:order val="7"/>
          <c:tx>
            <c:strRef>
              <c:f>S_Graph_Sum!$BT$9</c:f>
              <c:strCache>
                <c:ptCount val="1"/>
                <c:pt idx="0">
                  <c:v>Directly Financed Outsourced Travel</c:v>
                </c:pt>
              </c:strCache>
            </c:strRef>
          </c:tx>
          <c:spPr>
            <a:solidFill>
              <a:srgbClr val="000080"/>
            </a:solidFill>
            <a:ln w="12700">
              <a:solidFill>
                <a:srgbClr val="000000"/>
              </a:solidFill>
              <a:prstDash val="solid"/>
            </a:ln>
          </c:spPr>
          <c:invertIfNegative val="0"/>
          <c:val>
            <c:numRef>
              <c:f>Spreadsheet_Map!eCO2_OutsourceTravel</c:f>
              <c:numCache>
                <c:formatCode>#,##0_);[Red]\(#,##0\)</c:formatCode>
                <c:ptCount val="24"/>
                <c:pt idx="0">
                  <c:v>2840.4078718768528</c:v>
                </c:pt>
                <c:pt idx="1">
                  <c:v>2726.0760298095429</c:v>
                </c:pt>
                <c:pt idx="2">
                  <c:v>2632.9181617096906</c:v>
                </c:pt>
                <c:pt idx="3">
                  <c:v>2692.8843753048309</c:v>
                </c:pt>
                <c:pt idx="4">
                  <c:v>2859.340790565152</c:v>
                </c:pt>
                <c:pt idx="5">
                  <c:v>2768.5022656191477</c:v>
                </c:pt>
                <c:pt idx="6">
                  <c:v>2706.0057586250232</c:v>
                </c:pt>
                <c:pt idx="7">
                  <c:v>2769.3000253189498</c:v>
                </c:pt>
                <c:pt idx="8">
                  <c:v>3151.91938810072</c:v>
                </c:pt>
                <c:pt idx="9">
                  <c:v>3540.3525501509052</c:v>
                </c:pt>
                <c:pt idx="10">
                  <c:v>3328.7641057327705</c:v>
                </c:pt>
                <c:pt idx="11">
                  <c:v>3300.48587631691</c:v>
                </c:pt>
                <c:pt idx="12">
                  <c:v>3462.8535566233486</c:v>
                </c:pt>
                <c:pt idx="13">
                  <c:v>3662.7326357934608</c:v>
                </c:pt>
                <c:pt idx="14">
                  <c:v>3222.8881256579807</c:v>
                </c:pt>
                <c:pt idx="15">
                  <c:v>3448.7657549776018</c:v>
                </c:pt>
                <c:pt idx="16">
                  <c:v>3447.8475532324051</c:v>
                </c:pt>
                <c:pt idx="17">
                  <c:v>3590.1688237386584</c:v>
                </c:pt>
                <c:pt idx="18">
                  <c:v>3400.101062481911</c:v>
                </c:pt>
                <c:pt idx="19">
                  <c:v>3282.5712390960953</c:v>
                </c:pt>
                <c:pt idx="20">
                  <c:v>2822.359573631793</c:v>
                </c:pt>
                <c:pt idx="21">
                  <c:v>4418.9936606181709</c:v>
                </c:pt>
                <c:pt idx="22">
                  <c:v>3001.9688588790709</c:v>
                </c:pt>
                <c:pt idx="23">
                  <c:v>3193.881542496767</c:v>
                </c:pt>
              </c:numCache>
            </c:numRef>
          </c:val>
          <c:extLst>
            <c:ext xmlns:c16="http://schemas.microsoft.com/office/drawing/2014/chart" uri="{C3380CC4-5D6E-409C-BE32-E72D297353CC}">
              <c16:uniqueId val="{00000007-94E1-4767-A7D3-8E3A68711E50}"/>
            </c:ext>
          </c:extLst>
        </c:ser>
        <c:ser>
          <c:idx val="11"/>
          <c:order val="8"/>
          <c:tx>
            <c:strRef>
              <c:f>S_Graph_Sum!$BU$9</c:f>
              <c:strCache>
                <c:ptCount val="1"/>
                <c:pt idx="0">
                  <c:v>Study Abroad Air Travel</c:v>
                </c:pt>
              </c:strCache>
            </c:strRef>
          </c:tx>
          <c:spPr>
            <a:solidFill>
              <a:srgbClr val="00FFFF"/>
            </a:solidFill>
            <a:ln w="12700">
              <a:solidFill>
                <a:srgbClr val="000000"/>
              </a:solidFill>
              <a:prstDash val="solid"/>
            </a:ln>
          </c:spPr>
          <c:invertIfNegative val="0"/>
          <c:val>
            <c:numRef>
              <c:f>Spreadsheet_Map!eCO2_StudyAbroad</c:f>
              <c:numCache>
                <c:formatCode>#,##0_);[Red]\(#,##0\)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8-94E1-4767-A7D3-8E3A68711E50}"/>
            </c:ext>
          </c:extLst>
        </c:ser>
        <c:ser>
          <c:idx val="5"/>
          <c:order val="9"/>
          <c:tx>
            <c:strRef>
              <c:f>S_Graph_Sum!$BV$9</c:f>
              <c:strCache>
                <c:ptCount val="1"/>
                <c:pt idx="0">
                  <c:v>Solid Waste</c:v>
                </c:pt>
              </c:strCache>
            </c:strRef>
          </c:tx>
          <c:spPr>
            <a:solidFill>
              <a:srgbClr val="FF8080"/>
            </a:solidFill>
            <a:ln w="12700">
              <a:solidFill>
                <a:srgbClr val="000000"/>
              </a:solidFill>
              <a:prstDash val="solid"/>
            </a:ln>
          </c:spPr>
          <c:invertIfNegative val="0"/>
          <c:val>
            <c:numRef>
              <c:f>Spreadsheet_Map!eCO2_Waste</c:f>
              <c:numCache>
                <c:formatCode>#,##0_);[Red]\(#,##0\)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9-94E1-4767-A7D3-8E3A68711E50}"/>
            </c:ext>
          </c:extLst>
        </c:ser>
        <c:ser>
          <c:idx val="10"/>
          <c:order val="10"/>
          <c:tx>
            <c:strRef>
              <c:f>S_Graph_Sum!$BW$9</c:f>
              <c:strCache>
                <c:ptCount val="1"/>
                <c:pt idx="0">
                  <c:v>Wastewater</c:v>
                </c:pt>
              </c:strCache>
            </c:strRef>
          </c:tx>
          <c:spPr>
            <a:solidFill>
              <a:srgbClr val="FFFF00"/>
            </a:solidFill>
            <a:ln w="12700">
              <a:solidFill>
                <a:srgbClr val="000000"/>
              </a:solidFill>
              <a:prstDash val="solid"/>
            </a:ln>
          </c:spPr>
          <c:invertIfNegative val="0"/>
          <c:val>
            <c:numRef>
              <c:f>Spreadsheet_Map!eCO2_Wastewater</c:f>
              <c:numCache>
                <c:formatCode>#,##0_);[Red]\(#,##0\)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A-94E1-4767-A7D3-8E3A68711E50}"/>
            </c:ext>
          </c:extLst>
        </c:ser>
        <c:ser>
          <c:idx val="12"/>
          <c:order val="11"/>
          <c:tx>
            <c:strRef>
              <c:f>S_Graph_Sum!$BX$9</c:f>
              <c:strCache>
                <c:ptCount val="1"/>
                <c:pt idx="0">
                  <c:v>Paper</c:v>
                </c:pt>
              </c:strCache>
            </c:strRef>
          </c:tx>
          <c:spPr>
            <a:solidFill>
              <a:srgbClr val="800080"/>
            </a:solidFill>
            <a:ln w="12700">
              <a:solidFill>
                <a:srgbClr val="000000"/>
              </a:solidFill>
              <a:prstDash val="solid"/>
            </a:ln>
          </c:spPr>
          <c:invertIfNegative val="0"/>
          <c:val>
            <c:numRef>
              <c:f>Spreadsheet_Map!eCO2_Paper</c:f>
              <c:numCache>
                <c:formatCode>#,##0_);[Red]\(#,##0\)</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extLst>
            <c:ext xmlns:c16="http://schemas.microsoft.com/office/drawing/2014/chart" uri="{C3380CC4-5D6E-409C-BE32-E72D297353CC}">
              <c16:uniqueId val="{0000000B-94E1-4767-A7D3-8E3A68711E50}"/>
            </c:ext>
          </c:extLst>
        </c:ser>
        <c:ser>
          <c:idx val="9"/>
          <c:order val="12"/>
          <c:tx>
            <c:strRef>
              <c:f>S_Graph_Sum!$BY$9</c:f>
              <c:strCache>
                <c:ptCount val="1"/>
                <c:pt idx="0">
                  <c:v>Scope 2 T&amp;D Losses</c:v>
                </c:pt>
              </c:strCache>
            </c:strRef>
          </c:tx>
          <c:spPr>
            <a:solidFill>
              <a:schemeClr val="bg2">
                <a:lumMod val="50000"/>
              </a:schemeClr>
            </a:solidFill>
            <a:ln w="12700">
              <a:solidFill>
                <a:srgbClr val="000000"/>
              </a:solidFill>
              <a:prstDash val="solid"/>
            </a:ln>
          </c:spPr>
          <c:invertIfNegative val="0"/>
          <c:val>
            <c:numRef>
              <c:f>Spreadsheet_Map!eCO2_ElectricTD</c:f>
              <c:numCache>
                <c:formatCode>#,##0_);[Red]\(#,##0\)</c:formatCode>
                <c:ptCount val="24"/>
                <c:pt idx="0">
                  <c:v>2393.3826213569037</c:v>
                </c:pt>
                <c:pt idx="1">
                  <c:v>2542.505131500498</c:v>
                </c:pt>
                <c:pt idx="2">
                  <c:v>2780.2735023037903</c:v>
                </c:pt>
                <c:pt idx="3">
                  <c:v>2655.1312445062972</c:v>
                </c:pt>
                <c:pt idx="4">
                  <c:v>2605.9064249649987</c:v>
                </c:pt>
                <c:pt idx="5">
                  <c:v>3230.7364338868142</c:v>
                </c:pt>
                <c:pt idx="6">
                  <c:v>3438.6029699692704</c:v>
                </c:pt>
                <c:pt idx="7">
                  <c:v>3471.7246973806637</c:v>
                </c:pt>
                <c:pt idx="8">
                  <c:v>3193.1235904927707</c:v>
                </c:pt>
                <c:pt idx="9">
                  <c:v>3291.501772548906</c:v>
                </c:pt>
                <c:pt idx="10">
                  <c:v>3138.7038416995047</c:v>
                </c:pt>
                <c:pt idx="11">
                  <c:v>2974.3286137276687</c:v>
                </c:pt>
                <c:pt idx="12">
                  <c:v>2819.6840800420387</c:v>
                </c:pt>
                <c:pt idx="13">
                  <c:v>3090.2939813289927</c:v>
                </c:pt>
                <c:pt idx="14">
                  <c:v>3059.4964784595018</c:v>
                </c:pt>
                <c:pt idx="15">
                  <c:v>2837.6903045764379</c:v>
                </c:pt>
                <c:pt idx="16">
                  <c:v>2779.7923558680259</c:v>
                </c:pt>
                <c:pt idx="17">
                  <c:v>2422.548758691235</c:v>
                </c:pt>
                <c:pt idx="18">
                  <c:v>2508.1100572820683</c:v>
                </c:pt>
                <c:pt idx="19">
                  <c:v>2380.5273488574421</c:v>
                </c:pt>
                <c:pt idx="20">
                  <c:v>2218.9879392264611</c:v>
                </c:pt>
                <c:pt idx="21">
                  <c:v>2672.1928865289087</c:v>
                </c:pt>
                <c:pt idx="22">
                  <c:v>2565.8228818348757</c:v>
                </c:pt>
                <c:pt idx="23">
                  <c:v>2545.3367223960754</c:v>
                </c:pt>
              </c:numCache>
            </c:numRef>
          </c:val>
          <c:extLst>
            <c:ext xmlns:c16="http://schemas.microsoft.com/office/drawing/2014/chart" uri="{C3380CC4-5D6E-409C-BE32-E72D297353CC}">
              <c16:uniqueId val="{0000000C-94E1-4767-A7D3-8E3A68711E50}"/>
            </c:ext>
          </c:extLst>
        </c:ser>
        <c:dLbls>
          <c:showLegendKey val="0"/>
          <c:showVal val="0"/>
          <c:showCatName val="0"/>
          <c:showSerName val="0"/>
          <c:showPercent val="0"/>
          <c:showBubbleSize val="0"/>
        </c:dLbls>
        <c:gapWidth val="150"/>
        <c:overlap val="100"/>
        <c:axId val="43527168"/>
        <c:axId val="43537152"/>
      </c:barChart>
      <c:catAx>
        <c:axId val="43527168"/>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537152"/>
        <c:crosses val="autoZero"/>
        <c:auto val="1"/>
        <c:lblAlgn val="ctr"/>
        <c:lblOffset val="100"/>
        <c:noMultiLvlLbl val="0"/>
      </c:catAx>
      <c:valAx>
        <c:axId val="43537152"/>
        <c:scaling>
          <c:orientation val="minMax"/>
        </c:scaling>
        <c:delete val="0"/>
        <c:axPos val="l"/>
        <c:majorGridlines>
          <c:spPr>
            <a:ln w="3175">
              <a:solidFill>
                <a:srgbClr val="969696"/>
              </a:solidFill>
              <a:prstDash val="solid"/>
            </a:ln>
          </c:spPr>
        </c:majorGridlines>
        <c:title>
          <c:tx>
            <c:rich>
              <a:bodyPr/>
              <a:lstStyle/>
              <a:p>
                <a:pPr>
                  <a:defRPr sz="1100" b="0" i="0" u="none" strike="noStrike" baseline="0">
                    <a:solidFill>
                      <a:srgbClr val="000000"/>
                    </a:solidFill>
                    <a:latin typeface="Calibri"/>
                    <a:ea typeface="Calibri"/>
                    <a:cs typeface="Calibri"/>
                  </a:defRPr>
                </a:pPr>
                <a:r>
                  <a:rPr lang="en-US" sz="900" b="1" i="0" u="none" strike="noStrike" baseline="0">
                    <a:solidFill>
                      <a:srgbClr val="000000"/>
                    </a:solidFill>
                    <a:latin typeface="Arial"/>
                    <a:cs typeface="Arial"/>
                  </a:rPr>
                  <a:t>Total Emissions (Metric Tonnes eCO</a:t>
                </a:r>
                <a:r>
                  <a:rPr lang="en-US" sz="900" b="1" i="0" u="none" strike="noStrike" baseline="-25000">
                    <a:solidFill>
                      <a:srgbClr val="000000"/>
                    </a:solidFill>
                    <a:latin typeface="Arial"/>
                    <a:cs typeface="Arial"/>
                  </a:rPr>
                  <a:t>2</a:t>
                </a:r>
                <a:r>
                  <a:rPr lang="en-US" sz="900" b="1" i="0" u="none" strike="noStrike" baseline="0">
                    <a:solidFill>
                      <a:srgbClr val="000000"/>
                    </a:solidFill>
                    <a:latin typeface="Arial"/>
                    <a:cs typeface="Arial"/>
                  </a:rPr>
                  <a:t>) </a:t>
                </a:r>
              </a:p>
            </c:rich>
          </c:tx>
          <c:layout>
            <c:manualLayout>
              <c:xMode val="edge"/>
              <c:yMode val="edge"/>
              <c:x val="1.7728296054031699E-3"/>
              <c:y val="0.17394684285154027"/>
            </c:manualLayout>
          </c:layout>
          <c:overlay val="0"/>
          <c:spPr>
            <a:noFill/>
            <a:ln w="25400">
              <a:noFill/>
            </a:ln>
          </c:spPr>
        </c:title>
        <c:numFmt formatCode="#,##0" sourceLinked="0"/>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527168"/>
        <c:crosses val="autoZero"/>
        <c:crossBetween val="between"/>
      </c:valAx>
      <c:spPr>
        <a:solidFill>
          <a:srgbClr val="FFFFFF"/>
        </a:solidFill>
        <a:ln w="3175">
          <a:solidFill>
            <a:srgbClr val="000000"/>
          </a:solidFill>
          <a:prstDash val="solid"/>
        </a:ln>
      </c:spPr>
    </c:plotArea>
    <c:legend>
      <c:legendPos val="r"/>
      <c:legendEntry>
        <c:idx val="1"/>
        <c:delete val="1"/>
      </c:legendEntry>
      <c:legendEntry>
        <c:idx val="2"/>
        <c:delete val="1"/>
      </c:legendEntry>
      <c:legendEntry>
        <c:idx val="3"/>
        <c:delete val="1"/>
      </c:legendEntry>
      <c:legendEntry>
        <c:idx val="4"/>
        <c:delete val="1"/>
      </c:legendEntry>
      <c:legendEntry>
        <c:idx val="7"/>
        <c:delete val="1"/>
      </c:legendEntry>
      <c:legendEntry>
        <c:idx val="9"/>
        <c:delete val="1"/>
      </c:legendEntry>
      <c:layout>
        <c:manualLayout>
          <c:xMode val="edge"/>
          <c:yMode val="edge"/>
          <c:x val="2.0989299414496322E-2"/>
          <c:y val="0.72450949066149484"/>
          <c:w val="0.42667289185005763"/>
          <c:h val="0.25133611016014301"/>
        </c:manualLayout>
      </c:layout>
      <c:overlay val="0"/>
      <c:spPr>
        <a:solidFill>
          <a:srgbClr val="FFFFFF"/>
        </a:solidFill>
        <a:ln w="25400">
          <a:noFill/>
        </a:ln>
      </c:spPr>
      <c:txPr>
        <a:bodyPr/>
        <a:lstStyle/>
        <a:p>
          <a:pPr>
            <a:defRPr sz="1050" b="0" i="0" u="none" strike="noStrike" baseline="0">
              <a:solidFill>
                <a:srgbClr val="000000"/>
              </a:solidFill>
              <a:latin typeface="Calibri" panose="020F0502020204030204" pitchFamily="34" charset="0"/>
              <a:ea typeface="Arial"/>
              <a:cs typeface="Arial"/>
            </a:defRPr>
          </a:pPr>
          <a:endParaRPr lang="en-US"/>
        </a:p>
      </c:txPr>
    </c:legend>
    <c:plotVisOnly val="1"/>
    <c:dispBlanksAs val="zero"/>
    <c:showDLblsOverMax val="0"/>
  </c:chart>
  <c:spPr>
    <a:solidFill>
      <a:srgbClr val="FFFFFF"/>
    </a:solidFill>
    <a:ln w="9525">
      <a:noFill/>
    </a:ln>
  </c:spPr>
  <c:txPr>
    <a:bodyPr/>
    <a:lstStyle/>
    <a:p>
      <a:pPr>
        <a:defRPr sz="800" b="0" i="0" u="none" strike="noStrike" baseline="0">
          <a:solidFill>
            <a:srgbClr val="000000"/>
          </a:solidFill>
          <a:latin typeface="Geneva"/>
          <a:ea typeface="Geneva"/>
          <a:cs typeface="Geneva"/>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41448474506934"/>
          <c:y val="3.7980201713364539E-2"/>
          <c:w val="0.84951012444524043"/>
          <c:h val="0.84597891069260056"/>
        </c:manualLayout>
      </c:layout>
      <c:lineChart>
        <c:grouping val="stacked"/>
        <c:varyColors val="0"/>
        <c:ser>
          <c:idx val="1"/>
          <c:order val="0"/>
          <c:tx>
            <c:strRef>
              <c:f>ACUPCC_Reporting!$Z$12</c:f>
              <c:strCache>
                <c:ptCount val="1"/>
                <c:pt idx="0">
                  <c:v># FTE</c:v>
                </c:pt>
              </c:strCache>
            </c:strRef>
          </c:tx>
          <c:marker>
            <c:symbol val="none"/>
          </c:marker>
          <c:cat>
            <c:numRef>
              <c:f>CPC_Total_2012.xlsx!DemoDynamicYear</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Cache>
            </c:numRef>
          </c:cat>
          <c:val>
            <c:numRef>
              <c:f>ACUPCC_Reporting!$Z$13:$Z$36</c:f>
              <c:numCache>
                <c:formatCode>#,##0_);[Red]\(#,##0\);"-"_)</c:formatCode>
                <c:ptCount val="24"/>
                <c:pt idx="0">
                  <c:v>31167</c:v>
                </c:pt>
                <c:pt idx="1">
                  <c:v>30440</c:v>
                </c:pt>
                <c:pt idx="2">
                  <c:v>29092</c:v>
                </c:pt>
                <c:pt idx="3">
                  <c:v>27282</c:v>
                </c:pt>
                <c:pt idx="4">
                  <c:v>24310</c:v>
                </c:pt>
                <c:pt idx="5">
                  <c:v>25022</c:v>
                </c:pt>
                <c:pt idx="6">
                  <c:v>27189</c:v>
                </c:pt>
                <c:pt idx="7">
                  <c:v>27653</c:v>
                </c:pt>
                <c:pt idx="8">
                  <c:v>27203</c:v>
                </c:pt>
                <c:pt idx="9">
                  <c:v>27947</c:v>
                </c:pt>
                <c:pt idx="10">
                  <c:v>29066</c:v>
                </c:pt>
                <c:pt idx="11">
                  <c:v>31448</c:v>
                </c:pt>
                <c:pt idx="12">
                  <c:v>32596</c:v>
                </c:pt>
                <c:pt idx="13">
                  <c:v>32007</c:v>
                </c:pt>
                <c:pt idx="14">
                  <c:v>31312</c:v>
                </c:pt>
                <c:pt idx="15">
                  <c:v>33243</c:v>
                </c:pt>
                <c:pt idx="16">
                  <c:v>34560</c:v>
                </c:pt>
                <c:pt idx="17">
                  <c:v>35446</c:v>
                </c:pt>
                <c:pt idx="18">
                  <c:v>36208</c:v>
                </c:pt>
                <c:pt idx="19">
                  <c:v>35198</c:v>
                </c:pt>
                <c:pt idx="20">
                  <c:v>35272</c:v>
                </c:pt>
                <c:pt idx="21">
                  <c:v>36911</c:v>
                </c:pt>
                <c:pt idx="22">
                  <c:v>36164</c:v>
                </c:pt>
                <c:pt idx="23">
                  <c:v>38310</c:v>
                </c:pt>
              </c:numCache>
            </c:numRef>
          </c:val>
          <c:smooth val="0"/>
          <c:extLst>
            <c:ext xmlns:c16="http://schemas.microsoft.com/office/drawing/2014/chart" uri="{C3380CC4-5D6E-409C-BE32-E72D297353CC}">
              <c16:uniqueId val="{00000000-BDBE-4F9A-99DF-31A95F94FF65}"/>
            </c:ext>
          </c:extLst>
        </c:ser>
        <c:dLbls>
          <c:showLegendKey val="0"/>
          <c:showVal val="0"/>
          <c:showCatName val="0"/>
          <c:showSerName val="0"/>
          <c:showPercent val="0"/>
          <c:showBubbleSize val="0"/>
        </c:dLbls>
        <c:smooth val="0"/>
        <c:axId val="40999936"/>
        <c:axId val="43555840"/>
      </c:lineChart>
      <c:catAx>
        <c:axId val="40999936"/>
        <c:scaling>
          <c:orientation val="minMax"/>
        </c:scaling>
        <c:delete val="0"/>
        <c:axPos val="b"/>
        <c:numFmt formatCode="General"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555840"/>
        <c:crosses val="autoZero"/>
        <c:auto val="1"/>
        <c:lblAlgn val="ctr"/>
        <c:lblOffset val="100"/>
        <c:tickLblSkip val="2"/>
        <c:tickMarkSkip val="1"/>
        <c:noMultiLvlLbl val="0"/>
      </c:catAx>
      <c:valAx>
        <c:axId val="43555840"/>
        <c:scaling>
          <c:orientation val="minMax"/>
          <c:min val="20000"/>
        </c:scaling>
        <c:delete val="0"/>
        <c:axPos val="l"/>
        <c:majorGridlines/>
        <c:title>
          <c:tx>
            <c:rich>
              <a:bodyPr/>
              <a:lstStyle/>
              <a:p>
                <a:pPr>
                  <a:defRPr sz="1050" b="1" i="0" u="none" strike="noStrike" baseline="0">
                    <a:solidFill>
                      <a:srgbClr val="000000"/>
                    </a:solidFill>
                    <a:latin typeface="+mn-lt"/>
                    <a:ea typeface="Arial"/>
                    <a:cs typeface="Arial"/>
                  </a:defRPr>
                </a:pPr>
                <a:r>
                  <a:rPr lang="en-US" sz="1050">
                    <a:latin typeface="+mn-lt"/>
                  </a:rPr>
                  <a:t>Full Time Equivalent Students (FTES)</a:t>
                </a:r>
              </a:p>
            </c:rich>
          </c:tx>
          <c:layout>
            <c:manualLayout>
              <c:xMode val="edge"/>
              <c:yMode val="edge"/>
              <c:x val="9.2553334679318898E-4"/>
              <c:y val="0.12358306088931907"/>
            </c:manualLayout>
          </c:layout>
          <c:overlay val="0"/>
          <c:spPr>
            <a:noFill/>
            <a:ln w="25400">
              <a:noFill/>
            </a:ln>
          </c:spPr>
        </c:title>
        <c:numFmt formatCode="General" sourceLinked="0"/>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0999936"/>
        <c:crosses val="autoZero"/>
        <c:crossBetween val="between"/>
      </c:valAx>
      <c:spPr>
        <a:noFill/>
        <a:ln w="12700">
          <a:solidFill>
            <a:srgbClr val="969696"/>
          </a:solidFill>
          <a:prstDash val="solid"/>
        </a:ln>
      </c:spPr>
    </c:plotArea>
    <c:plotVisOnly val="1"/>
    <c:dispBlanksAs val="zero"/>
    <c:showDLblsOverMax val="0"/>
  </c:chart>
  <c:spPr>
    <a:solidFill>
      <a:srgbClr val="FFFFFF"/>
    </a:solidFill>
    <a:ln w="9525">
      <a:noFill/>
    </a:ln>
  </c:spPr>
  <c:txPr>
    <a:bodyPr/>
    <a:lstStyle/>
    <a:p>
      <a:pPr>
        <a:defRPr sz="975"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41448474506934"/>
          <c:y val="3.7980201713364539E-2"/>
          <c:w val="0.84951012444524043"/>
          <c:h val="0.84597891069260056"/>
        </c:manualLayout>
      </c:layout>
      <c:barChart>
        <c:barDir val="col"/>
        <c:grouping val="stacked"/>
        <c:varyColors val="0"/>
        <c:ser>
          <c:idx val="0"/>
          <c:order val="0"/>
          <c:tx>
            <c:strRef>
              <c:f>S_Graph_Sum!$CI$9</c:f>
              <c:strCache>
                <c:ptCount val="1"/>
                <c:pt idx="0">
                  <c:v>Total Emissions/FTE</c:v>
                </c:pt>
              </c:strCache>
            </c:strRef>
          </c:tx>
          <c:spPr>
            <a:solidFill>
              <a:schemeClr val="tx1"/>
            </a:solidFill>
            <a:ln w="25400">
              <a:noFill/>
              <a:prstDash val="solid"/>
            </a:ln>
          </c:spPr>
          <c:invertIfNegative val="0"/>
          <c:cat>
            <c:numRef>
              <c:f>CPC_Total_2012.xlsx!DemoDynamicYear</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Cache>
            </c:numRef>
          </c:cat>
          <c:val>
            <c:numRef>
              <c:f>S_Graph_Sum!$CI$11:$CI$34</c:f>
              <c:numCache>
                <c:formatCode>0.000</c:formatCode>
                <c:ptCount val="24"/>
                <c:pt idx="0">
                  <c:v>2.7097907870751876</c:v>
                </c:pt>
                <c:pt idx="1">
                  <c:v>2.7567581921995004</c:v>
                </c:pt>
                <c:pt idx="2">
                  <c:v>2.8165146012408937</c:v>
                </c:pt>
                <c:pt idx="3">
                  <c:v>2.908687732974867</c:v>
                </c:pt>
                <c:pt idx="4">
                  <c:v>2.9057250586896943</c:v>
                </c:pt>
                <c:pt idx="5">
                  <c:v>3.1277536552098848</c:v>
                </c:pt>
                <c:pt idx="6">
                  <c:v>3.0779373855408831</c:v>
                </c:pt>
                <c:pt idx="7">
                  <c:v>3.1116687927997679</c:v>
                </c:pt>
                <c:pt idx="8">
                  <c:v>2.9845873340992988</c:v>
                </c:pt>
                <c:pt idx="9">
                  <c:v>3.0319378491813236</c:v>
                </c:pt>
                <c:pt idx="10">
                  <c:v>2.8388651661874067</c:v>
                </c:pt>
                <c:pt idx="11">
                  <c:v>2.6133500390851738</c:v>
                </c:pt>
                <c:pt idx="12">
                  <c:v>2.539196530431298</c:v>
                </c:pt>
                <c:pt idx="13">
                  <c:v>2.6872961523269878</c:v>
                </c:pt>
                <c:pt idx="14">
                  <c:v>2.5960323585918372</c:v>
                </c:pt>
                <c:pt idx="15">
                  <c:v>2.4575806434473186</c:v>
                </c:pt>
                <c:pt idx="16">
                  <c:v>2.3706591835458433</c:v>
                </c:pt>
                <c:pt idx="17">
                  <c:v>2.3249996731075671</c:v>
                </c:pt>
                <c:pt idx="18">
                  <c:v>2.271587192280129</c:v>
                </c:pt>
                <c:pt idx="19">
                  <c:v>2.3018593677285009</c:v>
                </c:pt>
                <c:pt idx="20">
                  <c:v>2.2745226984392342</c:v>
                </c:pt>
                <c:pt idx="21">
                  <c:v>2.3747725393279588</c:v>
                </c:pt>
                <c:pt idx="22">
                  <c:v>2.3672996768366752</c:v>
                </c:pt>
                <c:pt idx="23">
                  <c:v>2.3114681191116029</c:v>
                </c:pt>
              </c:numCache>
            </c:numRef>
          </c:val>
          <c:extLst>
            <c:ext xmlns:c16="http://schemas.microsoft.com/office/drawing/2014/chart" uri="{C3380CC4-5D6E-409C-BE32-E72D297353CC}">
              <c16:uniqueId val="{00000000-E77C-40A2-AC83-81D8F336C667}"/>
            </c:ext>
          </c:extLst>
        </c:ser>
        <c:dLbls>
          <c:showLegendKey val="0"/>
          <c:showVal val="0"/>
          <c:showCatName val="0"/>
          <c:showSerName val="0"/>
          <c:showPercent val="0"/>
          <c:showBubbleSize val="0"/>
        </c:dLbls>
        <c:gapWidth val="150"/>
        <c:overlap val="100"/>
        <c:axId val="43584128"/>
        <c:axId val="43598208"/>
      </c:barChart>
      <c:catAx>
        <c:axId val="43584128"/>
        <c:scaling>
          <c:orientation val="minMax"/>
        </c:scaling>
        <c:delete val="0"/>
        <c:axPos val="b"/>
        <c:numFmt formatCode="General"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598208"/>
        <c:crosses val="autoZero"/>
        <c:auto val="1"/>
        <c:lblAlgn val="ctr"/>
        <c:lblOffset val="100"/>
        <c:tickLblSkip val="2"/>
        <c:tickMarkSkip val="1"/>
        <c:noMultiLvlLbl val="0"/>
      </c:catAx>
      <c:valAx>
        <c:axId val="43598208"/>
        <c:scaling>
          <c:orientation val="minMax"/>
        </c:scaling>
        <c:delete val="0"/>
        <c:axPos val="l"/>
        <c:majorGridlines/>
        <c:title>
          <c:tx>
            <c:rich>
              <a:bodyPr/>
              <a:lstStyle/>
              <a:p>
                <a:pPr>
                  <a:defRPr sz="900" b="1" i="0" u="none" strike="noStrike" baseline="0">
                    <a:solidFill>
                      <a:srgbClr val="000000"/>
                    </a:solidFill>
                    <a:latin typeface="Arial"/>
                    <a:ea typeface="Arial"/>
                    <a:cs typeface="Arial"/>
                  </a:defRPr>
                </a:pPr>
                <a:r>
                  <a:rPr lang="en-US"/>
                  <a:t>Total Emissions per FTES (Tonnes eCO</a:t>
                </a:r>
                <a:r>
                  <a:rPr lang="en-US" baseline="-25000"/>
                  <a:t>2</a:t>
                </a:r>
                <a:r>
                  <a:rPr lang="en-US"/>
                  <a:t> / per FTES)</a:t>
                </a:r>
              </a:p>
            </c:rich>
          </c:tx>
          <c:layout>
            <c:manualLayout>
              <c:xMode val="edge"/>
              <c:yMode val="edge"/>
              <c:x val="1.04957044685095E-2"/>
              <c:y val="0.10438089975595198"/>
            </c:manualLayout>
          </c:layout>
          <c:overlay val="0"/>
          <c:spPr>
            <a:noFill/>
            <a:ln w="25400">
              <a:noFill/>
            </a:ln>
          </c:spPr>
        </c:title>
        <c:numFmt formatCode="General" sourceLinked="0"/>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584128"/>
        <c:crosses val="autoZero"/>
        <c:crossBetween val="between"/>
      </c:valAx>
      <c:spPr>
        <a:noFill/>
        <a:ln w="12700">
          <a:solidFill>
            <a:srgbClr val="969696"/>
          </a:solidFill>
          <a:prstDash val="solid"/>
        </a:ln>
      </c:spPr>
    </c:plotArea>
    <c:plotVisOnly val="1"/>
    <c:dispBlanksAs val="gap"/>
    <c:showDLblsOverMax val="0"/>
  </c:chart>
  <c:spPr>
    <a:solidFill>
      <a:srgbClr val="FFFFFF"/>
    </a:solidFill>
    <a:ln w="9525">
      <a:noFill/>
    </a:ln>
  </c:spPr>
  <c:txPr>
    <a:bodyPr/>
    <a:lstStyle/>
    <a:p>
      <a:pPr>
        <a:defRPr sz="975"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41448474506934"/>
          <c:y val="3.7980201713364539E-2"/>
          <c:w val="0.84951012444524043"/>
          <c:h val="0.84597891069260056"/>
        </c:manualLayout>
      </c:layout>
      <c:lineChart>
        <c:grouping val="stacked"/>
        <c:varyColors val="0"/>
        <c:ser>
          <c:idx val="1"/>
          <c:order val="0"/>
          <c:tx>
            <c:strRef>
              <c:f>ACUPCC_Reporting!$V$11</c:f>
              <c:strCache>
                <c:ptCount val="1"/>
                <c:pt idx="0">
                  <c:v>Gross Building Space</c:v>
                </c:pt>
              </c:strCache>
            </c:strRef>
          </c:tx>
          <c:marker>
            <c:symbol val="none"/>
          </c:marker>
          <c:cat>
            <c:numRef>
              <c:f>ACUPCC_Reporting!$B$13:$B$36</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Cache>
            </c:numRef>
          </c:cat>
          <c:val>
            <c:numRef>
              <c:f>ACUPCC_Reporting!$V$13:$V$36</c:f>
              <c:numCache>
                <c:formatCode>#,##0_);[Red]\(#,##0\);"-"_)</c:formatCode>
                <c:ptCount val="24"/>
                <c:pt idx="0">
                  <c:v>2601699</c:v>
                </c:pt>
                <c:pt idx="1">
                  <c:v>3068424</c:v>
                </c:pt>
                <c:pt idx="2">
                  <c:v>3173190</c:v>
                </c:pt>
                <c:pt idx="3">
                  <c:v>3430001</c:v>
                </c:pt>
                <c:pt idx="4">
                  <c:v>3430001</c:v>
                </c:pt>
                <c:pt idx="5">
                  <c:v>3532367</c:v>
                </c:pt>
                <c:pt idx="6">
                  <c:v>3532367</c:v>
                </c:pt>
                <c:pt idx="7">
                  <c:v>3532367</c:v>
                </c:pt>
                <c:pt idx="8">
                  <c:v>3538752</c:v>
                </c:pt>
                <c:pt idx="9">
                  <c:v>3538752</c:v>
                </c:pt>
                <c:pt idx="10">
                  <c:v>3739655</c:v>
                </c:pt>
                <c:pt idx="11">
                  <c:v>3870188</c:v>
                </c:pt>
                <c:pt idx="12">
                  <c:v>3870188</c:v>
                </c:pt>
                <c:pt idx="13">
                  <c:v>4349318</c:v>
                </c:pt>
                <c:pt idx="14">
                  <c:v>4358318</c:v>
                </c:pt>
                <c:pt idx="15">
                  <c:v>5041533</c:v>
                </c:pt>
                <c:pt idx="16">
                  <c:v>5067450</c:v>
                </c:pt>
                <c:pt idx="17">
                  <c:v>5099770</c:v>
                </c:pt>
                <c:pt idx="18">
                  <c:v>5099770</c:v>
                </c:pt>
                <c:pt idx="19">
                  <c:v>5741060</c:v>
                </c:pt>
                <c:pt idx="20">
                  <c:v>5907060</c:v>
                </c:pt>
                <c:pt idx="21">
                  <c:v>6025060</c:v>
                </c:pt>
                <c:pt idx="22">
                  <c:v>6025060</c:v>
                </c:pt>
                <c:pt idx="23">
                  <c:v>6025060</c:v>
                </c:pt>
              </c:numCache>
            </c:numRef>
          </c:val>
          <c:smooth val="0"/>
          <c:extLst>
            <c:ext xmlns:c16="http://schemas.microsoft.com/office/drawing/2014/chart" uri="{C3380CC4-5D6E-409C-BE32-E72D297353CC}">
              <c16:uniqueId val="{00000000-8BE9-46F0-AE3E-E0E85802D56C}"/>
            </c:ext>
          </c:extLst>
        </c:ser>
        <c:dLbls>
          <c:showLegendKey val="0"/>
          <c:showVal val="0"/>
          <c:showCatName val="0"/>
          <c:showSerName val="0"/>
          <c:showPercent val="0"/>
          <c:showBubbleSize val="0"/>
        </c:dLbls>
        <c:smooth val="0"/>
        <c:axId val="43642880"/>
        <c:axId val="43644416"/>
      </c:lineChart>
      <c:catAx>
        <c:axId val="43642880"/>
        <c:scaling>
          <c:orientation val="minMax"/>
        </c:scaling>
        <c:delete val="0"/>
        <c:axPos val="b"/>
        <c:numFmt formatCode="General"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644416"/>
        <c:crosses val="autoZero"/>
        <c:auto val="1"/>
        <c:lblAlgn val="ctr"/>
        <c:lblOffset val="100"/>
        <c:tickLblSkip val="2"/>
        <c:tickMarkSkip val="1"/>
        <c:noMultiLvlLbl val="0"/>
      </c:catAx>
      <c:valAx>
        <c:axId val="43644416"/>
        <c:scaling>
          <c:orientation val="minMax"/>
          <c:min val="2000000"/>
        </c:scaling>
        <c:delete val="0"/>
        <c:axPos val="l"/>
        <c:majorGridlines/>
        <c:title>
          <c:tx>
            <c:rich>
              <a:bodyPr/>
              <a:lstStyle/>
              <a:p>
                <a:pPr>
                  <a:defRPr sz="1100" b="1" i="0" u="none" strike="noStrike" baseline="0">
                    <a:solidFill>
                      <a:srgbClr val="000000"/>
                    </a:solidFill>
                    <a:latin typeface="+mn-lt"/>
                    <a:ea typeface="Arial"/>
                    <a:cs typeface="Arial"/>
                  </a:defRPr>
                </a:pPr>
                <a:r>
                  <a:rPr lang="en-US" sz="1100">
                    <a:latin typeface="+mn-lt"/>
                  </a:rPr>
                  <a:t>Building</a:t>
                </a:r>
                <a:r>
                  <a:rPr lang="en-US" sz="1100" baseline="0">
                    <a:latin typeface="+mn-lt"/>
                  </a:rPr>
                  <a:t> space (GSF) (million square feet)</a:t>
                </a:r>
                <a:endParaRPr lang="en-US" sz="1100">
                  <a:latin typeface="+mn-lt"/>
                </a:endParaRPr>
              </a:p>
            </c:rich>
          </c:tx>
          <c:layout>
            <c:manualLayout>
              <c:xMode val="edge"/>
              <c:yMode val="edge"/>
              <c:x val="2.3891244363685016E-4"/>
              <c:y val="9.6509953799634784E-2"/>
            </c:manualLayout>
          </c:layout>
          <c:overlay val="0"/>
          <c:spPr>
            <a:noFill/>
            <a:ln w="25400">
              <a:noFill/>
            </a:ln>
          </c:spPr>
        </c:title>
        <c:numFmt formatCode="General" sourceLinked="0"/>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642880"/>
        <c:crosses val="autoZero"/>
        <c:crossBetween val="between"/>
        <c:dispUnits>
          <c:builtInUnit val="millions"/>
        </c:dispUnits>
      </c:valAx>
      <c:spPr>
        <a:noFill/>
        <a:ln w="12700">
          <a:solidFill>
            <a:srgbClr val="969696"/>
          </a:solidFill>
          <a:prstDash val="solid"/>
        </a:ln>
      </c:spPr>
    </c:plotArea>
    <c:plotVisOnly val="1"/>
    <c:dispBlanksAs val="zero"/>
    <c:showDLblsOverMax val="0"/>
  </c:chart>
  <c:spPr>
    <a:solidFill>
      <a:srgbClr val="FFFFFF"/>
    </a:solidFill>
    <a:ln w="9525">
      <a:noFill/>
    </a:ln>
  </c:spPr>
  <c:txPr>
    <a:bodyPr/>
    <a:lstStyle/>
    <a:p>
      <a:pPr>
        <a:defRPr sz="975"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41448474506934"/>
          <c:y val="3.7980201713364539E-2"/>
          <c:w val="0.84951012444524043"/>
          <c:h val="0.84597891069260056"/>
        </c:manualLayout>
      </c:layout>
      <c:barChart>
        <c:barDir val="col"/>
        <c:grouping val="stacked"/>
        <c:varyColors val="0"/>
        <c:ser>
          <c:idx val="1"/>
          <c:order val="0"/>
          <c:tx>
            <c:strRef>
              <c:f>S_Graph_Sum!$CG$9</c:f>
              <c:strCache>
                <c:ptCount val="1"/>
                <c:pt idx="0">
                  <c:v>Scope 1 &amp; 2 Emissions/GSF</c:v>
                </c:pt>
              </c:strCache>
            </c:strRef>
          </c:tx>
          <c:spPr>
            <a:solidFill>
              <a:srgbClr val="FFC000"/>
            </a:solidFill>
            <a:ln>
              <a:solidFill>
                <a:srgbClr val="969696"/>
              </a:solidFill>
            </a:ln>
          </c:spPr>
          <c:invertIfNegative val="0"/>
          <c:cat>
            <c:numRef>
              <c:f>S_Graph_Sum!$B$11:$B$34</c:f>
              <c:numCache>
                <c:formatCode>General</c:formatCode>
                <c:ptCount val="24"/>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numCache>
            </c:numRef>
          </c:cat>
          <c:val>
            <c:numRef>
              <c:f>S_Graph_Sum!$CG$11:$CG$34</c:f>
              <c:numCache>
                <c:formatCode>0.000</c:formatCode>
                <c:ptCount val="24"/>
                <c:pt idx="0">
                  <c:v>14.550837918544195</c:v>
                </c:pt>
                <c:pt idx="1">
                  <c:v>12.834169857105245</c:v>
                </c:pt>
                <c:pt idx="2">
                  <c:v>12.172650158028826</c:v>
                </c:pt>
                <c:pt idx="3">
                  <c:v>10.920283176486119</c:v>
                </c:pt>
                <c:pt idx="4">
                  <c:v>9.195380725754255</c:v>
                </c:pt>
                <c:pt idx="5">
                  <c:v>10.906145096131224</c:v>
                </c:pt>
                <c:pt idx="6">
                  <c:v>11.682302639823456</c:v>
                </c:pt>
                <c:pt idx="7">
                  <c:v>12.188503963505521</c:v>
                </c:pt>
                <c:pt idx="8">
                  <c:v>10.713331612095301</c:v>
                </c:pt>
                <c:pt idx="9">
                  <c:v>10.985707546000629</c:v>
                </c:pt>
                <c:pt idx="10">
                  <c:v>9.8477549304357943</c:v>
                </c:pt>
                <c:pt idx="11">
                  <c:v>8.9840613044827684</c:v>
                </c:pt>
                <c:pt idx="12">
                  <c:v>8.394725690074301</c:v>
                </c:pt>
                <c:pt idx="13">
                  <c:v>8.185663656430803</c:v>
                </c:pt>
                <c:pt idx="14">
                  <c:v>8.2679066328535509</c:v>
                </c:pt>
                <c:pt idx="15">
                  <c:v>6.7540236166500671</c:v>
                </c:pt>
                <c:pt idx="16">
                  <c:v>6.5124192166457471</c:v>
                </c:pt>
                <c:pt idx="17">
                  <c:v>6.3769855648033298</c:v>
                </c:pt>
                <c:pt idx="18">
                  <c:v>6.2885003618867366</c:v>
                </c:pt>
                <c:pt idx="19">
                  <c:v>5.6412498453092184</c:v>
                </c:pt>
                <c:pt idx="20">
                  <c:v>5.431737035394514</c:v>
                </c:pt>
                <c:pt idx="21">
                  <c:v>5.9320243572785678</c:v>
                </c:pt>
                <c:pt idx="22">
                  <c:v>5.7446284649345225</c:v>
                </c:pt>
                <c:pt idx="23">
                  <c:v>5.7163808846750284</c:v>
                </c:pt>
              </c:numCache>
            </c:numRef>
          </c:val>
          <c:extLst>
            <c:ext xmlns:c16="http://schemas.microsoft.com/office/drawing/2014/chart" uri="{C3380CC4-5D6E-409C-BE32-E72D297353CC}">
              <c16:uniqueId val="{00000000-4328-4658-A9C6-78FEAAE42CCD}"/>
            </c:ext>
          </c:extLst>
        </c:ser>
        <c:dLbls>
          <c:showLegendKey val="0"/>
          <c:showVal val="0"/>
          <c:showCatName val="0"/>
          <c:showSerName val="0"/>
          <c:showPercent val="0"/>
          <c:showBubbleSize val="0"/>
        </c:dLbls>
        <c:gapWidth val="150"/>
        <c:overlap val="100"/>
        <c:axId val="43668992"/>
        <c:axId val="43670528"/>
      </c:barChart>
      <c:catAx>
        <c:axId val="43668992"/>
        <c:scaling>
          <c:orientation val="minMax"/>
        </c:scaling>
        <c:delete val="0"/>
        <c:axPos val="b"/>
        <c:numFmt formatCode="General" sourceLinked="1"/>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670528"/>
        <c:crosses val="autoZero"/>
        <c:auto val="1"/>
        <c:lblAlgn val="ctr"/>
        <c:lblOffset val="100"/>
        <c:tickLblSkip val="2"/>
        <c:tickMarkSkip val="1"/>
        <c:noMultiLvlLbl val="0"/>
      </c:catAx>
      <c:valAx>
        <c:axId val="43670528"/>
        <c:scaling>
          <c:orientation val="minMax"/>
        </c:scaling>
        <c:delete val="0"/>
        <c:axPos val="l"/>
        <c:majorGridlines/>
        <c:title>
          <c:tx>
            <c:rich>
              <a:bodyPr/>
              <a:lstStyle/>
              <a:p>
                <a:pPr>
                  <a:defRPr sz="900" b="1" i="0" u="none" strike="noStrike" baseline="0">
                    <a:solidFill>
                      <a:srgbClr val="000000"/>
                    </a:solidFill>
                    <a:latin typeface="Arial"/>
                    <a:ea typeface="Arial"/>
                    <a:cs typeface="Arial"/>
                  </a:defRPr>
                </a:pPr>
                <a:r>
                  <a:rPr lang="en-US" sz="1100">
                    <a:latin typeface="+mn-lt"/>
                  </a:rPr>
                  <a:t>Scope 1 and 2 Emissions per GSF (kg eCO</a:t>
                </a:r>
                <a:r>
                  <a:rPr lang="en-US" sz="1100" baseline="-25000">
                    <a:latin typeface="+mn-lt"/>
                  </a:rPr>
                  <a:t>2</a:t>
                </a:r>
                <a:r>
                  <a:rPr lang="en-US" sz="1100">
                    <a:latin typeface="+mn-lt"/>
                  </a:rPr>
                  <a:t> / sq</a:t>
                </a:r>
                <a:r>
                  <a:rPr lang="en-US" sz="1100" baseline="0">
                    <a:latin typeface="+mn-lt"/>
                  </a:rPr>
                  <a:t> ft.</a:t>
                </a:r>
                <a:r>
                  <a:rPr lang="en-US" sz="1100">
                    <a:latin typeface="+mn-lt"/>
                  </a:rPr>
                  <a:t>)</a:t>
                </a:r>
              </a:p>
            </c:rich>
          </c:tx>
          <c:layout>
            <c:manualLayout>
              <c:xMode val="edge"/>
              <c:yMode val="edge"/>
              <c:x val="0"/>
              <c:y val="0.14535199857617218"/>
            </c:manualLayout>
          </c:layout>
          <c:overlay val="0"/>
          <c:spPr>
            <a:noFill/>
            <a:ln w="25400">
              <a:noFill/>
            </a:ln>
          </c:spPr>
        </c:title>
        <c:numFmt formatCode="General" sourceLinked="0"/>
        <c:majorTickMark val="out"/>
        <c:minorTickMark val="none"/>
        <c:tickLblPos val="nextTo"/>
        <c:spPr>
          <a:ln w="3175">
            <a:solidFill>
              <a:srgbClr val="969696"/>
            </a:solidFill>
            <a:prstDash val="solid"/>
          </a:ln>
        </c:spPr>
        <c:txPr>
          <a:bodyPr rot="0" vert="horz"/>
          <a:lstStyle/>
          <a:p>
            <a:pPr>
              <a:defRPr sz="900" b="0" i="0" u="none" strike="noStrike" baseline="0">
                <a:solidFill>
                  <a:srgbClr val="000000"/>
                </a:solidFill>
                <a:latin typeface="Arial"/>
                <a:ea typeface="Arial"/>
                <a:cs typeface="Arial"/>
              </a:defRPr>
            </a:pPr>
            <a:endParaRPr lang="en-US"/>
          </a:p>
        </c:txPr>
        <c:crossAx val="43668992"/>
        <c:crosses val="autoZero"/>
        <c:crossBetween val="between"/>
      </c:valAx>
      <c:spPr>
        <a:noFill/>
        <a:ln w="12700">
          <a:solidFill>
            <a:srgbClr val="969696"/>
          </a:solidFill>
          <a:prstDash val="solid"/>
        </a:ln>
      </c:spPr>
    </c:plotArea>
    <c:plotVisOnly val="1"/>
    <c:dispBlanksAs val="gap"/>
    <c:showDLblsOverMax val="0"/>
  </c:chart>
  <c:spPr>
    <a:solidFill>
      <a:srgbClr val="FFFFFF"/>
    </a:solidFill>
    <a:ln w="9525">
      <a:noFill/>
    </a:ln>
  </c:spPr>
  <c:txPr>
    <a:bodyPr/>
    <a:lstStyle/>
    <a:p>
      <a:pPr>
        <a:defRPr sz="975" b="0" i="0" u="none" strike="noStrike" baseline="0">
          <a:solidFill>
            <a:srgbClr val="000000"/>
          </a:solidFill>
          <a:latin typeface="Times New Roman"/>
          <a:ea typeface="Times New Roman"/>
          <a:cs typeface="Times New Roman"/>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4995026448140264"/>
          <c:y val="4.1694573381191313E-2"/>
          <c:w val="0.71432356054504742"/>
          <c:h val="0.78300041442188151"/>
        </c:manualLayout>
      </c:layout>
      <c:lineChart>
        <c:grouping val="standard"/>
        <c:varyColors val="0"/>
        <c:ser>
          <c:idx val="0"/>
          <c:order val="0"/>
          <c:tx>
            <c:v>Building GSF (sqft)</c:v>
          </c:tx>
          <c:marker>
            <c:symbol val="none"/>
          </c:marker>
          <c:cat>
            <c:numRef>
              <c:f>BAU_InputData!$A$11:$A$71</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BAU_InputData!$E$11:$E$71</c:f>
              <c:numCache>
                <c:formatCode>#,##0</c:formatCode>
                <c:ptCount val="61"/>
                <c:pt idx="0">
                  <c:v>2601699</c:v>
                </c:pt>
                <c:pt idx="1">
                  <c:v>3068424</c:v>
                </c:pt>
                <c:pt idx="2">
                  <c:v>3173190</c:v>
                </c:pt>
                <c:pt idx="3">
                  <c:v>3430001</c:v>
                </c:pt>
                <c:pt idx="4">
                  <c:v>3430001</c:v>
                </c:pt>
                <c:pt idx="5">
                  <c:v>3532367</c:v>
                </c:pt>
                <c:pt idx="6">
                  <c:v>3532367</c:v>
                </c:pt>
                <c:pt idx="7">
                  <c:v>3532367</c:v>
                </c:pt>
                <c:pt idx="8">
                  <c:v>3538752</c:v>
                </c:pt>
                <c:pt idx="9">
                  <c:v>3538752</c:v>
                </c:pt>
                <c:pt idx="10">
                  <c:v>3739655</c:v>
                </c:pt>
                <c:pt idx="11">
                  <c:v>3870188</c:v>
                </c:pt>
                <c:pt idx="12">
                  <c:v>3870188</c:v>
                </c:pt>
                <c:pt idx="13">
                  <c:v>4349318</c:v>
                </c:pt>
                <c:pt idx="14">
                  <c:v>4358318</c:v>
                </c:pt>
                <c:pt idx="15">
                  <c:v>5041533</c:v>
                </c:pt>
                <c:pt idx="16">
                  <c:v>5067450</c:v>
                </c:pt>
                <c:pt idx="17">
                  <c:v>5099770</c:v>
                </c:pt>
                <c:pt idx="18">
                  <c:v>5099770</c:v>
                </c:pt>
                <c:pt idx="19">
                  <c:v>5741060</c:v>
                </c:pt>
                <c:pt idx="20">
                  <c:v>5907060</c:v>
                </c:pt>
                <c:pt idx="21">
                  <c:v>6025060</c:v>
                </c:pt>
                <c:pt idx="22">
                  <c:v>6025060</c:v>
                </c:pt>
                <c:pt idx="23">
                  <c:v>6025060</c:v>
                </c:pt>
                <c:pt idx="24">
                  <c:v>6025060</c:v>
                </c:pt>
                <c:pt idx="25">
                  <c:v>6025230.5999999996</c:v>
                </c:pt>
                <c:pt idx="26">
                  <c:v>6025401.1999999993</c:v>
                </c:pt>
                <c:pt idx="27">
                  <c:v>6025571.7999999989</c:v>
                </c:pt>
                <c:pt idx="28">
                  <c:v>6025742.3999999985</c:v>
                </c:pt>
                <c:pt idx="29">
                  <c:v>6025912.9999999981</c:v>
                </c:pt>
                <c:pt idx="30">
                  <c:v>6087453.6666666651</c:v>
                </c:pt>
                <c:pt idx="31">
                  <c:v>6148994.3333333321</c:v>
                </c:pt>
                <c:pt idx="32">
                  <c:v>6210534.9999999991</c:v>
                </c:pt>
                <c:pt idx="33">
                  <c:v>6272075.666666666</c:v>
                </c:pt>
                <c:pt idx="34">
                  <c:v>6333616.333333333</c:v>
                </c:pt>
                <c:pt idx="35">
                  <c:v>6395157</c:v>
                </c:pt>
                <c:pt idx="36">
                  <c:v>6456697.666666667</c:v>
                </c:pt>
                <c:pt idx="37">
                  <c:v>6518238.333333334</c:v>
                </c:pt>
                <c:pt idx="38">
                  <c:v>6579779.0000000009</c:v>
                </c:pt>
                <c:pt idx="39">
                  <c:v>6641319.6666666679</c:v>
                </c:pt>
                <c:pt idx="40">
                  <c:v>6702860.3333333349</c:v>
                </c:pt>
                <c:pt idx="41">
                  <c:v>6764401.0000000019</c:v>
                </c:pt>
                <c:pt idx="42">
                  <c:v>6825941.6666666688</c:v>
                </c:pt>
                <c:pt idx="43">
                  <c:v>6887482.3333333358</c:v>
                </c:pt>
                <c:pt idx="44">
                  <c:v>6949023.0000000028</c:v>
                </c:pt>
                <c:pt idx="45">
                  <c:v>7010563.6666666698</c:v>
                </c:pt>
                <c:pt idx="46">
                  <c:v>7010563.6666666698</c:v>
                </c:pt>
                <c:pt idx="47">
                  <c:v>7010563.6666666698</c:v>
                </c:pt>
                <c:pt idx="48">
                  <c:v>7010563.6666666698</c:v>
                </c:pt>
                <c:pt idx="49">
                  <c:v>7010563.6666666698</c:v>
                </c:pt>
                <c:pt idx="50">
                  <c:v>7010563.6666666698</c:v>
                </c:pt>
                <c:pt idx="51">
                  <c:v>7010563.6666666698</c:v>
                </c:pt>
                <c:pt idx="52">
                  <c:v>7010563.6666666698</c:v>
                </c:pt>
                <c:pt idx="53">
                  <c:v>7010563.6666666698</c:v>
                </c:pt>
                <c:pt idx="54">
                  <c:v>7010563.6666666698</c:v>
                </c:pt>
                <c:pt idx="55">
                  <c:v>7010563.6666666698</c:v>
                </c:pt>
                <c:pt idx="56">
                  <c:v>7010563.6666666698</c:v>
                </c:pt>
                <c:pt idx="57">
                  <c:v>7010563.6666666698</c:v>
                </c:pt>
                <c:pt idx="58">
                  <c:v>7010563.6666666698</c:v>
                </c:pt>
                <c:pt idx="59">
                  <c:v>7010563.6666666698</c:v>
                </c:pt>
                <c:pt idx="60">
                  <c:v>7010563.6666666698</c:v>
                </c:pt>
              </c:numCache>
            </c:numRef>
          </c:val>
          <c:smooth val="0"/>
          <c:extLst>
            <c:ext xmlns:c16="http://schemas.microsoft.com/office/drawing/2014/chart" uri="{C3380CC4-5D6E-409C-BE32-E72D297353CC}">
              <c16:uniqueId val="{00000000-1E5F-4FC9-8C2F-4C6753C97C77}"/>
            </c:ext>
          </c:extLst>
        </c:ser>
        <c:dLbls>
          <c:showLegendKey val="0"/>
          <c:showVal val="0"/>
          <c:showCatName val="0"/>
          <c:showSerName val="0"/>
          <c:showPercent val="0"/>
          <c:showBubbleSize val="0"/>
        </c:dLbls>
        <c:marker val="1"/>
        <c:smooth val="0"/>
        <c:axId val="43704320"/>
        <c:axId val="43705856"/>
      </c:lineChart>
      <c:lineChart>
        <c:grouping val="standard"/>
        <c:varyColors val="0"/>
        <c:ser>
          <c:idx val="1"/>
          <c:order val="1"/>
          <c:tx>
            <c:v>Student headcount</c:v>
          </c:tx>
          <c:marker>
            <c:symbol val="none"/>
          </c:marker>
          <c:val>
            <c:numRef>
              <c:f>BAU_InputData!$B$11:$B$71</c:f>
              <c:numCache>
                <c:formatCode>#,##0</c:formatCode>
                <c:ptCount val="61"/>
                <c:pt idx="0">
                  <c:v>31166</c:v>
                </c:pt>
                <c:pt idx="1">
                  <c:v>30440</c:v>
                </c:pt>
                <c:pt idx="2">
                  <c:v>29096</c:v>
                </c:pt>
                <c:pt idx="3">
                  <c:v>27282</c:v>
                </c:pt>
                <c:pt idx="4">
                  <c:v>24310</c:v>
                </c:pt>
                <c:pt idx="5">
                  <c:v>25019</c:v>
                </c:pt>
                <c:pt idx="6">
                  <c:v>27189</c:v>
                </c:pt>
                <c:pt idx="7">
                  <c:v>27653</c:v>
                </c:pt>
                <c:pt idx="8">
                  <c:v>27203</c:v>
                </c:pt>
                <c:pt idx="9">
                  <c:v>27947</c:v>
                </c:pt>
                <c:pt idx="10">
                  <c:v>29066</c:v>
                </c:pt>
                <c:pt idx="11">
                  <c:v>31448</c:v>
                </c:pt>
                <c:pt idx="12">
                  <c:v>33579</c:v>
                </c:pt>
                <c:pt idx="13">
                  <c:v>33426</c:v>
                </c:pt>
                <c:pt idx="14">
                  <c:v>31341</c:v>
                </c:pt>
                <c:pt idx="15">
                  <c:v>33243</c:v>
                </c:pt>
                <c:pt idx="16">
                  <c:v>34560</c:v>
                </c:pt>
                <c:pt idx="17">
                  <c:v>35446</c:v>
                </c:pt>
                <c:pt idx="18">
                  <c:v>36208</c:v>
                </c:pt>
                <c:pt idx="19">
                  <c:v>35198</c:v>
                </c:pt>
                <c:pt idx="20">
                  <c:v>35272</c:v>
                </c:pt>
                <c:pt idx="21">
                  <c:v>36911</c:v>
                </c:pt>
                <c:pt idx="22">
                  <c:v>36164</c:v>
                </c:pt>
                <c:pt idx="23">
                  <c:v>38310</c:v>
                </c:pt>
                <c:pt idx="24">
                  <c:v>40131</c:v>
                </c:pt>
                <c:pt idx="25">
                  <c:v>41351.347356312646</c:v>
                </c:pt>
                <c:pt idx="26">
                  <c:v>40524.320409186395</c:v>
                </c:pt>
                <c:pt idx="27">
                  <c:v>39713.834001002666</c:v>
                </c:pt>
                <c:pt idx="28">
                  <c:v>38919.557320982611</c:v>
                </c:pt>
                <c:pt idx="29">
                  <c:v>39503.350680797346</c:v>
                </c:pt>
                <c:pt idx="30">
                  <c:v>40095.900941009306</c:v>
                </c:pt>
                <c:pt idx="31">
                  <c:v>40697.339455124442</c:v>
                </c:pt>
                <c:pt idx="32">
                  <c:v>41307.799546951304</c:v>
                </c:pt>
                <c:pt idx="33">
                  <c:v>41927.416540155573</c:v>
                </c:pt>
                <c:pt idx="34">
                  <c:v>42556.327788257906</c:v>
                </c:pt>
                <c:pt idx="35">
                  <c:v>43194.672705081772</c:v>
                </c:pt>
                <c:pt idx="36">
                  <c:v>43200.321099365508</c:v>
                </c:pt>
                <c:pt idx="37">
                  <c:v>43200.321099365508</c:v>
                </c:pt>
                <c:pt idx="38">
                  <c:v>43200.321099365508</c:v>
                </c:pt>
                <c:pt idx="39">
                  <c:v>43200.321099365508</c:v>
                </c:pt>
                <c:pt idx="40">
                  <c:v>43200.321099365508</c:v>
                </c:pt>
                <c:pt idx="41">
                  <c:v>43200.321099365508</c:v>
                </c:pt>
                <c:pt idx="42">
                  <c:v>43200.321099365508</c:v>
                </c:pt>
                <c:pt idx="43">
                  <c:v>43200.321099365508</c:v>
                </c:pt>
                <c:pt idx="44">
                  <c:v>43200.321099365508</c:v>
                </c:pt>
                <c:pt idx="45">
                  <c:v>43200.321099365508</c:v>
                </c:pt>
                <c:pt idx="46">
                  <c:v>43200.321099365508</c:v>
                </c:pt>
                <c:pt idx="47">
                  <c:v>43200.321099365508</c:v>
                </c:pt>
                <c:pt idx="48">
                  <c:v>43200.321099365508</c:v>
                </c:pt>
                <c:pt idx="49">
                  <c:v>43200.321099365508</c:v>
                </c:pt>
                <c:pt idx="50">
                  <c:v>43200.321099365508</c:v>
                </c:pt>
                <c:pt idx="51">
                  <c:v>43200.321099365508</c:v>
                </c:pt>
                <c:pt idx="52">
                  <c:v>43200.321099365508</c:v>
                </c:pt>
                <c:pt idx="53">
                  <c:v>43200.321099365508</c:v>
                </c:pt>
                <c:pt idx="54">
                  <c:v>43200.321099365508</c:v>
                </c:pt>
                <c:pt idx="55">
                  <c:v>43200.321099365508</c:v>
                </c:pt>
                <c:pt idx="56">
                  <c:v>43200.321099365508</c:v>
                </c:pt>
                <c:pt idx="57">
                  <c:v>43200.321099365508</c:v>
                </c:pt>
                <c:pt idx="58">
                  <c:v>43200.321099365508</c:v>
                </c:pt>
                <c:pt idx="59">
                  <c:v>43200.321099365508</c:v>
                </c:pt>
                <c:pt idx="60">
                  <c:v>43200.321099365508</c:v>
                </c:pt>
              </c:numCache>
            </c:numRef>
          </c:val>
          <c:smooth val="0"/>
          <c:extLst>
            <c:ext xmlns:c16="http://schemas.microsoft.com/office/drawing/2014/chart" uri="{C3380CC4-5D6E-409C-BE32-E72D297353CC}">
              <c16:uniqueId val="{00000001-1E5F-4FC9-8C2F-4C6753C97C77}"/>
            </c:ext>
          </c:extLst>
        </c:ser>
        <c:dLbls>
          <c:showLegendKey val="0"/>
          <c:showVal val="0"/>
          <c:showCatName val="0"/>
          <c:showSerName val="0"/>
          <c:showPercent val="0"/>
          <c:showBubbleSize val="0"/>
        </c:dLbls>
        <c:marker val="1"/>
        <c:smooth val="0"/>
        <c:axId val="43722240"/>
        <c:axId val="43707776"/>
      </c:lineChart>
      <c:catAx>
        <c:axId val="43704320"/>
        <c:scaling>
          <c:orientation val="minMax"/>
        </c:scaling>
        <c:delete val="0"/>
        <c:axPos val="b"/>
        <c:numFmt formatCode="General" sourceLinked="1"/>
        <c:majorTickMark val="out"/>
        <c:minorTickMark val="none"/>
        <c:tickLblPos val="nextTo"/>
        <c:crossAx val="43705856"/>
        <c:crosses val="autoZero"/>
        <c:auto val="1"/>
        <c:lblAlgn val="ctr"/>
        <c:lblOffset val="100"/>
        <c:noMultiLvlLbl val="0"/>
      </c:catAx>
      <c:valAx>
        <c:axId val="43705856"/>
        <c:scaling>
          <c:orientation val="minMax"/>
        </c:scaling>
        <c:delete val="0"/>
        <c:axPos val="l"/>
        <c:majorGridlines/>
        <c:title>
          <c:tx>
            <c:rich>
              <a:bodyPr rot="-5400000" vert="horz"/>
              <a:lstStyle/>
              <a:p>
                <a:pPr>
                  <a:defRPr sz="1100"/>
                </a:pPr>
                <a:r>
                  <a:rPr lang="en-US" sz="1100"/>
                  <a:t>Building GSF (sqft)</a:t>
                </a:r>
              </a:p>
            </c:rich>
          </c:tx>
          <c:layout>
            <c:manualLayout>
              <c:xMode val="edge"/>
              <c:yMode val="edge"/>
              <c:x val="2.2580590887677499E-3"/>
              <c:y val="0.34049468392722099"/>
            </c:manualLayout>
          </c:layout>
          <c:overlay val="0"/>
        </c:title>
        <c:numFmt formatCode="#,##0" sourceLinked="1"/>
        <c:majorTickMark val="out"/>
        <c:minorTickMark val="none"/>
        <c:tickLblPos val="nextTo"/>
        <c:txPr>
          <a:bodyPr/>
          <a:lstStyle/>
          <a:p>
            <a:pPr>
              <a:defRPr sz="1000"/>
            </a:pPr>
            <a:endParaRPr lang="en-US"/>
          </a:p>
        </c:txPr>
        <c:crossAx val="43704320"/>
        <c:crosses val="autoZero"/>
        <c:crossBetween val="between"/>
      </c:valAx>
      <c:valAx>
        <c:axId val="43707776"/>
        <c:scaling>
          <c:orientation val="minMax"/>
        </c:scaling>
        <c:delete val="0"/>
        <c:axPos val="r"/>
        <c:title>
          <c:tx>
            <c:rich>
              <a:bodyPr rot="-5400000" vert="horz"/>
              <a:lstStyle/>
              <a:p>
                <a:pPr>
                  <a:defRPr sz="1100"/>
                </a:pPr>
                <a:r>
                  <a:rPr lang="en-US" sz="1100"/>
                  <a:t>Headcount</a:t>
                </a:r>
              </a:p>
            </c:rich>
          </c:tx>
          <c:layout>
            <c:manualLayout>
              <c:xMode val="edge"/>
              <c:yMode val="edge"/>
              <c:x val="0.93959923278820912"/>
              <c:y val="0.37999347539184719"/>
            </c:manualLayout>
          </c:layout>
          <c:overlay val="0"/>
        </c:title>
        <c:numFmt formatCode="#,##0" sourceLinked="1"/>
        <c:majorTickMark val="out"/>
        <c:minorTickMark val="none"/>
        <c:tickLblPos val="nextTo"/>
        <c:crossAx val="43722240"/>
        <c:crosses val="max"/>
        <c:crossBetween val="between"/>
      </c:valAx>
      <c:catAx>
        <c:axId val="43722240"/>
        <c:scaling>
          <c:orientation val="minMax"/>
        </c:scaling>
        <c:delete val="1"/>
        <c:axPos val="b"/>
        <c:majorTickMark val="out"/>
        <c:minorTickMark val="none"/>
        <c:tickLblPos val="nextTo"/>
        <c:crossAx val="43707776"/>
        <c:crosses val="autoZero"/>
        <c:auto val="1"/>
        <c:lblAlgn val="ctr"/>
        <c:lblOffset val="100"/>
        <c:noMultiLvlLbl val="0"/>
      </c:catAx>
    </c:plotArea>
    <c:legend>
      <c:legendPos val="r"/>
      <c:layout>
        <c:manualLayout>
          <c:xMode val="edge"/>
          <c:yMode val="edge"/>
          <c:x val="0.59362675819368738"/>
          <c:y val="0.61280217091507627"/>
          <c:w val="0.23919964331381655"/>
          <c:h val="0.12638551536990081"/>
        </c:manualLayout>
      </c:layout>
      <c:overlay val="0"/>
      <c:spPr>
        <a:solidFill>
          <a:srgbClr val="F8F8F8"/>
        </a:solidFill>
      </c:spPr>
      <c:txPr>
        <a:bodyPr/>
        <a:lstStyle/>
        <a:p>
          <a:pPr>
            <a:defRPr sz="1100"/>
          </a:pPr>
          <a:endParaRPr lang="en-US"/>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cked"/>
        <c:varyColors val="0"/>
        <c:ser>
          <c:idx val="0"/>
          <c:order val="0"/>
          <c:spPr>
            <a:ln>
              <a:solidFill>
                <a:schemeClr val="tx1"/>
              </a:solidFill>
            </a:ln>
          </c:spPr>
          <c:marker>
            <c:symbol val="none"/>
          </c:marker>
          <c:cat>
            <c:numRef>
              <c:f>LADWP_emissions_factors!$B$4:$V$4</c:f>
              <c:numCache>
                <c:formatCode>General</c:formatCode>
                <c:ptCount val="21"/>
                <c:pt idx="0">
                  <c:v>2014</c:v>
                </c:pt>
                <c:pt idx="1">
                  <c:v>2015</c:v>
                </c:pt>
                <c:pt idx="2">
                  <c:v>2016</c:v>
                </c:pt>
                <c:pt idx="3">
                  <c:v>2017</c:v>
                </c:pt>
                <c:pt idx="4">
                  <c:v>2018</c:v>
                </c:pt>
                <c:pt idx="5">
                  <c:v>2019</c:v>
                </c:pt>
                <c:pt idx="6">
                  <c:v>2020</c:v>
                </c:pt>
                <c:pt idx="7">
                  <c:v>2021</c:v>
                </c:pt>
                <c:pt idx="8">
                  <c:v>2022</c:v>
                </c:pt>
                <c:pt idx="9">
                  <c:v>2023</c:v>
                </c:pt>
                <c:pt idx="10">
                  <c:v>2024</c:v>
                </c:pt>
                <c:pt idx="11">
                  <c:v>2025</c:v>
                </c:pt>
                <c:pt idx="12">
                  <c:v>2026</c:v>
                </c:pt>
                <c:pt idx="13">
                  <c:v>2027</c:v>
                </c:pt>
                <c:pt idx="14">
                  <c:v>2028</c:v>
                </c:pt>
                <c:pt idx="15">
                  <c:v>2029</c:v>
                </c:pt>
                <c:pt idx="16">
                  <c:v>2030</c:v>
                </c:pt>
                <c:pt idx="17">
                  <c:v>2031</c:v>
                </c:pt>
                <c:pt idx="18">
                  <c:v>2032</c:v>
                </c:pt>
                <c:pt idx="19">
                  <c:v>2033</c:v>
                </c:pt>
                <c:pt idx="20">
                  <c:v>2034</c:v>
                </c:pt>
              </c:numCache>
            </c:numRef>
          </c:cat>
          <c:val>
            <c:numRef>
              <c:f>LADWP_emissions_factors!$B$5:$V$5</c:f>
              <c:numCache>
                <c:formatCode>General</c:formatCode>
                <c:ptCount val="21"/>
                <c:pt idx="0">
                  <c:v>1284.6499999999999</c:v>
                </c:pt>
                <c:pt idx="1">
                  <c:v>1274.5170000000001</c:v>
                </c:pt>
                <c:pt idx="2">
                  <c:v>1116.0360000000001</c:v>
                </c:pt>
                <c:pt idx="3">
                  <c:v>1011.049</c:v>
                </c:pt>
                <c:pt idx="4">
                  <c:v>986.30849999999998</c:v>
                </c:pt>
                <c:pt idx="5">
                  <c:v>973.23739999999998</c:v>
                </c:pt>
                <c:pt idx="6">
                  <c:v>973.529</c:v>
                </c:pt>
                <c:pt idx="7">
                  <c:v>968.09299999999996</c:v>
                </c:pt>
                <c:pt idx="8">
                  <c:v>962.45199999999909</c:v>
                </c:pt>
                <c:pt idx="9">
                  <c:v>920.82370000000003</c:v>
                </c:pt>
                <c:pt idx="10">
                  <c:v>859.35219999999856</c:v>
                </c:pt>
                <c:pt idx="11">
                  <c:v>699.95949999999948</c:v>
                </c:pt>
                <c:pt idx="12">
                  <c:v>585.11789999999996</c:v>
                </c:pt>
                <c:pt idx="13">
                  <c:v>562.38070000000005</c:v>
                </c:pt>
                <c:pt idx="14">
                  <c:v>545.06919999999946</c:v>
                </c:pt>
                <c:pt idx="15">
                  <c:v>537.20159999999998</c:v>
                </c:pt>
                <c:pt idx="16">
                  <c:v>529.85569999999882</c:v>
                </c:pt>
                <c:pt idx="17">
                  <c:v>523.98950000000002</c:v>
                </c:pt>
                <c:pt idx="18">
                  <c:v>526.3172999999988</c:v>
                </c:pt>
                <c:pt idx="19">
                  <c:v>527.00940000000003</c:v>
                </c:pt>
                <c:pt idx="20">
                  <c:v>528.48530000000005</c:v>
                </c:pt>
              </c:numCache>
            </c:numRef>
          </c:val>
          <c:smooth val="0"/>
          <c:extLst>
            <c:ext xmlns:c16="http://schemas.microsoft.com/office/drawing/2014/chart" uri="{C3380CC4-5D6E-409C-BE32-E72D297353CC}">
              <c16:uniqueId val="{00000000-DA44-49ED-A250-8E212673EA7F}"/>
            </c:ext>
          </c:extLst>
        </c:ser>
        <c:dLbls>
          <c:showLegendKey val="0"/>
          <c:showVal val="0"/>
          <c:showCatName val="0"/>
          <c:showSerName val="0"/>
          <c:showPercent val="0"/>
          <c:showBubbleSize val="0"/>
        </c:dLbls>
        <c:smooth val="0"/>
        <c:axId val="43739392"/>
        <c:axId val="43745280"/>
      </c:lineChart>
      <c:catAx>
        <c:axId val="43739392"/>
        <c:scaling>
          <c:orientation val="minMax"/>
        </c:scaling>
        <c:delete val="0"/>
        <c:axPos val="b"/>
        <c:numFmt formatCode="General" sourceLinked="1"/>
        <c:majorTickMark val="out"/>
        <c:minorTickMark val="none"/>
        <c:tickLblPos val="nextTo"/>
        <c:crossAx val="43745280"/>
        <c:crosses val="autoZero"/>
        <c:auto val="1"/>
        <c:lblAlgn val="ctr"/>
        <c:lblOffset val="100"/>
        <c:noMultiLvlLbl val="0"/>
      </c:catAx>
      <c:valAx>
        <c:axId val="43745280"/>
        <c:scaling>
          <c:orientation val="minMax"/>
        </c:scaling>
        <c:delete val="0"/>
        <c:axPos val="l"/>
        <c:majorGridlines/>
        <c:title>
          <c:tx>
            <c:rich>
              <a:bodyPr rot="-5400000" vert="horz"/>
              <a:lstStyle/>
              <a:p>
                <a:pPr>
                  <a:defRPr sz="1100" b="1">
                    <a:latin typeface="+mn-lt"/>
                  </a:defRPr>
                </a:pPr>
                <a:r>
                  <a:rPr lang="en-US" sz="1100" b="1">
                    <a:latin typeface="+mn-lt"/>
                  </a:rPr>
                  <a:t>Emissions  Factor (lbs CO2/MWh)</a:t>
                </a:r>
              </a:p>
            </c:rich>
          </c:tx>
          <c:overlay val="0"/>
        </c:title>
        <c:numFmt formatCode="General" sourceLinked="1"/>
        <c:majorTickMark val="out"/>
        <c:minorTickMark val="none"/>
        <c:tickLblPos val="nextTo"/>
        <c:crossAx val="43739392"/>
        <c:crosses val="autoZero"/>
        <c:crossBetween val="between"/>
      </c:valAx>
      <c:spPr>
        <a:ln>
          <a:solidFill>
            <a:schemeClr val="tx1"/>
          </a:solidFill>
        </a:ln>
      </c:spPr>
    </c:plotArea>
    <c:plotVisOnly val="1"/>
    <c:dispBlanksAs val="zero"/>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Business As Usual</a:t>
            </a:r>
          </a:p>
        </c:rich>
      </c:tx>
      <c:layout>
        <c:manualLayout>
          <c:xMode val="edge"/>
          <c:yMode val="edge"/>
          <c:x val="0.62262152230971124"/>
          <c:y val="0.1302681120903843"/>
        </c:manualLayout>
      </c:layout>
      <c:overlay val="1"/>
      <c:spPr>
        <a:solidFill>
          <a:srgbClr val="F8F8F8"/>
        </a:solidFill>
      </c:spPr>
    </c:title>
    <c:autoTitleDeleted val="0"/>
    <c:plotArea>
      <c:layout>
        <c:manualLayout>
          <c:layoutTarget val="inner"/>
          <c:xMode val="edge"/>
          <c:yMode val="edge"/>
          <c:x val="0.17489760910472288"/>
          <c:y val="4.3028282791882137E-2"/>
          <c:w val="0.76180105613499738"/>
          <c:h val="0.8336797900262467"/>
        </c:manualLayout>
      </c:layout>
      <c:areaChart>
        <c:grouping val="stacked"/>
        <c:varyColors val="0"/>
        <c:ser>
          <c:idx val="0"/>
          <c:order val="0"/>
          <c:tx>
            <c:v>Scope1</c:v>
          </c:tx>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BAU_Calc_CO2e!$W$8:$W$68</c:f>
              <c:numCache>
                <c:formatCode>#,##0_);[Red]\(#,##0\);"-"_)</c:formatCode>
                <c:ptCount val="61"/>
                <c:pt idx="0">
                  <c:v>13650.814274999999</c:v>
                </c:pt>
                <c:pt idx="1">
                  <c:v>13667.031897000001</c:v>
                </c:pt>
                <c:pt idx="2">
                  <c:v>10509.071693000002</c:v>
                </c:pt>
                <c:pt idx="3">
                  <c:v>10604.811038000002</c:v>
                </c:pt>
                <c:pt idx="4">
                  <c:v>5187.1971149999999</c:v>
                </c:pt>
                <c:pt idx="5">
                  <c:v>5856.7506640000011</c:v>
                </c:pt>
                <c:pt idx="6">
                  <c:v>6497.2518680000003</c:v>
                </c:pt>
                <c:pt idx="7">
                  <c:v>7950.9681550000005</c:v>
                </c:pt>
                <c:pt idx="8">
                  <c:v>5626.1708770000005</c:v>
                </c:pt>
                <c:pt idx="9">
                  <c:v>5595.3561499999996</c:v>
                </c:pt>
                <c:pt idx="10">
                  <c:v>5091.6731449999997</c:v>
                </c:pt>
                <c:pt idx="11">
                  <c:v>4696.4923924200002</c:v>
                </c:pt>
                <c:pt idx="12">
                  <c:v>3979.2209856700006</c:v>
                </c:pt>
                <c:pt idx="13">
                  <c:v>4356.3308845700003</c:v>
                </c:pt>
                <c:pt idx="14">
                  <c:v>5099.3498157499998</c:v>
                </c:pt>
                <c:pt idx="15">
                  <c:v>5358.5280400600004</c:v>
                </c:pt>
                <c:pt idx="16">
                  <c:v>4894.6581544299997</c:v>
                </c:pt>
                <c:pt idx="17">
                  <c:v>8026.6507605999996</c:v>
                </c:pt>
                <c:pt idx="18">
                  <c:v>6710.2584524800004</c:v>
                </c:pt>
                <c:pt idx="19">
                  <c:v>8317.1337020700012</c:v>
                </c:pt>
                <c:pt idx="20">
                  <c:v>9347.2605479699996</c:v>
                </c:pt>
                <c:pt idx="21">
                  <c:v>8489.6641560000007</c:v>
                </c:pt>
                <c:pt idx="22">
                  <c:v>8422.9043907800024</c:v>
                </c:pt>
                <c:pt idx="23">
                  <c:v>8331.0385632400012</c:v>
                </c:pt>
                <c:pt idx="24">
                  <c:v>8376.9714770099999</c:v>
                </c:pt>
                <c:pt idx="25">
                  <c:v>8377.2086715498026</c:v>
                </c:pt>
                <c:pt idx="26">
                  <c:v>8377.4458660896034</c:v>
                </c:pt>
                <c:pt idx="27">
                  <c:v>8377.6830606294061</c:v>
                </c:pt>
                <c:pt idx="28">
                  <c:v>8377.9202551692069</c:v>
                </c:pt>
                <c:pt idx="29">
                  <c:v>8378.1574497090078</c:v>
                </c:pt>
                <c:pt idx="30">
                  <c:v>8463.7208149440175</c:v>
                </c:pt>
                <c:pt idx="31">
                  <c:v>8549.2841801790255</c:v>
                </c:pt>
                <c:pt idx="32">
                  <c:v>8634.8475454140371</c:v>
                </c:pt>
                <c:pt idx="33">
                  <c:v>8720.4109106490469</c:v>
                </c:pt>
                <c:pt idx="34">
                  <c:v>8805.9742758840566</c:v>
                </c:pt>
                <c:pt idx="35">
                  <c:v>8891.5376411190682</c:v>
                </c:pt>
                <c:pt idx="36">
                  <c:v>8977.1010063540762</c:v>
                </c:pt>
                <c:pt idx="37">
                  <c:v>9062.6643715890878</c:v>
                </c:pt>
                <c:pt idx="38">
                  <c:v>9148.2277368240993</c:v>
                </c:pt>
                <c:pt idx="39">
                  <c:v>9233.7911020591055</c:v>
                </c:pt>
                <c:pt idx="40">
                  <c:v>9319.3544672941171</c:v>
                </c:pt>
                <c:pt idx="41">
                  <c:v>9404.9178325291286</c:v>
                </c:pt>
                <c:pt idx="42">
                  <c:v>9490.4811977641366</c:v>
                </c:pt>
                <c:pt idx="43">
                  <c:v>9576.0445629991464</c:v>
                </c:pt>
                <c:pt idx="44">
                  <c:v>9661.607928234158</c:v>
                </c:pt>
                <c:pt idx="45">
                  <c:v>9747.1712934691677</c:v>
                </c:pt>
                <c:pt idx="46">
                  <c:v>9747.1712934691677</c:v>
                </c:pt>
                <c:pt idx="47">
                  <c:v>9747.1712934691677</c:v>
                </c:pt>
                <c:pt idx="48">
                  <c:v>9747.1712934691677</c:v>
                </c:pt>
                <c:pt idx="49">
                  <c:v>9747.1712934691677</c:v>
                </c:pt>
                <c:pt idx="50">
                  <c:v>9747.1712934691677</c:v>
                </c:pt>
                <c:pt idx="51">
                  <c:v>9747.1712934691677</c:v>
                </c:pt>
                <c:pt idx="52">
                  <c:v>9747.1712934691677</c:v>
                </c:pt>
                <c:pt idx="53">
                  <c:v>9747.1712934691677</c:v>
                </c:pt>
                <c:pt idx="54">
                  <c:v>9747.1712934691677</c:v>
                </c:pt>
                <c:pt idx="55">
                  <c:v>9747.1712934691677</c:v>
                </c:pt>
                <c:pt idx="56">
                  <c:v>9747.1712934691677</c:v>
                </c:pt>
                <c:pt idx="57">
                  <c:v>9747.1712934691677</c:v>
                </c:pt>
                <c:pt idx="58">
                  <c:v>9747.1712934691677</c:v>
                </c:pt>
                <c:pt idx="59">
                  <c:v>9747.1712934691677</c:v>
                </c:pt>
                <c:pt idx="60">
                  <c:v>9747.1712934691677</c:v>
                </c:pt>
              </c:numCache>
            </c:numRef>
          </c:val>
          <c:extLst>
            <c:ext xmlns:c16="http://schemas.microsoft.com/office/drawing/2014/chart" uri="{C3380CC4-5D6E-409C-BE32-E72D297353CC}">
              <c16:uniqueId val="{00000000-80EB-4616-8949-E8A47F119EA7}"/>
            </c:ext>
          </c:extLst>
        </c:ser>
        <c:ser>
          <c:idx val="1"/>
          <c:order val="1"/>
          <c:tx>
            <c:v>Scope2</c:v>
          </c:tx>
          <c:spPr>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BAU_Calc_CO2e!$X$8:$X$68</c:f>
              <c:numCache>
                <c:formatCode>General</c:formatCode>
                <c:ptCount val="61"/>
                <c:pt idx="0">
                  <c:v>24129.326763796031</c:v>
                </c:pt>
                <c:pt idx="1">
                  <c:v>25632.732756211957</c:v>
                </c:pt>
                <c:pt idx="2">
                  <c:v>28029.838284602338</c:v>
                </c:pt>
                <c:pt idx="3">
                  <c:v>26768.193613411837</c:v>
                </c:pt>
                <c:pt idx="4">
                  <c:v>26271.92454844826</c:v>
                </c:pt>
                <c:pt idx="5">
                  <c:v>32571.263117453353</c:v>
                </c:pt>
                <c:pt idx="6">
                  <c:v>34666.907803612419</c:v>
                </c:pt>
                <c:pt idx="7">
                  <c:v>35000.830585769887</c:v>
                </c:pt>
                <c:pt idx="8">
                  <c:v>32192.062324119353</c:v>
                </c:pt>
                <c:pt idx="9">
                  <c:v>33183.880046901511</c:v>
                </c:pt>
                <c:pt idx="10">
                  <c:v>31640.896461068125</c:v>
                </c:pt>
                <c:pt idx="11">
                  <c:v>29984.019599749616</c:v>
                </c:pt>
                <c:pt idx="12">
                  <c:v>28424.437744373179</c:v>
                </c:pt>
                <c:pt idx="13">
                  <c:v>31152.481637198252</c:v>
                </c:pt>
                <c:pt idx="14">
                  <c:v>30841.755595068542</c:v>
                </c:pt>
                <c:pt idx="15">
                  <c:v>28604.588251036457</c:v>
                </c:pt>
                <c:pt idx="16">
                  <c:v>28020.122010595933</c:v>
                </c:pt>
                <c:pt idx="17">
                  <c:v>24418.470151318594</c:v>
                </c:pt>
                <c:pt idx="18">
                  <c:v>25280.307518756064</c:v>
                </c:pt>
                <c:pt idx="19">
                  <c:v>23972.111552104219</c:v>
                </c:pt>
                <c:pt idx="20">
                  <c:v>22363.741350436812</c:v>
                </c:pt>
                <c:pt idx="21">
                  <c:v>26932.922290462753</c:v>
                </c:pt>
                <c:pt idx="22">
                  <c:v>25859.136565938799</c:v>
                </c:pt>
                <c:pt idx="23">
                  <c:v>26614.059819832899</c:v>
                </c:pt>
                <c:pt idx="24">
                  <c:v>30244.352572552194</c:v>
                </c:pt>
                <c:pt idx="25">
                  <c:v>30006.642250485638</c:v>
                </c:pt>
                <c:pt idx="26">
                  <c:v>26276.182422723239</c:v>
                </c:pt>
                <c:pt idx="27">
                  <c:v>23805.02076301038</c:v>
                </c:pt>
                <c:pt idx="28">
                  <c:v>23223.166312396315</c:v>
                </c:pt>
                <c:pt idx="29">
                  <c:v>22916.048981227443</c:v>
                </c:pt>
                <c:pt idx="30">
                  <c:v>23157.019243864077</c:v>
                </c:pt>
                <c:pt idx="31">
                  <c:v>23260.511866892812</c:v>
                </c:pt>
                <c:pt idx="32">
                  <c:v>23356.415242551786</c:v>
                </c:pt>
                <c:pt idx="33">
                  <c:v>22567.625820041008</c:v>
                </c:pt>
                <c:pt idx="34">
                  <c:v>21267.72518459646</c:v>
                </c:pt>
                <c:pt idx="35">
                  <c:v>17491.305206116267</c:v>
                </c:pt>
                <c:pt idx="36">
                  <c:v>14762.228734940638</c:v>
                </c:pt>
                <c:pt idx="37">
                  <c:v>14323.816173049145</c:v>
                </c:pt>
                <c:pt idx="38">
                  <c:v>14013.965497414463</c:v>
                </c:pt>
                <c:pt idx="39">
                  <c:v>13940.866776414954</c:v>
                </c:pt>
                <c:pt idx="40">
                  <c:v>13877.648256479057</c:v>
                </c:pt>
                <c:pt idx="41">
                  <c:v>13850.008001909593</c:v>
                </c:pt>
                <c:pt idx="42">
                  <c:v>14038.09938797215</c:v>
                </c:pt>
                <c:pt idx="43">
                  <c:v>14183.289067155616</c:v>
                </c:pt>
                <c:pt idx="44">
                  <c:v>14350.094323055942</c:v>
                </c:pt>
                <c:pt idx="45">
                  <c:v>14504.572725349175</c:v>
                </c:pt>
                <c:pt idx="46">
                  <c:v>14531.966446620283</c:v>
                </c:pt>
                <c:pt idx="47">
                  <c:v>14559.360167891393</c:v>
                </c:pt>
                <c:pt idx="48">
                  <c:v>14586.753889162501</c:v>
                </c:pt>
                <c:pt idx="49">
                  <c:v>14614.147610433609</c:v>
                </c:pt>
                <c:pt idx="50">
                  <c:v>14641.541331704717</c:v>
                </c:pt>
                <c:pt idx="51">
                  <c:v>14668.935052975827</c:v>
                </c:pt>
                <c:pt idx="52">
                  <c:v>14696.328774246935</c:v>
                </c:pt>
                <c:pt idx="53">
                  <c:v>14723.722495518041</c:v>
                </c:pt>
                <c:pt idx="54">
                  <c:v>14751.116216789151</c:v>
                </c:pt>
                <c:pt idx="55">
                  <c:v>14778.509938060259</c:v>
                </c:pt>
                <c:pt idx="56">
                  <c:v>14805.903659331369</c:v>
                </c:pt>
                <c:pt idx="57">
                  <c:v>14833.297380602475</c:v>
                </c:pt>
                <c:pt idx="58">
                  <c:v>14860.691101873585</c:v>
                </c:pt>
                <c:pt idx="59">
                  <c:v>14888.084823144693</c:v>
                </c:pt>
                <c:pt idx="60">
                  <c:v>14915.478544415802</c:v>
                </c:pt>
              </c:numCache>
            </c:numRef>
          </c:val>
          <c:extLst>
            <c:ext xmlns:c16="http://schemas.microsoft.com/office/drawing/2014/chart" uri="{C3380CC4-5D6E-409C-BE32-E72D297353CC}">
              <c16:uniqueId val="{00000001-80EB-4616-8949-E8A47F119EA7}"/>
            </c:ext>
          </c:extLst>
        </c:ser>
        <c:ser>
          <c:idx val="2"/>
          <c:order val="2"/>
          <c:tx>
            <c:v>Scope3</c:v>
          </c:tx>
          <c:spPr>
            <a:ln w="25400">
              <a:noFill/>
            </a:ln>
          </c:spPr>
          <c:cat>
            <c:numRef>
              <c:f>BAU_Calc_CO2e!$A$8:$A$68</c:f>
              <c:numCache>
                <c:formatCode>General</c:formatCode>
                <c:ptCount val="6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pt idx="31">
                  <c:v>2021</c:v>
                </c:pt>
                <c:pt idx="32">
                  <c:v>2022</c:v>
                </c:pt>
                <c:pt idx="33">
                  <c:v>2023</c:v>
                </c:pt>
                <c:pt idx="34">
                  <c:v>2024</c:v>
                </c:pt>
                <c:pt idx="35">
                  <c:v>2025</c:v>
                </c:pt>
                <c:pt idx="36">
                  <c:v>2026</c:v>
                </c:pt>
                <c:pt idx="37">
                  <c:v>2027</c:v>
                </c:pt>
                <c:pt idx="38">
                  <c:v>2028</c:v>
                </c:pt>
                <c:pt idx="39">
                  <c:v>2029</c:v>
                </c:pt>
                <c:pt idx="40">
                  <c:v>2030</c:v>
                </c:pt>
                <c:pt idx="41">
                  <c:v>2031</c:v>
                </c:pt>
                <c:pt idx="42">
                  <c:v>2032</c:v>
                </c:pt>
                <c:pt idx="43">
                  <c:v>2033</c:v>
                </c:pt>
                <c:pt idx="44">
                  <c:v>2034</c:v>
                </c:pt>
                <c:pt idx="45">
                  <c:v>2035</c:v>
                </c:pt>
                <c:pt idx="46">
                  <c:v>2036</c:v>
                </c:pt>
                <c:pt idx="47">
                  <c:v>2037</c:v>
                </c:pt>
                <c:pt idx="48">
                  <c:v>2038</c:v>
                </c:pt>
                <c:pt idx="49">
                  <c:v>2039</c:v>
                </c:pt>
                <c:pt idx="50">
                  <c:v>2040</c:v>
                </c:pt>
                <c:pt idx="51">
                  <c:v>2041</c:v>
                </c:pt>
                <c:pt idx="52">
                  <c:v>2042</c:v>
                </c:pt>
                <c:pt idx="53">
                  <c:v>2043</c:v>
                </c:pt>
                <c:pt idx="54">
                  <c:v>2044</c:v>
                </c:pt>
                <c:pt idx="55">
                  <c:v>2045</c:v>
                </c:pt>
                <c:pt idx="56">
                  <c:v>2046</c:v>
                </c:pt>
                <c:pt idx="57">
                  <c:v>2047</c:v>
                </c:pt>
                <c:pt idx="58">
                  <c:v>2048</c:v>
                </c:pt>
                <c:pt idx="59">
                  <c:v>2049</c:v>
                </c:pt>
                <c:pt idx="60">
                  <c:v>2050</c:v>
                </c:pt>
              </c:numCache>
            </c:numRef>
          </c:cat>
          <c:val>
            <c:numRef>
              <c:f>BAU_Calc_CO2e!$Y$8:$Y$68</c:f>
              <c:numCache>
                <c:formatCode>#,##0</c:formatCode>
                <c:ptCount val="61"/>
                <c:pt idx="0">
                  <c:v>44921.585039036974</c:v>
                </c:pt>
                <c:pt idx="1">
                  <c:v>43036.095534536224</c:v>
                </c:pt>
                <c:pt idx="2">
                  <c:v>41897.020497351768</c:v>
                </c:pt>
                <c:pt idx="3">
                  <c:v>40499.716400685735</c:v>
                </c:pt>
                <c:pt idx="4">
                  <c:v>37949.095833051331</c:v>
                </c:pt>
                <c:pt idx="5">
                  <c:v>38836.876057308575</c:v>
                </c:pt>
                <c:pt idx="6">
                  <c:v>41635.248656390431</c:v>
                </c:pt>
                <c:pt idx="7">
                  <c:v>42209.54470868221</c:v>
                </c:pt>
                <c:pt idx="8">
                  <c:v>42544.29328132025</c:v>
                </c:pt>
                <c:pt idx="9">
                  <c:v>45130.183022138321</c:v>
                </c:pt>
                <c:pt idx="10">
                  <c:v>45110.650802973192</c:v>
                </c:pt>
                <c:pt idx="11">
                  <c:v>46822.705866565317</c:v>
                </c:pt>
                <c:pt idx="12">
                  <c:v>49664.249930725498</c:v>
                </c:pt>
                <c:pt idx="13">
                  <c:v>49821.674071536545</c:v>
                </c:pt>
                <c:pt idx="14">
                  <c:v>44669.243330896221</c:v>
                </c:pt>
                <c:pt idx="15">
                  <c:v>47055.543493896796</c:v>
                </c:pt>
                <c:pt idx="16">
                  <c:v>48337.47549997329</c:v>
                </c:pt>
                <c:pt idx="17">
                  <c:v>49301.781593348096</c:v>
                </c:pt>
                <c:pt idx="18">
                  <c:v>49599.650331615478</c:v>
                </c:pt>
                <c:pt idx="19">
                  <c:v>48092.523031369506</c:v>
                </c:pt>
                <c:pt idx="20">
                  <c:v>47614.879978051235</c:v>
                </c:pt>
                <c:pt idx="21">
                  <c:v>51356.649204581241</c:v>
                </c:pt>
                <c:pt idx="22">
                  <c:v>49046.209220986391</c:v>
                </c:pt>
                <c:pt idx="23">
                  <c:v>51856.185056229238</c:v>
                </c:pt>
                <c:pt idx="24">
                  <c:v>54517.814336450982</c:v>
                </c:pt>
                <c:pt idx="25">
                  <c:v>53767.357887760481</c:v>
                </c:pt>
                <c:pt idx="26">
                  <c:v>50570.881096972298</c:v>
                </c:pt>
                <c:pt idx="27">
                  <c:v>47582.083096490147</c:v>
                </c:pt>
                <c:pt idx="28">
                  <c:v>44787.290344359215</c:v>
                </c:pt>
                <c:pt idx="29">
                  <c:v>43585.541491830874</c:v>
                </c:pt>
                <c:pt idx="30">
                  <c:v>42452.733431289438</c:v>
                </c:pt>
                <c:pt idx="31">
                  <c:v>41360.597226315222</c:v>
                </c:pt>
                <c:pt idx="32">
                  <c:v>40307.827854553601</c:v>
                </c:pt>
                <c:pt idx="33">
                  <c:v>39293.164158291009</c:v>
                </c:pt>
                <c:pt idx="34">
                  <c:v>38315.387395424179</c:v>
                </c:pt>
                <c:pt idx="35">
                  <c:v>37373.319838779302</c:v>
                </c:pt>
                <c:pt idx="36">
                  <c:v>35973.106180073388</c:v>
                </c:pt>
                <c:pt idx="37">
                  <c:v>34635.632268060879</c:v>
                </c:pt>
                <c:pt idx="38">
                  <c:v>33362.246613516414</c:v>
                </c:pt>
                <c:pt idx="39">
                  <c:v>32149.927368706169</c:v>
                </c:pt>
                <c:pt idx="40">
                  <c:v>30995.795569792233</c:v>
                </c:pt>
                <c:pt idx="41">
                  <c:v>29897.108367114382</c:v>
                </c:pt>
                <c:pt idx="42">
                  <c:v>28851.252576680326</c:v>
                </c:pt>
                <c:pt idx="43">
                  <c:v>27855.738537607886</c:v>
                </c:pt>
                <c:pt idx="44">
                  <c:v>26908.19426098785</c:v>
                </c:pt>
                <c:pt idx="45">
                  <c:v>26497.94014920486</c:v>
                </c:pt>
                <c:pt idx="46">
                  <c:v>26497.94014920486</c:v>
                </c:pt>
                <c:pt idx="47">
                  <c:v>26497.94014920486</c:v>
                </c:pt>
                <c:pt idx="48">
                  <c:v>26497.94014920486</c:v>
                </c:pt>
                <c:pt idx="49">
                  <c:v>26497.94014920486</c:v>
                </c:pt>
                <c:pt idx="50">
                  <c:v>26497.94014920486</c:v>
                </c:pt>
                <c:pt idx="51">
                  <c:v>26497.94014920486</c:v>
                </c:pt>
                <c:pt idx="52">
                  <c:v>26497.94014920486</c:v>
                </c:pt>
                <c:pt idx="53">
                  <c:v>26497.94014920486</c:v>
                </c:pt>
                <c:pt idx="54">
                  <c:v>26497.94014920486</c:v>
                </c:pt>
                <c:pt idx="55">
                  <c:v>26497.94014920486</c:v>
                </c:pt>
                <c:pt idx="56">
                  <c:v>26497.94014920486</c:v>
                </c:pt>
                <c:pt idx="57">
                  <c:v>26497.94014920486</c:v>
                </c:pt>
                <c:pt idx="58">
                  <c:v>26497.94014920486</c:v>
                </c:pt>
                <c:pt idx="59">
                  <c:v>26497.94014920486</c:v>
                </c:pt>
                <c:pt idx="60">
                  <c:v>26497.94014920486</c:v>
                </c:pt>
              </c:numCache>
            </c:numRef>
          </c:val>
          <c:extLst>
            <c:ext xmlns:c16="http://schemas.microsoft.com/office/drawing/2014/chart" uri="{C3380CC4-5D6E-409C-BE32-E72D297353CC}">
              <c16:uniqueId val="{00000002-80EB-4616-8949-E8A47F119EA7}"/>
            </c:ext>
          </c:extLst>
        </c:ser>
        <c:dLbls>
          <c:showLegendKey val="0"/>
          <c:showVal val="0"/>
          <c:showCatName val="0"/>
          <c:showSerName val="0"/>
          <c:showPercent val="0"/>
          <c:showBubbleSize val="0"/>
        </c:dLbls>
        <c:axId val="40763776"/>
        <c:axId val="40765312"/>
      </c:areaChart>
      <c:catAx>
        <c:axId val="40763776"/>
        <c:scaling>
          <c:orientation val="minMax"/>
        </c:scaling>
        <c:delete val="0"/>
        <c:axPos val="b"/>
        <c:majorGridlines>
          <c:spPr>
            <a:ln>
              <a:noFill/>
            </a:ln>
          </c:spPr>
        </c:majorGridlines>
        <c:numFmt formatCode="General" sourceLinked="1"/>
        <c:majorTickMark val="out"/>
        <c:minorTickMark val="none"/>
        <c:tickLblPos val="nextTo"/>
        <c:crossAx val="40765312"/>
        <c:crosses val="autoZero"/>
        <c:auto val="1"/>
        <c:lblAlgn val="ctr"/>
        <c:lblOffset val="100"/>
        <c:noMultiLvlLbl val="0"/>
      </c:catAx>
      <c:valAx>
        <c:axId val="40765312"/>
        <c:scaling>
          <c:orientation val="minMax"/>
        </c:scaling>
        <c:delete val="0"/>
        <c:axPos val="l"/>
        <c:majorGridlines/>
        <c:title>
          <c:tx>
            <c:rich>
              <a:bodyPr rot="-5400000" vert="horz"/>
              <a:lstStyle/>
              <a:p>
                <a:pPr>
                  <a:defRPr sz="1100"/>
                </a:pPr>
                <a:r>
                  <a:rPr lang="en-US" sz="1100"/>
                  <a:t>eCO2 emissions (tonnes)</a:t>
                </a:r>
              </a:p>
            </c:rich>
          </c:tx>
          <c:layout>
            <c:manualLayout>
              <c:xMode val="edge"/>
              <c:yMode val="edge"/>
              <c:x val="3.082282958943084E-2"/>
              <c:y val="0.30118356486903669"/>
            </c:manualLayout>
          </c:layout>
          <c:overlay val="0"/>
        </c:title>
        <c:numFmt formatCode="#,##0_);[Red]\(#,##0\);&quot;-&quot;_)" sourceLinked="1"/>
        <c:majorTickMark val="out"/>
        <c:minorTickMark val="none"/>
        <c:tickLblPos val="nextTo"/>
        <c:crossAx val="40763776"/>
        <c:crosses val="autoZero"/>
        <c:crossBetween val="midCat"/>
      </c:valAx>
      <c:spPr>
        <a:ln>
          <a:solidFill>
            <a:sysClr val="windowText" lastClr="000000"/>
          </a:solidFill>
        </a:ln>
      </c:spPr>
    </c:plotArea>
    <c:legend>
      <c:legendPos val="r"/>
      <c:layout>
        <c:manualLayout>
          <c:xMode val="edge"/>
          <c:yMode val="edge"/>
          <c:x val="0.25491941356308834"/>
          <c:y val="0.31045196009537707"/>
          <c:w val="0.1530829801373064"/>
          <c:h val="0.16551865799383772"/>
        </c:manualLayout>
      </c:layout>
      <c:overlay val="0"/>
      <c:spPr>
        <a:solidFill>
          <a:srgbClr val="F8F8F8"/>
        </a:solidFill>
      </c:spPr>
    </c:legend>
    <c:plotVisOnly val="1"/>
    <c:dispBlanksAs val="zero"/>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FCF8A5-ACAF-47CC-B658-72A26E494C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TotalTime>
  <Pages>70</Pages>
  <Words>18663</Words>
  <Characters>106380</Characters>
  <Application>Microsoft Office Word</Application>
  <DocSecurity>0</DocSecurity>
  <Lines>886</Lines>
  <Paragraphs>249</Paragraphs>
  <ScaleCrop>false</ScaleCrop>
  <HeadingPairs>
    <vt:vector size="2" baseType="variant">
      <vt:variant>
        <vt:lpstr>Title</vt:lpstr>
      </vt:variant>
      <vt:variant>
        <vt:i4>1</vt:i4>
      </vt:variant>
    </vt:vector>
  </HeadingPairs>
  <TitlesOfParts>
    <vt:vector size="1" baseType="lpstr">
      <vt:lpstr/>
    </vt:vector>
  </TitlesOfParts>
  <Company>CSUN</Company>
  <LinksUpToDate>false</LinksUpToDate>
  <CharactersWithSpaces>124794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Johnson, Sarah E;Helen Cox</dc:creator>
  <cp:lastModifiedBy>Schneider, Nikhil J</cp:lastModifiedBy>
  <cp:revision>7</cp:revision>
  <cp:lastPrinted>2016-01-15T22:05:00Z</cp:lastPrinted>
  <dcterms:created xsi:type="dcterms:W3CDTF">2020-04-24T18:07:00Z</dcterms:created>
  <dcterms:modified xsi:type="dcterms:W3CDTF">2020-04-28T19:05:00Z</dcterms:modified>
</cp:coreProperties>
</file>