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CB2A" w14:textId="77777777" w:rsidR="00577F31" w:rsidRDefault="00577F31"/>
    <w:p w14:paraId="3082E4EC" w14:textId="77777777" w:rsidR="001540A9" w:rsidRDefault="001540A9" w:rsidP="001540A9">
      <w:pPr>
        <w:rPr>
          <w:rFonts w:ascii="Calibri" w:eastAsia="Times New Roman" w:hAnsi="Calibri" w:cs="Calibri"/>
          <w:b/>
          <w:bCs/>
          <w:color w:val="000000"/>
          <w:sz w:val="22"/>
          <w:szCs w:val="22"/>
        </w:rPr>
      </w:pPr>
    </w:p>
    <w:p w14:paraId="28950355" w14:textId="77777777" w:rsidR="001540A9" w:rsidRPr="007B4F4C" w:rsidRDefault="001540A9" w:rsidP="007B4F4C">
      <w:pPr>
        <w:pStyle w:val="Heading1"/>
        <w:rPr>
          <w:rFonts w:asciiTheme="minorHAnsi" w:eastAsia="Times New Roman" w:hAnsiTheme="minorHAnsi" w:cstheme="minorHAnsi"/>
          <w:color w:val="000000" w:themeColor="text1"/>
        </w:rPr>
      </w:pPr>
      <w:r w:rsidRPr="007B4F4C">
        <w:rPr>
          <w:rFonts w:asciiTheme="minorHAnsi" w:eastAsia="Times New Roman" w:hAnsiTheme="minorHAnsi" w:cstheme="minorHAnsi"/>
          <w:color w:val="000000" w:themeColor="text1"/>
        </w:rPr>
        <w:t>Best Practices for Remote Assessment and Exams</w:t>
      </w:r>
    </w:p>
    <w:p w14:paraId="77ADA64C" w14:textId="77777777" w:rsidR="001540A9" w:rsidRPr="001540A9" w:rsidRDefault="001540A9" w:rsidP="001540A9">
      <w:pPr>
        <w:rPr>
          <w:rFonts w:ascii="Calibri" w:eastAsia="Times New Roman" w:hAnsi="Calibri" w:cs="Calibri"/>
          <w:color w:val="000000"/>
        </w:rPr>
      </w:pPr>
    </w:p>
    <w:p w14:paraId="5BD1AA51"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 xml:space="preserve">The document </w:t>
      </w:r>
      <w:r w:rsidR="00186B0B">
        <w:rPr>
          <w:rFonts w:ascii="Calibri" w:eastAsia="Times New Roman" w:hAnsi="Calibri" w:cs="Calibri"/>
          <w:color w:val="000000"/>
        </w:rPr>
        <w:t xml:space="preserve">and resources </w:t>
      </w:r>
      <w:r w:rsidRPr="00A9121D">
        <w:rPr>
          <w:rFonts w:ascii="Calibri" w:eastAsia="Times New Roman" w:hAnsi="Calibri" w:cs="Calibri"/>
          <w:color w:val="000000"/>
        </w:rPr>
        <w:t xml:space="preserve">below outline the current guidance and best practices for remote assessments and exams.  We start by emphasizing that there is no single solution to safeguarding academic integrity, and that reliance on remote proctoring software such as Proctor U and </w:t>
      </w:r>
      <w:proofErr w:type="spellStart"/>
      <w:r w:rsidRPr="00A9121D">
        <w:rPr>
          <w:rFonts w:ascii="Calibri" w:eastAsia="Times New Roman" w:hAnsi="Calibri" w:cs="Calibri"/>
          <w:color w:val="000000"/>
        </w:rPr>
        <w:t>Respondus</w:t>
      </w:r>
      <w:proofErr w:type="spellEnd"/>
      <w:r w:rsidRPr="00A9121D">
        <w:rPr>
          <w:rFonts w:ascii="Calibri" w:eastAsia="Times New Roman" w:hAnsi="Calibri" w:cs="Calibri"/>
          <w:color w:val="000000"/>
        </w:rPr>
        <w:t xml:space="preserve"> is problematic from several perspectives, the most troubling that they present serious privacy breaches for students who are required to turn over their desktop to a remote proctor who does not work for, and has not been vetted by, the university.  This has resulted in students, both here at CSUN and across the country, sharing that this creates an atmosphere of distrust, reinforces deficit-based treatment of students, and </w:t>
      </w:r>
      <w:hyperlink r:id="rId7" w:tooltip="https://www.theverge.com/2020/4/29/21232777/examity-remote-test-proctoring-online-class-education" w:history="1">
        <w:r w:rsidRPr="00A9121D">
          <w:rPr>
            <w:rFonts w:ascii="Calibri" w:eastAsia="Times New Roman" w:hAnsi="Calibri" w:cs="Calibri"/>
            <w:color w:val="0563C1"/>
            <w:u w:val="single"/>
          </w:rPr>
          <w:t>is widely seen by students as generally “creepy.”</w:t>
        </w:r>
      </w:hyperlink>
      <w:r w:rsidRPr="00A9121D">
        <w:rPr>
          <w:rFonts w:ascii="Calibri" w:eastAsia="Times New Roman" w:hAnsi="Calibri" w:cs="Calibri"/>
          <w:color w:val="000000"/>
        </w:rPr>
        <w:t>  In short, online proctoring may inhibit a student’s ability to perform, and may not provide a meaningful resolution to the problem of academic dishonesty.</w:t>
      </w:r>
    </w:p>
    <w:p w14:paraId="157FD73F"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 </w:t>
      </w:r>
    </w:p>
    <w:p w14:paraId="64713BFD"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In addition, these tools present serious equity issues for our students.  </w:t>
      </w:r>
      <w:hyperlink r:id="rId8" w:tooltip="https://www.insidehighered.com/digital-learning/blogs/education-time-corona/covid-igital-divide" w:history="1">
        <w:r w:rsidRPr="00A9121D">
          <w:rPr>
            <w:rFonts w:ascii="Calibri" w:eastAsia="Times New Roman" w:hAnsi="Calibri" w:cs="Calibri"/>
            <w:color w:val="0563C1"/>
            <w:u w:val="single"/>
          </w:rPr>
          <w:t>The economic and digital divide COVID has exposed</w:t>
        </w:r>
      </w:hyperlink>
      <w:r w:rsidRPr="00A9121D">
        <w:rPr>
          <w:rFonts w:ascii="Calibri" w:eastAsia="Times New Roman" w:hAnsi="Calibri" w:cs="Calibri"/>
          <w:color w:val="000000"/>
        </w:rPr>
        <w:t> among CSUN students is very real. Many students rely on shared computers and mobile internet with limited data plans. These technological barriers are making learning nearly impossible for our most vulnerable students. Using proctoring software that require webcams, high speed internet and the most current hardware will disproportionately impact our low-income students and students of color.</w:t>
      </w:r>
    </w:p>
    <w:p w14:paraId="67174A46"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 </w:t>
      </w:r>
    </w:p>
    <w:p w14:paraId="038958D1"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Instead, the CSU and universities across the country promote the use of simple strategies that embrace strength-based solutions that may provide enhanced academic integrity while reinforcing the message to students that we believe in them (memo attached).   Campuses are strongly encouraged to consider, evaluate and discuss alternate methods of assessment, such as:</w:t>
      </w:r>
      <w:r w:rsidR="00186B0B">
        <w:rPr>
          <w:rFonts w:ascii="Calibri" w:eastAsia="Times New Roman" w:hAnsi="Calibri" w:cs="Calibri"/>
          <w:color w:val="000000"/>
        </w:rPr>
        <w:br/>
      </w:r>
    </w:p>
    <w:p w14:paraId="4721074B" w14:textId="77777777" w:rsidR="001540A9" w:rsidRPr="00A9121D" w:rsidRDefault="001540A9" w:rsidP="001540A9">
      <w:pPr>
        <w:numPr>
          <w:ilvl w:val="0"/>
          <w:numId w:val="1"/>
        </w:numPr>
        <w:rPr>
          <w:rFonts w:ascii="Calibri" w:eastAsia="Times New Roman" w:hAnsi="Calibri" w:cs="Calibri"/>
          <w:color w:val="000000"/>
        </w:rPr>
      </w:pPr>
      <w:r w:rsidRPr="00A9121D">
        <w:rPr>
          <w:rFonts w:ascii="Calibri" w:eastAsia="Times New Roman" w:hAnsi="Calibri" w:cs="Calibri"/>
          <w:color w:val="000000"/>
        </w:rPr>
        <w:t>Several timed quizzes rather than high stakes midterms and finals</w:t>
      </w:r>
    </w:p>
    <w:p w14:paraId="59219905" w14:textId="77777777" w:rsidR="001540A9" w:rsidRPr="00A9121D" w:rsidRDefault="001540A9" w:rsidP="001540A9">
      <w:pPr>
        <w:numPr>
          <w:ilvl w:val="0"/>
          <w:numId w:val="1"/>
        </w:numPr>
        <w:rPr>
          <w:rFonts w:ascii="Calibri" w:eastAsia="Times New Roman" w:hAnsi="Calibri" w:cs="Calibri"/>
          <w:color w:val="000000"/>
        </w:rPr>
      </w:pPr>
      <w:r w:rsidRPr="00A9121D">
        <w:rPr>
          <w:rFonts w:ascii="Calibri" w:eastAsia="Times New Roman" w:hAnsi="Calibri" w:cs="Calibri"/>
          <w:color w:val="000000"/>
        </w:rPr>
        <w:t>Open book exams</w:t>
      </w:r>
    </w:p>
    <w:p w14:paraId="78F8274F" w14:textId="77777777" w:rsidR="001540A9" w:rsidRPr="00A9121D" w:rsidRDefault="001540A9" w:rsidP="001540A9">
      <w:pPr>
        <w:numPr>
          <w:ilvl w:val="0"/>
          <w:numId w:val="1"/>
        </w:numPr>
        <w:rPr>
          <w:rFonts w:ascii="Calibri" w:eastAsia="Times New Roman" w:hAnsi="Calibri" w:cs="Calibri"/>
          <w:color w:val="000000"/>
        </w:rPr>
      </w:pPr>
      <w:r w:rsidRPr="00A9121D">
        <w:rPr>
          <w:rFonts w:ascii="Calibri" w:eastAsia="Times New Roman" w:hAnsi="Calibri" w:cs="Calibri"/>
          <w:color w:val="000000"/>
        </w:rPr>
        <w:t>Projects, papers and presentations</w:t>
      </w:r>
    </w:p>
    <w:p w14:paraId="63090160" w14:textId="77777777" w:rsidR="001540A9" w:rsidRPr="00A9121D" w:rsidRDefault="001540A9" w:rsidP="001540A9">
      <w:pPr>
        <w:numPr>
          <w:ilvl w:val="0"/>
          <w:numId w:val="1"/>
        </w:numPr>
        <w:rPr>
          <w:rFonts w:ascii="Calibri" w:eastAsia="Times New Roman" w:hAnsi="Calibri" w:cs="Calibri"/>
          <w:color w:val="000000"/>
        </w:rPr>
      </w:pPr>
      <w:r w:rsidRPr="00A9121D">
        <w:rPr>
          <w:rFonts w:ascii="Calibri" w:eastAsia="Times New Roman" w:hAnsi="Calibri" w:cs="Calibri"/>
          <w:color w:val="000000"/>
        </w:rPr>
        <w:t>Electronic portfolios that may be used to promote comparison and/or synthesis of student academic work</w:t>
      </w:r>
      <w:r w:rsidR="00186B0B">
        <w:rPr>
          <w:rFonts w:ascii="Calibri" w:eastAsia="Times New Roman" w:hAnsi="Calibri" w:cs="Calibri"/>
          <w:color w:val="000000"/>
        </w:rPr>
        <w:br/>
      </w:r>
    </w:p>
    <w:p w14:paraId="6B86AD7E"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The guidance concludes by stating that it is expected that all departments and disciplines will think carefully and creatively about whether and how alternative assessment strategies may be used during fall 2020 to assess student learning. The memo concludes by stating that online proctoring only be used when accreditation or licensure examination require it.</w:t>
      </w:r>
    </w:p>
    <w:p w14:paraId="28BAB103"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 </w:t>
      </w:r>
    </w:p>
    <w:p w14:paraId="1D258BD8" w14:textId="77777777" w:rsidR="001540A9" w:rsidRPr="007B4F4C" w:rsidRDefault="001540A9" w:rsidP="007B4F4C">
      <w:pPr>
        <w:pStyle w:val="Heading2"/>
        <w:rPr>
          <w:rFonts w:asciiTheme="minorHAnsi" w:eastAsia="Times New Roman" w:hAnsiTheme="minorHAnsi" w:cstheme="minorHAnsi"/>
          <w:color w:val="000000" w:themeColor="text1"/>
          <w:sz w:val="28"/>
          <w:szCs w:val="28"/>
        </w:rPr>
      </w:pPr>
      <w:r w:rsidRPr="007B4F4C">
        <w:rPr>
          <w:rFonts w:asciiTheme="minorHAnsi" w:eastAsia="Times New Roman" w:hAnsiTheme="minorHAnsi" w:cstheme="minorHAnsi"/>
          <w:color w:val="000000" w:themeColor="text1"/>
          <w:sz w:val="28"/>
          <w:szCs w:val="28"/>
        </w:rPr>
        <w:t>Guidance and Resources:</w:t>
      </w:r>
    </w:p>
    <w:p w14:paraId="4472A972"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 </w:t>
      </w:r>
    </w:p>
    <w:p w14:paraId="7DDB5B4B"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u w:val="single"/>
        </w:rPr>
        <w:t>What we can’t do:</w:t>
      </w:r>
    </w:p>
    <w:p w14:paraId="634A4720"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lastRenderedPageBreak/>
        <w:t>We cannot compel a student to use a webcam or be recorded in a class.  It is permissible to state in a syllabus that webcams are required</w:t>
      </w:r>
      <w:r w:rsidRPr="001540A9">
        <w:rPr>
          <w:rFonts w:ascii="Calibri" w:eastAsia="Times New Roman" w:hAnsi="Calibri" w:cs="Calibri"/>
          <w:color w:val="000000"/>
        </w:rPr>
        <w:t xml:space="preserve"> only</w:t>
      </w:r>
      <w:r w:rsidRPr="00A9121D">
        <w:rPr>
          <w:rFonts w:ascii="Calibri" w:eastAsia="Times New Roman" w:hAnsi="Calibri" w:cs="Calibri"/>
          <w:color w:val="000000"/>
        </w:rPr>
        <w:t xml:space="preserve"> if students are invited to seek an accommodation if they have any concerns.  In some cases the student may have a financial or technology concern, which can be accommodated by facilitating the acquisition of appropriate technology for the student (e.g., routing the student to the </w:t>
      </w:r>
      <w:hyperlink r:id="rId9" w:anchor=":~:text=Device%20Loaner%20Program,may%20continue%20their%20education%20uninterrupted." w:history="1">
        <w:r w:rsidRPr="00A9121D">
          <w:rPr>
            <w:rFonts w:ascii="Calibri" w:eastAsia="Times New Roman" w:hAnsi="Calibri" w:cs="Calibri"/>
            <w:color w:val="800080"/>
            <w:u w:val="single"/>
          </w:rPr>
          <w:t>campus device loaner program</w:t>
        </w:r>
      </w:hyperlink>
      <w:r w:rsidRPr="00A9121D">
        <w:rPr>
          <w:rFonts w:ascii="Calibri" w:eastAsia="Times New Roman" w:hAnsi="Calibri" w:cs="Calibri"/>
          <w:color w:val="000000"/>
        </w:rPr>
        <w:t>).  In other cases, students may have a privacy concern, or DRES accommodation that requires an alternate solution.  </w:t>
      </w:r>
    </w:p>
    <w:p w14:paraId="339792A2"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 </w:t>
      </w:r>
    </w:p>
    <w:p w14:paraId="58E11BEE"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u w:val="single"/>
        </w:rPr>
        <w:t>What we can do:</w:t>
      </w:r>
    </w:p>
    <w:p w14:paraId="4EF95373"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Assess students in a format other than a proctored high stakes exam. </w:t>
      </w:r>
      <w:hyperlink r:id="rId10" w:history="1">
        <w:r w:rsidRPr="00A9121D">
          <w:rPr>
            <w:rFonts w:ascii="Calibri" w:eastAsia="Times New Roman" w:hAnsi="Calibri" w:cs="Calibri"/>
            <w:color w:val="800080"/>
            <w:u w:val="single"/>
          </w:rPr>
          <w:t>UC Berkeley faculty have created a useful set of tools</w:t>
        </w:r>
      </w:hyperlink>
      <w:r w:rsidRPr="00A9121D">
        <w:rPr>
          <w:rFonts w:ascii="Calibri" w:eastAsia="Times New Roman" w:hAnsi="Calibri" w:cs="Calibri"/>
          <w:color w:val="000000"/>
        </w:rPr>
        <w:t> that support best practices for remote examinations.  In addition, the UCB Academic Senate created a working group on online examinations and proctoring and provide </w:t>
      </w:r>
      <w:hyperlink r:id="rId11" w:history="1">
        <w:r w:rsidRPr="00A9121D">
          <w:rPr>
            <w:rFonts w:ascii="Calibri" w:eastAsia="Times New Roman" w:hAnsi="Calibri" w:cs="Calibri"/>
            <w:color w:val="800080"/>
            <w:u w:val="single"/>
          </w:rPr>
          <w:t>these recommendations</w:t>
        </w:r>
      </w:hyperlink>
      <w:r w:rsidRPr="00A9121D">
        <w:rPr>
          <w:rFonts w:ascii="Calibri" w:eastAsia="Times New Roman" w:hAnsi="Calibri" w:cs="Calibri"/>
          <w:color w:val="000000"/>
        </w:rPr>
        <w:t>.</w:t>
      </w:r>
    </w:p>
    <w:p w14:paraId="4E034263"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 </w:t>
      </w:r>
    </w:p>
    <w:p w14:paraId="6E16A11C" w14:textId="77777777" w:rsidR="001540A9" w:rsidRPr="00A9121D" w:rsidRDefault="0041370D" w:rsidP="001540A9">
      <w:pPr>
        <w:rPr>
          <w:rFonts w:ascii="Calibri" w:eastAsia="Times New Roman" w:hAnsi="Calibri" w:cs="Calibri"/>
          <w:color w:val="000000"/>
        </w:rPr>
      </w:pPr>
      <w:hyperlink r:id="rId12" w:tooltip="https://www.engr.washington.edu/online-learning" w:history="1">
        <w:r w:rsidR="001540A9" w:rsidRPr="00A9121D">
          <w:rPr>
            <w:rFonts w:ascii="Calibri" w:eastAsia="Times New Roman" w:hAnsi="Calibri" w:cs="Calibri"/>
            <w:color w:val="800080"/>
            <w:u w:val="single"/>
          </w:rPr>
          <w:t>UW’s College of Engineering faculty have assembled a useful list of best practices</w:t>
        </w:r>
      </w:hyperlink>
      <w:r w:rsidR="001540A9" w:rsidRPr="00A9121D">
        <w:rPr>
          <w:rFonts w:ascii="Calibri" w:eastAsia="Times New Roman" w:hAnsi="Calibri" w:cs="Calibri"/>
          <w:color w:val="000000"/>
        </w:rPr>
        <w:t>:</w:t>
      </w:r>
    </w:p>
    <w:p w14:paraId="752FA482" w14:textId="77777777" w:rsidR="001540A9" w:rsidRPr="00A9121D" w:rsidRDefault="001540A9" w:rsidP="001540A9">
      <w:pPr>
        <w:numPr>
          <w:ilvl w:val="0"/>
          <w:numId w:val="2"/>
        </w:numPr>
        <w:shd w:val="clear" w:color="auto" w:fill="FFFFFF"/>
        <w:rPr>
          <w:rFonts w:ascii="Calibri" w:eastAsia="Times New Roman" w:hAnsi="Calibri" w:cs="Calibri"/>
          <w:color w:val="3D3D3D"/>
        </w:rPr>
      </w:pPr>
      <w:r w:rsidRPr="00A9121D">
        <w:rPr>
          <w:rFonts w:ascii="Calibri" w:eastAsia="Times New Roman" w:hAnsi="Calibri" w:cs="Calibri"/>
          <w:color w:val="3D3D3D"/>
        </w:rPr>
        <w:t>Design questions that are similar in format and difficulty to those students have seen in instruction, practiced in homework, and received feedback on. Avoid reusing questions exactly as they were given in past exams; even superficial modifications (e.g., changing numerical constants) are helpful.</w:t>
      </w:r>
    </w:p>
    <w:p w14:paraId="3FC6FA73" w14:textId="77777777" w:rsidR="001540A9" w:rsidRPr="00A9121D" w:rsidRDefault="001540A9" w:rsidP="001540A9">
      <w:pPr>
        <w:numPr>
          <w:ilvl w:val="0"/>
          <w:numId w:val="2"/>
        </w:numPr>
        <w:shd w:val="clear" w:color="auto" w:fill="FFFFFF"/>
        <w:rPr>
          <w:rFonts w:ascii="Calibri" w:eastAsia="Times New Roman" w:hAnsi="Calibri" w:cs="Calibri"/>
          <w:color w:val="3D3D3D"/>
        </w:rPr>
      </w:pPr>
      <w:r w:rsidRPr="00A9121D">
        <w:rPr>
          <w:rFonts w:ascii="Calibri" w:eastAsia="Times New Roman" w:hAnsi="Calibri" w:cs="Calibri"/>
          <w:color w:val="3D3D3D"/>
        </w:rPr>
        <w:t>Accept that the exam will effectively be open-resources (textbook, notes, web) and design questions accordingly.</w:t>
      </w:r>
    </w:p>
    <w:p w14:paraId="4F82E4EB" w14:textId="77777777" w:rsidR="001540A9" w:rsidRPr="00A9121D" w:rsidRDefault="001540A9" w:rsidP="001540A9">
      <w:pPr>
        <w:numPr>
          <w:ilvl w:val="0"/>
          <w:numId w:val="2"/>
        </w:numPr>
        <w:shd w:val="clear" w:color="auto" w:fill="FFFFFF"/>
        <w:rPr>
          <w:rFonts w:ascii="Calibri" w:eastAsia="Times New Roman" w:hAnsi="Calibri" w:cs="Calibri"/>
          <w:color w:val="3D3D3D"/>
        </w:rPr>
      </w:pPr>
      <w:r w:rsidRPr="00A9121D">
        <w:rPr>
          <w:rFonts w:ascii="Calibri" w:eastAsia="Times New Roman" w:hAnsi="Calibri" w:cs="Calibri"/>
          <w:color w:val="3D3D3D"/>
        </w:rPr>
        <w:t>Consider a larger number of shorter, more focused mini-exams/quizzes, vs. one or two high-stakes exams, to reduce student stress and provide both you and students with more frequent measures of their standing in the course. This also moderates the effects of unexpected exam design/administration problems (e.g., network outages).</w:t>
      </w:r>
    </w:p>
    <w:p w14:paraId="6B94EEB9" w14:textId="77777777" w:rsidR="001540A9" w:rsidRPr="00A9121D" w:rsidRDefault="001540A9" w:rsidP="001540A9">
      <w:pPr>
        <w:numPr>
          <w:ilvl w:val="0"/>
          <w:numId w:val="2"/>
        </w:numPr>
        <w:shd w:val="clear" w:color="auto" w:fill="FFFFFF"/>
        <w:rPr>
          <w:rFonts w:ascii="Calibri" w:eastAsia="Times New Roman" w:hAnsi="Calibri" w:cs="Calibri"/>
          <w:color w:val="3D3D3D"/>
        </w:rPr>
      </w:pPr>
      <w:r w:rsidRPr="00A9121D">
        <w:rPr>
          <w:rFonts w:ascii="Calibri" w:eastAsia="Times New Roman" w:hAnsi="Calibri" w:cs="Calibri"/>
          <w:color w:val="3D3D3D"/>
        </w:rPr>
        <w:t>Avoid grading schemes like curving that can pit students against each other and allow a small number of bad actors to negatively impact the grades of ethical students.</w:t>
      </w:r>
    </w:p>
    <w:p w14:paraId="4B9729DD" w14:textId="77777777" w:rsidR="001540A9" w:rsidRPr="00A9121D" w:rsidRDefault="001540A9" w:rsidP="001540A9">
      <w:pPr>
        <w:numPr>
          <w:ilvl w:val="0"/>
          <w:numId w:val="2"/>
        </w:numPr>
        <w:shd w:val="clear" w:color="auto" w:fill="FFFFFF"/>
        <w:rPr>
          <w:rFonts w:ascii="Calibri" w:eastAsia="Times New Roman" w:hAnsi="Calibri" w:cs="Calibri"/>
          <w:color w:val="3D3D3D"/>
        </w:rPr>
      </w:pPr>
      <w:r w:rsidRPr="00A9121D">
        <w:rPr>
          <w:rFonts w:ascii="Calibri" w:eastAsia="Times New Roman" w:hAnsi="Calibri" w:cs="Calibri"/>
          <w:color w:val="3D3D3D"/>
        </w:rPr>
        <w:t>As prep time permits, use a tool like Canvas Quizzes that supports randomized question variation (e.g., response choice order for multiple choice, numeric constants, question groups).</w:t>
      </w:r>
    </w:p>
    <w:p w14:paraId="012DEA77" w14:textId="77777777" w:rsidR="001540A9" w:rsidRPr="001540A9" w:rsidRDefault="001540A9" w:rsidP="001540A9">
      <w:pPr>
        <w:numPr>
          <w:ilvl w:val="0"/>
          <w:numId w:val="2"/>
        </w:numPr>
        <w:shd w:val="clear" w:color="auto" w:fill="FFFFFF"/>
        <w:rPr>
          <w:rFonts w:ascii="Calibri" w:eastAsia="Times New Roman" w:hAnsi="Calibri" w:cs="Calibri"/>
          <w:color w:val="3D3D3D"/>
        </w:rPr>
      </w:pPr>
      <w:r w:rsidRPr="00A9121D">
        <w:rPr>
          <w:rFonts w:ascii="Calibri" w:eastAsia="Times New Roman" w:hAnsi="Calibri" w:cs="Calibri"/>
          <w:color w:val="3D3D3D"/>
        </w:rPr>
        <w:t>Consider having students pledge adherence to an honor code. Note that </w:t>
      </w:r>
      <w:hyperlink r:id="rId13" w:history="1">
        <w:r w:rsidRPr="00A9121D">
          <w:rPr>
            <w:rFonts w:ascii="Calibri" w:eastAsia="Times New Roman" w:hAnsi="Calibri" w:cs="Calibri"/>
            <w:color w:val="7600A8"/>
            <w:u w:val="single"/>
          </w:rPr>
          <w:t>research recommends</w:t>
        </w:r>
      </w:hyperlink>
      <w:r w:rsidRPr="00A9121D">
        <w:rPr>
          <w:rFonts w:ascii="Calibri" w:eastAsia="Times New Roman" w:hAnsi="Calibri" w:cs="Calibri"/>
          <w:color w:val="3D3D3D"/>
        </w:rPr>
        <w:t> an honor code that is formal and detailed and references consequences of code violation.</w:t>
      </w:r>
      <w:r w:rsidRPr="00A9121D">
        <w:rPr>
          <w:rFonts w:ascii="Calibri" w:eastAsia="Times New Roman" w:hAnsi="Calibri" w:cs="Calibri"/>
          <w:color w:val="3D3D3D"/>
        </w:rPr>
        <w:br/>
      </w:r>
    </w:p>
    <w:p w14:paraId="59888F47" w14:textId="77777777" w:rsidR="001540A9" w:rsidRPr="001540A9" w:rsidRDefault="001540A9" w:rsidP="001540A9">
      <w:pPr>
        <w:shd w:val="clear" w:color="auto" w:fill="FFFFFF"/>
        <w:rPr>
          <w:rFonts w:ascii="Calibri" w:eastAsia="Times New Roman" w:hAnsi="Calibri" w:cs="Calibri"/>
          <w:color w:val="3D3D3D"/>
        </w:rPr>
      </w:pPr>
      <w:r w:rsidRPr="001540A9">
        <w:rPr>
          <w:rFonts w:ascii="Calibri" w:eastAsia="Times New Roman" w:hAnsi="Calibri" w:cs="Calibri"/>
          <w:color w:val="000000"/>
        </w:rPr>
        <w:t>The publication </w:t>
      </w:r>
      <w:r w:rsidRPr="001540A9">
        <w:rPr>
          <w:rFonts w:ascii="Calibri" w:eastAsia="Times New Roman" w:hAnsi="Calibri" w:cs="Calibri"/>
          <w:i/>
          <w:iCs/>
          <w:color w:val="000000"/>
        </w:rPr>
        <w:t>Faculty Focus</w:t>
      </w:r>
      <w:r w:rsidRPr="001540A9">
        <w:rPr>
          <w:rFonts w:ascii="Calibri" w:eastAsia="Times New Roman" w:hAnsi="Calibri" w:cs="Calibri"/>
          <w:color w:val="000000"/>
        </w:rPr>
        <w:t> provides </w:t>
      </w:r>
      <w:hyperlink r:id="rId14" w:history="1">
        <w:r w:rsidRPr="001540A9">
          <w:rPr>
            <w:rFonts w:ascii="Calibri" w:eastAsia="Times New Roman" w:hAnsi="Calibri" w:cs="Calibri"/>
            <w:color w:val="800080"/>
            <w:u w:val="single"/>
          </w:rPr>
          <w:t>14 Simple Strategies to Reduce Cheating on Online Exams</w:t>
        </w:r>
      </w:hyperlink>
      <w:r w:rsidRPr="001540A9">
        <w:rPr>
          <w:rFonts w:ascii="Calibri" w:eastAsia="Times New Roman" w:hAnsi="Calibri" w:cs="Calibri"/>
          <w:color w:val="000000"/>
        </w:rPr>
        <w:t>.  </w:t>
      </w:r>
    </w:p>
    <w:p w14:paraId="66ED6B89" w14:textId="77777777" w:rsidR="001540A9" w:rsidRPr="001540A9" w:rsidRDefault="001540A9" w:rsidP="001540A9">
      <w:pPr>
        <w:rPr>
          <w:rFonts w:ascii="Calibri" w:eastAsia="Times New Roman" w:hAnsi="Calibri" w:cs="Calibri"/>
          <w:color w:val="000000"/>
        </w:rPr>
      </w:pPr>
    </w:p>
    <w:p w14:paraId="3D435CC8" w14:textId="77777777" w:rsidR="001540A9" w:rsidRPr="00A9121D" w:rsidRDefault="001540A9" w:rsidP="001540A9">
      <w:pPr>
        <w:rPr>
          <w:rFonts w:ascii="Calibri" w:eastAsia="Times New Roman" w:hAnsi="Calibri" w:cs="Calibri"/>
          <w:color w:val="000000"/>
        </w:rPr>
      </w:pPr>
      <w:r w:rsidRPr="001540A9">
        <w:rPr>
          <w:rFonts w:ascii="Calibri" w:eastAsia="Times New Roman" w:hAnsi="Calibri" w:cs="Calibri"/>
          <w:color w:val="000000"/>
        </w:rPr>
        <w:t>Finally, t</w:t>
      </w:r>
      <w:r w:rsidRPr="00A9121D">
        <w:rPr>
          <w:rFonts w:ascii="Calibri" w:eastAsia="Times New Roman" w:hAnsi="Calibri" w:cs="Calibri"/>
          <w:color w:val="000000"/>
        </w:rPr>
        <w:t>he CSU is providing a wonderful series on </w:t>
      </w:r>
      <w:hyperlink r:id="rId15" w:history="1">
        <w:r w:rsidRPr="00A9121D">
          <w:rPr>
            <w:rFonts w:ascii="Calibri" w:eastAsia="Times New Roman" w:hAnsi="Calibri" w:cs="Calibri"/>
            <w:i/>
            <w:iCs/>
            <w:color w:val="800080"/>
            <w:u w:val="single"/>
          </w:rPr>
          <w:t>Alternate Approaches to Assessment in QR Courses</w:t>
        </w:r>
      </w:hyperlink>
      <w:r w:rsidRPr="00A9121D">
        <w:rPr>
          <w:rFonts w:ascii="Calibri" w:eastAsia="Times New Roman" w:hAnsi="Calibri" w:cs="Calibri"/>
          <w:color w:val="000000"/>
        </w:rPr>
        <w:t>, which includes posted recordings of short (30 minute) conversations of faculty experiences and success in assessing QR courses online.  </w:t>
      </w:r>
    </w:p>
    <w:p w14:paraId="5C4B41B7" w14:textId="77777777" w:rsidR="001540A9" w:rsidRPr="00A9121D" w:rsidRDefault="001540A9" w:rsidP="001540A9">
      <w:pPr>
        <w:rPr>
          <w:rFonts w:ascii="Calibri" w:eastAsia="Times New Roman" w:hAnsi="Calibri" w:cs="Calibri"/>
          <w:color w:val="000000"/>
        </w:rPr>
      </w:pPr>
      <w:r w:rsidRPr="00A9121D">
        <w:rPr>
          <w:rFonts w:ascii="Calibri" w:eastAsia="Times New Roman" w:hAnsi="Calibri" w:cs="Calibri"/>
          <w:color w:val="000000"/>
        </w:rPr>
        <w:t> </w:t>
      </w:r>
    </w:p>
    <w:p w14:paraId="4E24FA3F" w14:textId="77777777" w:rsidR="001540A9" w:rsidRPr="001540A9" w:rsidRDefault="001540A9" w:rsidP="001540A9">
      <w:r w:rsidRPr="00A9121D">
        <w:rPr>
          <w:rFonts w:ascii="Calibri" w:eastAsia="Times New Roman" w:hAnsi="Calibri" w:cs="Calibri"/>
          <w:color w:val="000000"/>
        </w:rPr>
        <w:t xml:space="preserve">We hope you find these resources useful.  </w:t>
      </w:r>
    </w:p>
    <w:p w14:paraId="7BA12AE2" w14:textId="77777777" w:rsidR="001540A9" w:rsidRPr="001540A9" w:rsidRDefault="001540A9"/>
    <w:sectPr w:rsidR="001540A9" w:rsidRPr="001540A9" w:rsidSect="001540A9">
      <w:footerReference w:type="default" r:id="rId16"/>
      <w:headerReference w:type="first" r:id="rId17"/>
      <w:pgSz w:w="12240" w:h="15840"/>
      <w:pgMar w:top="1440" w:right="1440" w:bottom="11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13A80" w14:textId="77777777" w:rsidR="0041370D" w:rsidRDefault="0041370D" w:rsidP="002C1640">
      <w:r>
        <w:separator/>
      </w:r>
    </w:p>
  </w:endnote>
  <w:endnote w:type="continuationSeparator" w:id="0">
    <w:p w14:paraId="22E63BA2" w14:textId="77777777" w:rsidR="0041370D" w:rsidRDefault="0041370D" w:rsidP="002C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DD2A" w14:textId="77777777" w:rsidR="002C1640" w:rsidRPr="001540A9" w:rsidRDefault="002C1640" w:rsidP="001540A9">
    <w:pPr>
      <w:pStyle w:val="Footer"/>
    </w:pPr>
    <w:r w:rsidRPr="001540A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179F9" w14:textId="77777777" w:rsidR="0041370D" w:rsidRDefault="0041370D" w:rsidP="002C1640">
      <w:r>
        <w:separator/>
      </w:r>
    </w:p>
  </w:footnote>
  <w:footnote w:type="continuationSeparator" w:id="0">
    <w:p w14:paraId="35F9E0F2" w14:textId="77777777" w:rsidR="0041370D" w:rsidRDefault="0041370D" w:rsidP="002C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A3C8" w14:textId="77777777" w:rsidR="001540A9" w:rsidRDefault="001540A9">
    <w:pPr>
      <w:pStyle w:val="Header"/>
    </w:pPr>
    <w:r>
      <w:rPr>
        <w:noProof/>
      </w:rPr>
      <w:drawing>
        <wp:anchor distT="0" distB="0" distL="114300" distR="114300" simplePos="0" relativeHeight="251659264" behindDoc="0" locked="0" layoutInCell="1" allowOverlap="1" wp14:anchorId="5BFB9998" wp14:editId="5E4040FF">
          <wp:simplePos x="0" y="0"/>
          <wp:positionH relativeFrom="column">
            <wp:posOffset>0</wp:posOffset>
          </wp:positionH>
          <wp:positionV relativeFrom="paragraph">
            <wp:posOffset>0</wp:posOffset>
          </wp:positionV>
          <wp:extent cx="2827090" cy="46182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86 outline.eps"/>
                  <pic:cNvPicPr/>
                </pic:nvPicPr>
                <pic:blipFill>
                  <a:blip r:embed="rId1">
                    <a:extLst>
                      <a:ext uri="{28A0092B-C50C-407E-A947-70E740481C1C}">
                        <a14:useLocalDpi xmlns:a14="http://schemas.microsoft.com/office/drawing/2010/main" val="0"/>
                      </a:ext>
                    </a:extLst>
                  </a:blip>
                  <a:stretch>
                    <a:fillRect/>
                  </a:stretch>
                </pic:blipFill>
                <pic:spPr>
                  <a:xfrm>
                    <a:off x="0" y="0"/>
                    <a:ext cx="2939569" cy="480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3249C"/>
    <w:multiLevelType w:val="multilevel"/>
    <w:tmpl w:val="65E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EA089F"/>
    <w:multiLevelType w:val="multilevel"/>
    <w:tmpl w:val="C0E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40"/>
    <w:rsid w:val="000B6E4F"/>
    <w:rsid w:val="001540A9"/>
    <w:rsid w:val="00186B0B"/>
    <w:rsid w:val="001D4A0A"/>
    <w:rsid w:val="002C1640"/>
    <w:rsid w:val="0041370D"/>
    <w:rsid w:val="00577F31"/>
    <w:rsid w:val="0065447C"/>
    <w:rsid w:val="0072006F"/>
    <w:rsid w:val="007B4F4C"/>
    <w:rsid w:val="009A244A"/>
    <w:rsid w:val="00A9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75B0"/>
  <w15:chartTrackingRefBased/>
  <w15:docId w15:val="{12E56170-0F38-A442-8E3C-0FB39CCF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A9"/>
  </w:style>
  <w:style w:type="paragraph" w:styleId="Heading1">
    <w:name w:val="heading 1"/>
    <w:basedOn w:val="Normal"/>
    <w:next w:val="Normal"/>
    <w:link w:val="Heading1Char"/>
    <w:uiPriority w:val="9"/>
    <w:qFormat/>
    <w:rsid w:val="007B4F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F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40"/>
    <w:pPr>
      <w:tabs>
        <w:tab w:val="center" w:pos="4680"/>
        <w:tab w:val="right" w:pos="9360"/>
      </w:tabs>
    </w:pPr>
  </w:style>
  <w:style w:type="character" w:customStyle="1" w:styleId="HeaderChar">
    <w:name w:val="Header Char"/>
    <w:basedOn w:val="DefaultParagraphFont"/>
    <w:link w:val="Header"/>
    <w:uiPriority w:val="99"/>
    <w:rsid w:val="002C1640"/>
  </w:style>
  <w:style w:type="paragraph" w:styleId="Footer">
    <w:name w:val="footer"/>
    <w:basedOn w:val="Normal"/>
    <w:link w:val="FooterChar"/>
    <w:uiPriority w:val="99"/>
    <w:unhideWhenUsed/>
    <w:rsid w:val="002C1640"/>
    <w:pPr>
      <w:tabs>
        <w:tab w:val="center" w:pos="4680"/>
        <w:tab w:val="right" w:pos="9360"/>
      </w:tabs>
    </w:pPr>
  </w:style>
  <w:style w:type="character" w:customStyle="1" w:styleId="FooterChar">
    <w:name w:val="Footer Char"/>
    <w:basedOn w:val="DefaultParagraphFont"/>
    <w:link w:val="Footer"/>
    <w:uiPriority w:val="99"/>
    <w:rsid w:val="002C1640"/>
  </w:style>
  <w:style w:type="character" w:customStyle="1" w:styleId="Heading1Char">
    <w:name w:val="Heading 1 Char"/>
    <w:basedOn w:val="DefaultParagraphFont"/>
    <w:link w:val="Heading1"/>
    <w:uiPriority w:val="9"/>
    <w:rsid w:val="007B4F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4F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digital-learning/blogs/education-time-corona/covid-igital-divide" TargetMode="External"/><Relationship Id="rId13" Type="http://schemas.openxmlformats.org/officeDocument/2006/relationships/hyperlink" Target="https://alliance-primo.hosted.exlibrisgroup.com/primo-explore/fulldisplay?docid=TN_informaworld_s10_1080_10508422_2011_641836&amp;context=PC&amp;vid=UW&amp;lang=en_US&amp;search_scope=all&amp;adaptor=primo_central_multiple_fe&amp;tab=default_tab&amp;query=any,contains,Optimizing%20Honor%20Codes%20for%20Online%20Exam%20Administr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verge.com/2020/4/29/21232777/examity-remote-test-proctoring-online-class-education" TargetMode="External"/><Relationship Id="rId12" Type="http://schemas.openxmlformats.org/officeDocument/2006/relationships/hyperlink" Target="https://www.engr.washington.edu/online-learn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senate.berkeley.edu/sites/default/files/guidance_and_recommendations_from_the_working_group_on_exams_and_proctoring.pdf" TargetMode="External"/><Relationship Id="rId5" Type="http://schemas.openxmlformats.org/officeDocument/2006/relationships/footnotes" Target="footnotes.xml"/><Relationship Id="rId15" Type="http://schemas.openxmlformats.org/officeDocument/2006/relationships/hyperlink" Target="https://www2.calstate.edu/csu-system/why-the-csu-matters/graduation-initiative-2025/academic-preparation/professional-development/Pages/professional-development-archive.aspx" TargetMode="External"/><Relationship Id="rId10" Type="http://schemas.openxmlformats.org/officeDocument/2006/relationships/hyperlink" Target="https://academic-senate.berkeley.edu/issues/coronavirus/best-practices-remote-examin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un.edu/it/device-loaner-program" TargetMode="External"/><Relationship Id="rId14" Type="http://schemas.openxmlformats.org/officeDocument/2006/relationships/hyperlink" Target="https://www.facultyfocus.com/articles/educational-assessment/fourteen-simple-strategies-to-reduce-cheating-on-online-exa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Cahn, Matthew A</dc:creator>
  <cp:keywords/>
  <dc:description/>
  <cp:lastModifiedBy>Rethis, Kimon G</cp:lastModifiedBy>
  <cp:revision>3</cp:revision>
  <cp:lastPrinted>2020-01-08T20:40:00Z</cp:lastPrinted>
  <dcterms:created xsi:type="dcterms:W3CDTF">2020-09-16T20:20:00Z</dcterms:created>
  <dcterms:modified xsi:type="dcterms:W3CDTF">2020-09-16T20:24:00Z</dcterms:modified>
</cp:coreProperties>
</file>