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45AD" w14:textId="6494B823" w:rsidR="00A678C5" w:rsidRPr="00642B03" w:rsidRDefault="00A678C5">
      <w:pPr>
        <w:rPr>
          <w:b/>
          <w:color w:val="000000" w:themeColor="text1"/>
        </w:rPr>
      </w:pPr>
      <w:r>
        <w:rPr>
          <w:b/>
          <w:color w:val="000000" w:themeColor="text1"/>
        </w:rPr>
        <w:t xml:space="preserve">Date:  </w:t>
      </w:r>
      <w:r w:rsidR="00F0709F">
        <w:rPr>
          <w:b/>
          <w:color w:val="000000" w:themeColor="text1"/>
        </w:rPr>
        <w:tab/>
      </w:r>
      <w:r>
        <w:rPr>
          <w:b/>
          <w:color w:val="000000" w:themeColor="text1"/>
        </w:rPr>
        <w:t>September 30, 2019</w:t>
      </w:r>
    </w:p>
    <w:p w14:paraId="0B5E42EA" w14:textId="77777777" w:rsidR="00305E30" w:rsidRDefault="00305E30">
      <w:pPr>
        <w:rPr>
          <w:b/>
          <w:color w:val="000000" w:themeColor="text1"/>
        </w:rPr>
      </w:pPr>
    </w:p>
    <w:p w14:paraId="3D085926" w14:textId="4B9417B4" w:rsidR="00984F3F" w:rsidRPr="00F0709F" w:rsidRDefault="00C27B86">
      <w:pPr>
        <w:rPr>
          <w:b/>
          <w:color w:val="000000" w:themeColor="text1"/>
        </w:rPr>
      </w:pPr>
      <w:r w:rsidRPr="00F0709F">
        <w:rPr>
          <w:b/>
          <w:color w:val="000000" w:themeColor="text1"/>
        </w:rPr>
        <w:t>To:</w:t>
      </w:r>
      <w:r w:rsidRPr="00F0709F">
        <w:rPr>
          <w:b/>
          <w:color w:val="000000" w:themeColor="text1"/>
        </w:rPr>
        <w:tab/>
        <w:t>Professor James Solomon, Director of Academic Assessment</w:t>
      </w:r>
    </w:p>
    <w:p w14:paraId="505F2EDB" w14:textId="0A8D5842" w:rsidR="00C27B86" w:rsidRPr="00F0709F" w:rsidRDefault="00C27B86">
      <w:pPr>
        <w:rPr>
          <w:b/>
          <w:color w:val="000000" w:themeColor="text1"/>
        </w:rPr>
      </w:pPr>
      <w:r w:rsidRPr="00F0709F">
        <w:rPr>
          <w:b/>
          <w:color w:val="000000" w:themeColor="text1"/>
        </w:rPr>
        <w:tab/>
        <w:t xml:space="preserve">Professor Tim Black, </w:t>
      </w:r>
      <w:r w:rsidR="004662A7" w:rsidRPr="00F0709F">
        <w:rPr>
          <w:b/>
          <w:color w:val="000000" w:themeColor="text1"/>
        </w:rPr>
        <w:t>Chair of Department of Philosophy</w:t>
      </w:r>
    </w:p>
    <w:p w14:paraId="6B7F80D7" w14:textId="6CE1A235" w:rsidR="004662A7" w:rsidRPr="00F0709F" w:rsidRDefault="004662A7">
      <w:pPr>
        <w:rPr>
          <w:b/>
          <w:color w:val="000000" w:themeColor="text1"/>
        </w:rPr>
      </w:pPr>
      <w:r w:rsidRPr="00F0709F">
        <w:rPr>
          <w:b/>
          <w:color w:val="000000" w:themeColor="text1"/>
        </w:rPr>
        <w:tab/>
        <w:t xml:space="preserve">Professor Jackie </w:t>
      </w:r>
      <w:proofErr w:type="spellStart"/>
      <w:r w:rsidRPr="00F0709F">
        <w:rPr>
          <w:b/>
          <w:color w:val="000000" w:themeColor="text1"/>
        </w:rPr>
        <w:t>Stallcup</w:t>
      </w:r>
      <w:proofErr w:type="spellEnd"/>
      <w:r w:rsidRPr="00F0709F">
        <w:rPr>
          <w:b/>
          <w:color w:val="000000" w:themeColor="text1"/>
        </w:rPr>
        <w:t>, Interim Dean of the College of Humanities</w:t>
      </w:r>
    </w:p>
    <w:p w14:paraId="53D79205" w14:textId="77777777" w:rsidR="00305E30" w:rsidRDefault="00305E30">
      <w:pPr>
        <w:rPr>
          <w:b/>
          <w:color w:val="000000" w:themeColor="text1"/>
        </w:rPr>
      </w:pPr>
    </w:p>
    <w:p w14:paraId="3B3B36A7" w14:textId="3A39BB6A" w:rsidR="00C27B86" w:rsidRPr="00F0709F" w:rsidRDefault="009556C0">
      <w:pPr>
        <w:rPr>
          <w:b/>
          <w:color w:val="000000" w:themeColor="text1"/>
        </w:rPr>
      </w:pPr>
      <w:r w:rsidRPr="00F0709F">
        <w:rPr>
          <w:b/>
          <w:color w:val="000000" w:themeColor="text1"/>
        </w:rPr>
        <w:t>From:</w:t>
      </w:r>
      <w:r w:rsidRPr="00F0709F">
        <w:rPr>
          <w:b/>
          <w:color w:val="000000" w:themeColor="text1"/>
        </w:rPr>
        <w:tab/>
        <w:t xml:space="preserve">Associate Professor Julie Yoo, Department Liaison </w:t>
      </w:r>
    </w:p>
    <w:p w14:paraId="5F19FBB5" w14:textId="77777777" w:rsidR="00305E30" w:rsidRDefault="00305E30">
      <w:pPr>
        <w:rPr>
          <w:b/>
          <w:color w:val="000000" w:themeColor="text1"/>
        </w:rPr>
      </w:pPr>
    </w:p>
    <w:p w14:paraId="56FDDF98" w14:textId="1009B2B8" w:rsidR="009556C0" w:rsidRPr="00F0709F" w:rsidRDefault="009556C0">
      <w:pPr>
        <w:rPr>
          <w:b/>
          <w:color w:val="000000" w:themeColor="text1"/>
        </w:rPr>
      </w:pPr>
      <w:r w:rsidRPr="00F0709F">
        <w:rPr>
          <w:b/>
          <w:color w:val="000000" w:themeColor="text1"/>
        </w:rPr>
        <w:t xml:space="preserve">RE:  </w:t>
      </w:r>
      <w:r w:rsidR="00F0709F">
        <w:rPr>
          <w:b/>
          <w:color w:val="000000" w:themeColor="text1"/>
        </w:rPr>
        <w:tab/>
      </w:r>
      <w:r w:rsidRPr="00F0709F">
        <w:rPr>
          <w:b/>
          <w:color w:val="000000" w:themeColor="text1"/>
        </w:rPr>
        <w:t>Assessment Report</w:t>
      </w:r>
    </w:p>
    <w:p w14:paraId="164AD7C2" w14:textId="77777777" w:rsidR="00C27B86" w:rsidRDefault="00C27B86">
      <w:pPr>
        <w:pBdr>
          <w:bottom w:val="single" w:sz="6" w:space="1" w:color="auto"/>
        </w:pBdr>
        <w:rPr>
          <w:i/>
          <w:color w:val="000000" w:themeColor="text1"/>
        </w:rPr>
      </w:pPr>
    </w:p>
    <w:p w14:paraId="6F178C11" w14:textId="02DA37CF" w:rsidR="006A720E" w:rsidRDefault="006A720E">
      <w:pPr>
        <w:rPr>
          <w:i/>
          <w:color w:val="000000" w:themeColor="text1"/>
        </w:rPr>
      </w:pPr>
    </w:p>
    <w:p w14:paraId="089BA6A4" w14:textId="77777777" w:rsidR="00305E30" w:rsidRDefault="00305E30">
      <w:pPr>
        <w:rPr>
          <w:i/>
          <w:color w:val="000000" w:themeColor="text1"/>
        </w:rPr>
      </w:pPr>
    </w:p>
    <w:p w14:paraId="0450C9B8" w14:textId="0010BD36" w:rsidR="00984F3F" w:rsidRPr="007F2CBC" w:rsidRDefault="007F2CBC">
      <w:pPr>
        <w:rPr>
          <w:i/>
          <w:color w:val="000000" w:themeColor="text1"/>
        </w:rPr>
      </w:pPr>
      <w:r w:rsidRPr="007F2CBC">
        <w:rPr>
          <w:i/>
          <w:color w:val="000000" w:themeColor="text1"/>
        </w:rPr>
        <w:t>Introduction</w:t>
      </w:r>
    </w:p>
    <w:p w14:paraId="2A575330" w14:textId="77777777" w:rsidR="007F2CBC" w:rsidRDefault="007F2CBC" w:rsidP="00BB2EF4">
      <w:pPr>
        <w:rPr>
          <w:color w:val="000000" w:themeColor="text1"/>
        </w:rPr>
      </w:pPr>
    </w:p>
    <w:p w14:paraId="731F2CE1" w14:textId="24D58DA4" w:rsidR="001F1D09" w:rsidRDefault="002D2819" w:rsidP="00BB2EF4">
      <w:pPr>
        <w:rPr>
          <w:color w:val="000000"/>
        </w:rPr>
      </w:pPr>
      <w:r>
        <w:rPr>
          <w:color w:val="000000" w:themeColor="text1"/>
        </w:rPr>
        <w:t>In an email sent to myself on</w:t>
      </w:r>
      <w:r w:rsidR="00F9299C">
        <w:rPr>
          <w:color w:val="000000" w:themeColor="text1"/>
        </w:rPr>
        <w:t xml:space="preserve"> 12/4/18</w:t>
      </w:r>
      <w:r w:rsidR="00E42373">
        <w:rPr>
          <w:color w:val="000000" w:themeColor="text1"/>
        </w:rPr>
        <w:t xml:space="preserve"> (attached)</w:t>
      </w:r>
      <w:r>
        <w:rPr>
          <w:color w:val="000000" w:themeColor="text1"/>
        </w:rPr>
        <w:t xml:space="preserve">, </w:t>
      </w:r>
      <w:r w:rsidR="00BB2EF4">
        <w:rPr>
          <w:color w:val="000000" w:themeColor="text1"/>
        </w:rPr>
        <w:t>Professor</w:t>
      </w:r>
      <w:r w:rsidR="00F9299C">
        <w:rPr>
          <w:color w:val="000000" w:themeColor="text1"/>
        </w:rPr>
        <w:t xml:space="preserve"> Solomon</w:t>
      </w:r>
      <w:r>
        <w:rPr>
          <w:color w:val="000000" w:themeColor="text1"/>
        </w:rPr>
        <w:t xml:space="preserve"> urged the importance of giving</w:t>
      </w:r>
      <w:r w:rsidR="00F9299C">
        <w:rPr>
          <w:color w:val="000000" w:themeColor="text1"/>
        </w:rPr>
        <w:t xml:space="preserve"> </w:t>
      </w:r>
      <w:r w:rsidR="00BB2EF4">
        <w:rPr>
          <w:color w:val="000000" w:themeColor="text1"/>
        </w:rPr>
        <w:t>“</w:t>
      </w:r>
      <w:r>
        <w:rPr>
          <w:color w:val="000000"/>
        </w:rPr>
        <w:t>[a]n</w:t>
      </w:r>
      <w:r w:rsidR="00BB2EF4">
        <w:rPr>
          <w:color w:val="000000"/>
        </w:rPr>
        <w:t xml:space="preserve"> assessment of student learning in PHIL 200</w:t>
      </w:r>
      <w:r w:rsidR="00E038AA">
        <w:rPr>
          <w:color w:val="000000"/>
        </w:rPr>
        <w:t xml:space="preserve"> [“Critical Thinking”]</w:t>
      </w:r>
      <w:r w:rsidR="00BB2EF4">
        <w:rPr>
          <w:color w:val="000000"/>
        </w:rPr>
        <w:t>, using the relevant GE Basic Skills SLOs</w:t>
      </w:r>
      <w:proofErr w:type="gramStart"/>
      <w:r w:rsidR="00BB2EF4">
        <w:rPr>
          <w:color w:val="000000"/>
        </w:rPr>
        <w:t>…</w:t>
      </w:r>
      <w:r w:rsidR="00E42373">
        <w:rPr>
          <w:color w:val="000000"/>
        </w:rPr>
        <w:t xml:space="preserve"> .</w:t>
      </w:r>
      <w:proofErr w:type="gramEnd"/>
      <w:r w:rsidR="00E42373">
        <w:rPr>
          <w:color w:val="000000"/>
        </w:rPr>
        <w:t xml:space="preserve">”  </w:t>
      </w:r>
      <w:r w:rsidR="00BB2EF4">
        <w:rPr>
          <w:color w:val="000000"/>
        </w:rPr>
        <w:t>Professor Solomon continues, “[this assessment] is needed by the university to get a better picture of student learning in the critical thinking portion of the GE Basic Skills section.</w:t>
      </w:r>
      <w:r>
        <w:rPr>
          <w:color w:val="000000"/>
        </w:rPr>
        <w:t>”</w:t>
      </w:r>
      <w:r w:rsidR="00642B03">
        <w:rPr>
          <w:rStyle w:val="FootnoteReference"/>
          <w:color w:val="000000"/>
        </w:rPr>
        <w:footnoteReference w:id="1"/>
      </w:r>
      <w:r>
        <w:rPr>
          <w:color w:val="000000"/>
        </w:rPr>
        <w:t xml:space="preserve">  </w:t>
      </w:r>
      <w:r w:rsidR="008A7618">
        <w:rPr>
          <w:color w:val="000000"/>
        </w:rPr>
        <w:t xml:space="preserve">I present this report </w:t>
      </w:r>
      <w:r w:rsidR="006A7303">
        <w:rPr>
          <w:color w:val="000000"/>
        </w:rPr>
        <w:t>to</w:t>
      </w:r>
      <w:r w:rsidR="008A7618">
        <w:rPr>
          <w:color w:val="000000"/>
        </w:rPr>
        <w:t xml:space="preserve"> </w:t>
      </w:r>
      <w:r w:rsidR="00182A31">
        <w:rPr>
          <w:color w:val="000000"/>
        </w:rPr>
        <w:t>serve this need</w:t>
      </w:r>
      <w:r w:rsidR="008A7618">
        <w:rPr>
          <w:color w:val="000000"/>
        </w:rPr>
        <w:t>.</w:t>
      </w:r>
    </w:p>
    <w:p w14:paraId="0E09A8C8" w14:textId="77777777" w:rsidR="001F1D09" w:rsidRDefault="001F1D09" w:rsidP="00BB2EF4">
      <w:pPr>
        <w:rPr>
          <w:color w:val="000000"/>
        </w:rPr>
      </w:pPr>
    </w:p>
    <w:p w14:paraId="239CA9A5" w14:textId="3BF200DF" w:rsidR="00AE4863" w:rsidRDefault="00AE4863" w:rsidP="00BB2EF4">
      <w:pPr>
        <w:rPr>
          <w:color w:val="000000"/>
        </w:rPr>
      </w:pPr>
      <w:r>
        <w:rPr>
          <w:color w:val="000000"/>
        </w:rPr>
        <w:t>The skills of c</w:t>
      </w:r>
      <w:r w:rsidR="002D2819">
        <w:rPr>
          <w:color w:val="000000"/>
        </w:rPr>
        <w:t xml:space="preserve">ritical thinking </w:t>
      </w:r>
      <w:r>
        <w:rPr>
          <w:color w:val="000000"/>
        </w:rPr>
        <w:t>are</w:t>
      </w:r>
      <w:r w:rsidR="002D2819">
        <w:rPr>
          <w:color w:val="000000"/>
        </w:rPr>
        <w:t xml:space="preserve"> among the five Fundamental Learning Competencies </w:t>
      </w:r>
      <w:r w:rsidR="00E038AA">
        <w:rPr>
          <w:color w:val="000000"/>
        </w:rPr>
        <w:t>(FLC) constituting institution-wide learning competencies at CSUN.  PHIL 200 satisfies a Basic Skills GE requirement (A3)</w:t>
      </w:r>
      <w:r>
        <w:rPr>
          <w:color w:val="000000"/>
        </w:rPr>
        <w:t>.  I</w:t>
      </w:r>
      <w:r w:rsidR="00642B03">
        <w:rPr>
          <w:color w:val="000000"/>
        </w:rPr>
        <w:t>t</w:t>
      </w:r>
      <w:r w:rsidR="00E038AA">
        <w:rPr>
          <w:color w:val="000000"/>
        </w:rPr>
        <w:t xml:space="preserve"> is also a required course for the Philosophy Major or Minor</w:t>
      </w:r>
      <w:r w:rsidR="00642B03">
        <w:rPr>
          <w:color w:val="000000"/>
        </w:rPr>
        <w:t xml:space="preserve"> (unless a student replaces PHIL 200 with the more advanced </w:t>
      </w:r>
      <w:r w:rsidR="005D5DEC">
        <w:rPr>
          <w:color w:val="000000"/>
        </w:rPr>
        <w:t>logic</w:t>
      </w:r>
      <w:r w:rsidR="00642B03">
        <w:rPr>
          <w:color w:val="000000"/>
        </w:rPr>
        <w:t xml:space="preserve"> course, PHIL 230).</w:t>
      </w:r>
      <w:r w:rsidR="001F1D09">
        <w:rPr>
          <w:color w:val="000000"/>
        </w:rPr>
        <w:t xml:space="preserve">  </w:t>
      </w:r>
      <w:r>
        <w:rPr>
          <w:color w:val="000000"/>
        </w:rPr>
        <w:t xml:space="preserve">The assessment of PHIL 200 is not only important for its centrality in serving the academic mission of the university, </w:t>
      </w:r>
      <w:r w:rsidR="003C1179">
        <w:rPr>
          <w:color w:val="000000"/>
        </w:rPr>
        <w:t>its assessment is especially pressing given its</w:t>
      </w:r>
      <w:r>
        <w:rPr>
          <w:color w:val="000000"/>
        </w:rPr>
        <w:t xml:space="preserve"> high DFW rate</w:t>
      </w:r>
      <w:r w:rsidR="000A3CEB">
        <w:rPr>
          <w:color w:val="000000"/>
        </w:rPr>
        <w:t xml:space="preserve"> in the College of Humanities</w:t>
      </w:r>
      <w:r>
        <w:rPr>
          <w:color w:val="000000"/>
        </w:rPr>
        <w:t>:</w:t>
      </w:r>
    </w:p>
    <w:p w14:paraId="4C24E021" w14:textId="77777777" w:rsidR="00AE4863" w:rsidRDefault="00AE4863" w:rsidP="00BB2EF4">
      <w:pPr>
        <w:rPr>
          <w:color w:val="000000"/>
        </w:rPr>
      </w:pPr>
    </w:p>
    <w:tbl>
      <w:tblPr>
        <w:tblStyle w:val="TableGrid"/>
        <w:tblW w:w="0" w:type="auto"/>
        <w:tblInd w:w="1525" w:type="dxa"/>
        <w:tblLook w:val="04A0" w:firstRow="1" w:lastRow="0" w:firstColumn="1" w:lastColumn="0" w:noHBand="0" w:noVBand="1"/>
      </w:tblPr>
      <w:tblGrid>
        <w:gridCol w:w="2394"/>
        <w:gridCol w:w="1895"/>
        <w:gridCol w:w="2493"/>
      </w:tblGrid>
      <w:tr w:rsidR="00AE4863" w:rsidRPr="00980827" w14:paraId="62E71994" w14:textId="77777777" w:rsidTr="00E42373">
        <w:trPr>
          <w:trHeight w:val="260"/>
        </w:trPr>
        <w:tc>
          <w:tcPr>
            <w:tcW w:w="2394" w:type="dxa"/>
          </w:tcPr>
          <w:p w14:paraId="3DB72CE0" w14:textId="77777777" w:rsidR="00AE4863" w:rsidRPr="00980827" w:rsidRDefault="00AE4863" w:rsidP="00BB2EF4">
            <w:pPr>
              <w:rPr>
                <w:b/>
                <w:color w:val="000000"/>
              </w:rPr>
            </w:pPr>
            <w:r w:rsidRPr="00980827">
              <w:rPr>
                <w:b/>
                <w:color w:val="000000"/>
              </w:rPr>
              <w:t>AY or Semester</w:t>
            </w:r>
          </w:p>
        </w:tc>
        <w:tc>
          <w:tcPr>
            <w:tcW w:w="1895" w:type="dxa"/>
          </w:tcPr>
          <w:p w14:paraId="374173E1" w14:textId="77777777" w:rsidR="00AE4863" w:rsidRPr="00980827" w:rsidRDefault="00AE4863" w:rsidP="000A3CEB">
            <w:pPr>
              <w:jc w:val="center"/>
              <w:rPr>
                <w:b/>
                <w:color w:val="000000"/>
              </w:rPr>
            </w:pPr>
            <w:r w:rsidRPr="00980827">
              <w:rPr>
                <w:b/>
                <w:color w:val="000000"/>
              </w:rPr>
              <w:t>DFW Rate</w:t>
            </w:r>
          </w:p>
        </w:tc>
        <w:tc>
          <w:tcPr>
            <w:tcW w:w="2493" w:type="dxa"/>
          </w:tcPr>
          <w:p w14:paraId="650744CB" w14:textId="77777777" w:rsidR="00AE4863" w:rsidRPr="00980827" w:rsidRDefault="00AE4863" w:rsidP="00BB2EF4">
            <w:pPr>
              <w:rPr>
                <w:b/>
                <w:color w:val="000000"/>
              </w:rPr>
            </w:pPr>
            <w:r w:rsidRPr="00980827">
              <w:rPr>
                <w:b/>
                <w:color w:val="000000"/>
              </w:rPr>
              <w:t>Number of Students</w:t>
            </w:r>
          </w:p>
        </w:tc>
      </w:tr>
      <w:tr w:rsidR="00AE4863" w14:paraId="1FA0B868" w14:textId="77777777" w:rsidTr="00980827">
        <w:trPr>
          <w:trHeight w:val="1309"/>
        </w:trPr>
        <w:tc>
          <w:tcPr>
            <w:tcW w:w="2394" w:type="dxa"/>
          </w:tcPr>
          <w:p w14:paraId="5C8A0DBB" w14:textId="6E372ABA" w:rsidR="00980827" w:rsidRDefault="00AE4863" w:rsidP="00ED228B">
            <w:pPr>
              <w:jc w:val="right"/>
              <w:rPr>
                <w:color w:val="000000"/>
              </w:rPr>
            </w:pPr>
            <w:r>
              <w:rPr>
                <w:color w:val="000000"/>
              </w:rPr>
              <w:t>Fall 2018</w:t>
            </w:r>
          </w:p>
          <w:p w14:paraId="54EEE980" w14:textId="092577B3" w:rsidR="00980827" w:rsidRDefault="00AE4863" w:rsidP="00ED228B">
            <w:pPr>
              <w:jc w:val="right"/>
              <w:rPr>
                <w:color w:val="000000"/>
              </w:rPr>
            </w:pPr>
            <w:r>
              <w:rPr>
                <w:color w:val="000000"/>
              </w:rPr>
              <w:t>2017 – 2018 AY</w:t>
            </w:r>
          </w:p>
          <w:p w14:paraId="2194BC9D" w14:textId="7D6DD0EF" w:rsidR="00980827" w:rsidRDefault="00AE4863" w:rsidP="00ED228B">
            <w:pPr>
              <w:jc w:val="right"/>
              <w:rPr>
                <w:color w:val="000000"/>
              </w:rPr>
            </w:pPr>
            <w:r>
              <w:rPr>
                <w:color w:val="000000"/>
              </w:rPr>
              <w:t>2016 – 2017 AY</w:t>
            </w:r>
          </w:p>
          <w:p w14:paraId="4A61CB47" w14:textId="78F568E4" w:rsidR="00980827" w:rsidRDefault="00AE4863" w:rsidP="00ED228B">
            <w:pPr>
              <w:jc w:val="right"/>
              <w:rPr>
                <w:color w:val="000000"/>
              </w:rPr>
            </w:pPr>
            <w:r>
              <w:rPr>
                <w:color w:val="000000"/>
              </w:rPr>
              <w:t>2015 – 2016 AY</w:t>
            </w:r>
          </w:p>
          <w:p w14:paraId="0900C613" w14:textId="77777777" w:rsidR="00AE4863" w:rsidRDefault="00AE4863" w:rsidP="000A3CEB">
            <w:pPr>
              <w:jc w:val="right"/>
              <w:rPr>
                <w:color w:val="000000"/>
              </w:rPr>
            </w:pPr>
            <w:r>
              <w:rPr>
                <w:color w:val="000000"/>
              </w:rPr>
              <w:t>201</w:t>
            </w:r>
            <w:r w:rsidR="000A3CEB">
              <w:rPr>
                <w:color w:val="000000"/>
              </w:rPr>
              <w:t>4</w:t>
            </w:r>
            <w:r>
              <w:rPr>
                <w:color w:val="000000"/>
              </w:rPr>
              <w:t xml:space="preserve"> – 201</w:t>
            </w:r>
            <w:r w:rsidR="000A3CEB">
              <w:rPr>
                <w:color w:val="000000"/>
              </w:rPr>
              <w:t>5</w:t>
            </w:r>
            <w:r>
              <w:rPr>
                <w:color w:val="000000"/>
              </w:rPr>
              <w:t xml:space="preserve"> AY</w:t>
            </w:r>
          </w:p>
        </w:tc>
        <w:tc>
          <w:tcPr>
            <w:tcW w:w="1895" w:type="dxa"/>
          </w:tcPr>
          <w:p w14:paraId="7C5076A0" w14:textId="556F10FD" w:rsidR="00980827" w:rsidRDefault="00AE4863" w:rsidP="00ED228B">
            <w:pPr>
              <w:jc w:val="center"/>
              <w:rPr>
                <w:color w:val="000000"/>
              </w:rPr>
            </w:pPr>
            <w:r>
              <w:rPr>
                <w:color w:val="000000"/>
              </w:rPr>
              <w:t>27%</w:t>
            </w:r>
          </w:p>
          <w:p w14:paraId="01171E75" w14:textId="79C5EDA2" w:rsidR="00980827" w:rsidRDefault="000A3CEB" w:rsidP="00ED228B">
            <w:pPr>
              <w:jc w:val="center"/>
              <w:rPr>
                <w:color w:val="000000"/>
              </w:rPr>
            </w:pPr>
            <w:r>
              <w:rPr>
                <w:color w:val="000000"/>
              </w:rPr>
              <w:t>19%</w:t>
            </w:r>
          </w:p>
          <w:p w14:paraId="3E50E1F9" w14:textId="393A54F7" w:rsidR="00980827" w:rsidRDefault="000A3CEB" w:rsidP="00ED228B">
            <w:pPr>
              <w:jc w:val="center"/>
              <w:rPr>
                <w:color w:val="000000"/>
              </w:rPr>
            </w:pPr>
            <w:r>
              <w:rPr>
                <w:color w:val="000000"/>
              </w:rPr>
              <w:t>21%</w:t>
            </w:r>
          </w:p>
          <w:p w14:paraId="6F36F6C8" w14:textId="0DDA5DFA" w:rsidR="00980827" w:rsidRDefault="000A3CEB" w:rsidP="00ED228B">
            <w:pPr>
              <w:jc w:val="center"/>
              <w:rPr>
                <w:color w:val="000000"/>
              </w:rPr>
            </w:pPr>
            <w:r>
              <w:rPr>
                <w:color w:val="000000"/>
              </w:rPr>
              <w:t>20%</w:t>
            </w:r>
          </w:p>
          <w:p w14:paraId="791170AF" w14:textId="77777777" w:rsidR="000A3CEB" w:rsidRDefault="000A3CEB" w:rsidP="000A3CEB">
            <w:pPr>
              <w:jc w:val="center"/>
              <w:rPr>
                <w:color w:val="000000"/>
              </w:rPr>
            </w:pPr>
            <w:r>
              <w:rPr>
                <w:color w:val="000000"/>
              </w:rPr>
              <w:t>17%</w:t>
            </w:r>
          </w:p>
        </w:tc>
        <w:tc>
          <w:tcPr>
            <w:tcW w:w="2493" w:type="dxa"/>
          </w:tcPr>
          <w:p w14:paraId="48879CE1" w14:textId="20EB97A6" w:rsidR="00980827" w:rsidRDefault="00AE4863" w:rsidP="00BB2EF4">
            <w:pPr>
              <w:rPr>
                <w:color w:val="000000"/>
              </w:rPr>
            </w:pPr>
            <w:r>
              <w:rPr>
                <w:color w:val="000000"/>
              </w:rPr>
              <w:t>190</w:t>
            </w:r>
          </w:p>
          <w:p w14:paraId="57FFD688" w14:textId="0D53F5EC" w:rsidR="00980827" w:rsidRDefault="000A3CEB" w:rsidP="00BB2EF4">
            <w:pPr>
              <w:rPr>
                <w:color w:val="000000"/>
              </w:rPr>
            </w:pPr>
            <w:r>
              <w:rPr>
                <w:color w:val="000000"/>
              </w:rPr>
              <w:t>597</w:t>
            </w:r>
          </w:p>
          <w:p w14:paraId="0BC9E965" w14:textId="690E17C1" w:rsidR="00980827" w:rsidRDefault="000A3CEB" w:rsidP="00BB2EF4">
            <w:pPr>
              <w:rPr>
                <w:color w:val="000000"/>
              </w:rPr>
            </w:pPr>
            <w:r>
              <w:rPr>
                <w:color w:val="000000"/>
              </w:rPr>
              <w:t>661</w:t>
            </w:r>
          </w:p>
          <w:p w14:paraId="3D6D2A38" w14:textId="5CB229B8" w:rsidR="00980827" w:rsidRDefault="000A3CEB" w:rsidP="00BB2EF4">
            <w:pPr>
              <w:rPr>
                <w:color w:val="000000"/>
              </w:rPr>
            </w:pPr>
            <w:r>
              <w:rPr>
                <w:color w:val="000000"/>
              </w:rPr>
              <w:t>786</w:t>
            </w:r>
          </w:p>
          <w:p w14:paraId="48311FE0" w14:textId="77777777" w:rsidR="000A3CEB" w:rsidRDefault="000A3CEB" w:rsidP="00BB2EF4">
            <w:pPr>
              <w:rPr>
                <w:color w:val="000000"/>
              </w:rPr>
            </w:pPr>
            <w:r>
              <w:rPr>
                <w:color w:val="000000"/>
              </w:rPr>
              <w:t>902</w:t>
            </w:r>
          </w:p>
        </w:tc>
      </w:tr>
    </w:tbl>
    <w:p w14:paraId="73CF3410" w14:textId="5BD234EC" w:rsidR="00AE4863" w:rsidRDefault="00534B04" w:rsidP="00ED2DD5">
      <w:pPr>
        <w:ind w:left="2880" w:firstLine="720"/>
        <w:rPr>
          <w:color w:val="000000"/>
        </w:rPr>
      </w:pPr>
      <w:r>
        <w:rPr>
          <w:color w:val="000000"/>
        </w:rPr>
        <w:t xml:space="preserve"> </w:t>
      </w:r>
      <w:r w:rsidR="000A3CEB">
        <w:rPr>
          <w:color w:val="000000"/>
        </w:rPr>
        <w:t xml:space="preserve">(from </w:t>
      </w:r>
      <w:r w:rsidR="007F2CBC">
        <w:rPr>
          <w:color w:val="000000"/>
        </w:rPr>
        <w:t xml:space="preserve">the most current </w:t>
      </w:r>
      <w:r w:rsidR="000A3CEB">
        <w:rPr>
          <w:color w:val="000000"/>
        </w:rPr>
        <w:t>CSU Student Success Dashboard)</w:t>
      </w:r>
    </w:p>
    <w:p w14:paraId="0349764F" w14:textId="1E62A6CE" w:rsidR="0049083B" w:rsidRDefault="0049083B">
      <w:pPr>
        <w:rPr>
          <w:i/>
          <w:color w:val="000000" w:themeColor="text1"/>
        </w:rPr>
      </w:pPr>
    </w:p>
    <w:p w14:paraId="49A5F7EA" w14:textId="77777777" w:rsidR="00E766B9" w:rsidRDefault="00E766B9">
      <w:pPr>
        <w:rPr>
          <w:i/>
          <w:color w:val="000000" w:themeColor="text1"/>
        </w:rPr>
      </w:pPr>
    </w:p>
    <w:p w14:paraId="286FF4BB" w14:textId="79D40DDF" w:rsidR="00711C6D" w:rsidRPr="002934EF" w:rsidRDefault="00955BE3">
      <w:pPr>
        <w:rPr>
          <w:color w:val="000000" w:themeColor="text1"/>
        </w:rPr>
      </w:pPr>
      <w:r>
        <w:rPr>
          <w:i/>
          <w:color w:val="000000" w:themeColor="text1"/>
        </w:rPr>
        <w:t>Methodology</w:t>
      </w:r>
      <w:r w:rsidR="00A678C5" w:rsidRPr="00A678C5">
        <w:rPr>
          <w:i/>
          <w:color w:val="000000" w:themeColor="text1"/>
        </w:rPr>
        <w:t xml:space="preserve"> to Assess</w:t>
      </w:r>
      <w:r w:rsidR="00711C6D" w:rsidRPr="00A678C5">
        <w:rPr>
          <w:i/>
          <w:color w:val="000000" w:themeColor="text1"/>
        </w:rPr>
        <w:t xml:space="preserve"> PHIL 200</w:t>
      </w:r>
      <w:r w:rsidR="00A7478D">
        <w:rPr>
          <w:i/>
          <w:color w:val="000000" w:themeColor="text1"/>
        </w:rPr>
        <w:t xml:space="preserve"> Spring 2019</w:t>
      </w:r>
      <w:proofErr w:type="gramStart"/>
      <w:r w:rsidR="00A678C5" w:rsidRPr="00A678C5">
        <w:rPr>
          <w:i/>
          <w:color w:val="000000" w:themeColor="text1"/>
        </w:rPr>
        <w:t>:  “</w:t>
      </w:r>
      <w:proofErr w:type="gramEnd"/>
      <w:r w:rsidR="00A678C5" w:rsidRPr="00A678C5">
        <w:rPr>
          <w:i/>
          <w:color w:val="000000" w:themeColor="text1"/>
        </w:rPr>
        <w:t>Questionnaire A” and “Questionnaire B”</w:t>
      </w:r>
    </w:p>
    <w:p w14:paraId="6A0C76F5" w14:textId="65F7F098" w:rsidR="007F2CBC" w:rsidRDefault="007F2CBC">
      <w:pPr>
        <w:rPr>
          <w:color w:val="000000" w:themeColor="text1"/>
        </w:rPr>
      </w:pPr>
    </w:p>
    <w:p w14:paraId="5CA27608" w14:textId="6C8E79B0" w:rsidR="00305E30" w:rsidRDefault="001D0122">
      <w:pPr>
        <w:rPr>
          <w:color w:val="000000" w:themeColor="text1"/>
        </w:rPr>
      </w:pPr>
      <w:r>
        <w:rPr>
          <w:color w:val="000000" w:themeColor="text1"/>
        </w:rPr>
        <w:t>As stated in the course description, PHIL 200 introduces students “to the concepts essential to the identification, analysis and evaluation of arguments, with attention to deduction, induction and common fallacies.”</w:t>
      </w:r>
      <w:r w:rsidR="00534B04">
        <w:rPr>
          <w:color w:val="000000" w:themeColor="text1"/>
        </w:rPr>
        <w:t xml:space="preserve"> </w:t>
      </w:r>
      <w:r>
        <w:rPr>
          <w:color w:val="000000" w:themeColor="text1"/>
        </w:rPr>
        <w:t xml:space="preserve"> To reflect these goals, I formulated </w:t>
      </w:r>
      <w:r w:rsidR="00711C6D">
        <w:rPr>
          <w:color w:val="000000" w:themeColor="text1"/>
        </w:rPr>
        <w:t>a questionnaire consisting of ten question</w:t>
      </w:r>
      <w:r>
        <w:rPr>
          <w:color w:val="000000" w:themeColor="text1"/>
        </w:rPr>
        <w:t>s</w:t>
      </w:r>
      <w:r w:rsidR="00E533FE">
        <w:rPr>
          <w:color w:val="000000" w:themeColor="text1"/>
        </w:rPr>
        <w:t xml:space="preserve"> (both </w:t>
      </w:r>
      <w:proofErr w:type="gramStart"/>
      <w:r w:rsidR="00E533FE">
        <w:rPr>
          <w:color w:val="000000" w:themeColor="text1"/>
        </w:rPr>
        <w:t>questionnaire</w:t>
      </w:r>
      <w:proofErr w:type="gramEnd"/>
      <w:r w:rsidR="00E533FE">
        <w:rPr>
          <w:color w:val="000000" w:themeColor="text1"/>
        </w:rPr>
        <w:t xml:space="preserve"> are attached)</w:t>
      </w:r>
      <w:r w:rsidR="003D79D6">
        <w:rPr>
          <w:color w:val="000000" w:themeColor="text1"/>
        </w:rPr>
        <w:t>.  The questions gave students the opportunity to show their capacity to</w:t>
      </w:r>
      <w:r w:rsidR="001A54F0">
        <w:rPr>
          <w:color w:val="000000" w:themeColor="text1"/>
        </w:rPr>
        <w:t>:</w:t>
      </w:r>
    </w:p>
    <w:p w14:paraId="06F276BA" w14:textId="77777777" w:rsidR="001A54F0" w:rsidRDefault="00305E30">
      <w:pPr>
        <w:rPr>
          <w:color w:val="000000" w:themeColor="text1"/>
        </w:rPr>
      </w:pPr>
      <w:r>
        <w:rPr>
          <w:color w:val="000000" w:themeColor="text1"/>
        </w:rPr>
        <w:br w:type="column"/>
      </w:r>
    </w:p>
    <w:p w14:paraId="7BF51856" w14:textId="003152FB" w:rsidR="00B13D6F" w:rsidRDefault="003D79D6" w:rsidP="00305E30">
      <w:pPr>
        <w:pStyle w:val="ListParagraph"/>
        <w:numPr>
          <w:ilvl w:val="0"/>
          <w:numId w:val="4"/>
        </w:numPr>
        <w:rPr>
          <w:color w:val="000000" w:themeColor="text1"/>
        </w:rPr>
      </w:pPr>
      <w:r>
        <w:rPr>
          <w:color w:val="000000" w:themeColor="text1"/>
        </w:rPr>
        <w:t>determine the</w:t>
      </w:r>
      <w:r w:rsidR="001A54F0">
        <w:rPr>
          <w:color w:val="000000" w:themeColor="text1"/>
        </w:rPr>
        <w:t xml:space="preserve"> presence or absence of an argument (questions 1, 2, and 3)</w:t>
      </w:r>
    </w:p>
    <w:p w14:paraId="7F491AF5" w14:textId="77777777" w:rsidR="00305E30" w:rsidRPr="00305E30" w:rsidRDefault="00305E30" w:rsidP="00305E30">
      <w:pPr>
        <w:pStyle w:val="ListParagraph"/>
        <w:rPr>
          <w:color w:val="000000" w:themeColor="text1"/>
        </w:rPr>
      </w:pPr>
    </w:p>
    <w:p w14:paraId="7AF1A40D" w14:textId="76FC63F8" w:rsidR="00B13D6F" w:rsidRPr="00305E30" w:rsidRDefault="00565BC5" w:rsidP="00B13D6F">
      <w:pPr>
        <w:pStyle w:val="ListParagraph"/>
        <w:numPr>
          <w:ilvl w:val="0"/>
          <w:numId w:val="4"/>
        </w:numPr>
        <w:rPr>
          <w:color w:val="000000" w:themeColor="text1"/>
        </w:rPr>
      </w:pPr>
      <w:r>
        <w:rPr>
          <w:color w:val="000000" w:themeColor="text1"/>
        </w:rPr>
        <w:t>analyze</w:t>
      </w:r>
      <w:r w:rsidR="005A3404">
        <w:rPr>
          <w:color w:val="000000" w:themeColor="text1"/>
        </w:rPr>
        <w:t xml:space="preserve"> and evaluate</w:t>
      </w:r>
      <w:r>
        <w:rPr>
          <w:color w:val="000000" w:themeColor="text1"/>
        </w:rPr>
        <w:t xml:space="preserve"> arguments</w:t>
      </w:r>
    </w:p>
    <w:p w14:paraId="12897E18" w14:textId="21685A91" w:rsidR="001A54F0" w:rsidRDefault="001A54F0" w:rsidP="001A54F0">
      <w:pPr>
        <w:pStyle w:val="ListParagraph"/>
        <w:numPr>
          <w:ilvl w:val="0"/>
          <w:numId w:val="5"/>
        </w:numPr>
        <w:rPr>
          <w:color w:val="000000" w:themeColor="text1"/>
        </w:rPr>
      </w:pPr>
      <w:r>
        <w:rPr>
          <w:color w:val="000000" w:themeColor="text1"/>
        </w:rPr>
        <w:t xml:space="preserve">valid </w:t>
      </w:r>
      <w:r w:rsidR="00565BC5">
        <w:rPr>
          <w:color w:val="000000" w:themeColor="text1"/>
        </w:rPr>
        <w:t>or</w:t>
      </w:r>
      <w:r>
        <w:rPr>
          <w:color w:val="000000" w:themeColor="text1"/>
        </w:rPr>
        <w:t xml:space="preserve"> invalid argument</w:t>
      </w:r>
      <w:r w:rsidR="00565BC5">
        <w:rPr>
          <w:color w:val="000000" w:themeColor="text1"/>
        </w:rPr>
        <w:t xml:space="preserve">s </w:t>
      </w:r>
      <w:r>
        <w:rPr>
          <w:color w:val="000000" w:themeColor="text1"/>
        </w:rPr>
        <w:t>(question 4 and 5)</w:t>
      </w:r>
      <w:r w:rsidR="00534B04">
        <w:rPr>
          <w:rStyle w:val="FootnoteReference"/>
          <w:color w:val="000000" w:themeColor="text1"/>
        </w:rPr>
        <w:footnoteReference w:id="2"/>
      </w:r>
    </w:p>
    <w:p w14:paraId="3B67247F" w14:textId="77777777" w:rsidR="00B13D6F" w:rsidRPr="00B13D6F" w:rsidRDefault="00B13D6F" w:rsidP="00B13D6F">
      <w:pPr>
        <w:ind w:left="1080"/>
        <w:rPr>
          <w:color w:val="000000" w:themeColor="text1"/>
        </w:rPr>
      </w:pPr>
    </w:p>
    <w:p w14:paraId="49ADBF9D" w14:textId="437C7AC1" w:rsidR="009363ED" w:rsidRDefault="001A54F0" w:rsidP="009363ED">
      <w:pPr>
        <w:pStyle w:val="ListParagraph"/>
        <w:numPr>
          <w:ilvl w:val="0"/>
          <w:numId w:val="5"/>
        </w:numPr>
        <w:rPr>
          <w:color w:val="000000" w:themeColor="text1"/>
        </w:rPr>
      </w:pPr>
      <w:r>
        <w:rPr>
          <w:color w:val="000000" w:themeColor="text1"/>
        </w:rPr>
        <w:t>inductively strong</w:t>
      </w:r>
      <w:r w:rsidR="00565BC5">
        <w:rPr>
          <w:color w:val="000000" w:themeColor="text1"/>
        </w:rPr>
        <w:t xml:space="preserve"> or weak arguments (question 6</w:t>
      </w:r>
      <w:r w:rsidR="001810B9">
        <w:rPr>
          <w:color w:val="000000" w:themeColor="text1"/>
        </w:rPr>
        <w:t>)</w:t>
      </w:r>
    </w:p>
    <w:p w14:paraId="66FFDE83" w14:textId="77777777" w:rsidR="00B13D6F" w:rsidRPr="00B13D6F" w:rsidRDefault="00B13D6F" w:rsidP="00B13D6F">
      <w:pPr>
        <w:rPr>
          <w:color w:val="000000" w:themeColor="text1"/>
        </w:rPr>
      </w:pPr>
    </w:p>
    <w:p w14:paraId="3FB70C93" w14:textId="70E2ACBD" w:rsidR="001A54F0" w:rsidRDefault="001A54F0" w:rsidP="001A54F0">
      <w:pPr>
        <w:pStyle w:val="ListParagraph"/>
        <w:numPr>
          <w:ilvl w:val="0"/>
          <w:numId w:val="5"/>
        </w:numPr>
        <w:rPr>
          <w:color w:val="000000" w:themeColor="text1"/>
        </w:rPr>
      </w:pPr>
      <w:r>
        <w:rPr>
          <w:color w:val="000000" w:themeColor="text1"/>
        </w:rPr>
        <w:t xml:space="preserve">sound </w:t>
      </w:r>
      <w:r w:rsidR="00565BC5">
        <w:rPr>
          <w:color w:val="000000" w:themeColor="text1"/>
        </w:rPr>
        <w:t xml:space="preserve">or unsound </w:t>
      </w:r>
      <w:r>
        <w:rPr>
          <w:color w:val="000000" w:themeColor="text1"/>
        </w:rPr>
        <w:t>arguments (question 7)</w:t>
      </w:r>
      <w:r w:rsidR="00755336">
        <w:rPr>
          <w:rStyle w:val="FootnoteReference"/>
          <w:color w:val="000000" w:themeColor="text1"/>
        </w:rPr>
        <w:footnoteReference w:id="3"/>
      </w:r>
    </w:p>
    <w:p w14:paraId="4309D35C" w14:textId="77777777" w:rsidR="00B13D6F" w:rsidRPr="00B13D6F" w:rsidRDefault="00B13D6F" w:rsidP="00B13D6F">
      <w:pPr>
        <w:rPr>
          <w:color w:val="000000" w:themeColor="text1"/>
        </w:rPr>
      </w:pPr>
    </w:p>
    <w:p w14:paraId="6C6A4388" w14:textId="1787D955" w:rsidR="001A54F0" w:rsidRPr="001A54F0" w:rsidRDefault="00565BC5" w:rsidP="001A54F0">
      <w:pPr>
        <w:pStyle w:val="ListParagraph"/>
        <w:numPr>
          <w:ilvl w:val="0"/>
          <w:numId w:val="5"/>
        </w:numPr>
        <w:rPr>
          <w:color w:val="000000" w:themeColor="text1"/>
        </w:rPr>
      </w:pPr>
      <w:r>
        <w:rPr>
          <w:color w:val="000000" w:themeColor="text1"/>
        </w:rPr>
        <w:t xml:space="preserve">identify </w:t>
      </w:r>
      <w:r w:rsidR="00A16F25">
        <w:rPr>
          <w:color w:val="000000" w:themeColor="text1"/>
        </w:rPr>
        <w:t>informal fallacies (question 8, 9, and 10)</w:t>
      </w:r>
    </w:p>
    <w:p w14:paraId="43ADBA55" w14:textId="51DDF015" w:rsidR="00984F3F" w:rsidRDefault="00984F3F">
      <w:pPr>
        <w:rPr>
          <w:color w:val="000000" w:themeColor="text1"/>
        </w:rPr>
      </w:pPr>
    </w:p>
    <w:p w14:paraId="0F0F7C3B" w14:textId="57DDD832" w:rsidR="006937FE" w:rsidRDefault="00A678C5" w:rsidP="006937FE">
      <w:pPr>
        <w:rPr>
          <w:color w:val="000000" w:themeColor="text1"/>
        </w:rPr>
      </w:pPr>
      <w:r>
        <w:rPr>
          <w:color w:val="000000" w:themeColor="text1"/>
        </w:rPr>
        <w:t xml:space="preserve">Each question </w:t>
      </w:r>
      <w:r w:rsidR="00765E92">
        <w:rPr>
          <w:color w:val="000000" w:themeColor="text1"/>
        </w:rPr>
        <w:t>presents</w:t>
      </w:r>
      <w:r>
        <w:rPr>
          <w:color w:val="000000" w:themeColor="text1"/>
        </w:rPr>
        <w:t xml:space="preserve"> a self-contained scenario of two interlocutors </w:t>
      </w:r>
      <w:r w:rsidR="003E7DAD">
        <w:rPr>
          <w:color w:val="000000" w:themeColor="text1"/>
        </w:rPr>
        <w:t>engaged in a debate</w:t>
      </w:r>
      <w:r w:rsidR="00765E92">
        <w:rPr>
          <w:color w:val="000000" w:themeColor="text1"/>
        </w:rPr>
        <w:t xml:space="preserve">.  </w:t>
      </w:r>
      <w:r>
        <w:rPr>
          <w:color w:val="000000" w:themeColor="text1"/>
        </w:rPr>
        <w:t xml:space="preserve">At the end of each scenario, students </w:t>
      </w:r>
      <w:r w:rsidR="00765E92">
        <w:rPr>
          <w:color w:val="000000" w:themeColor="text1"/>
        </w:rPr>
        <w:t>are</w:t>
      </w:r>
      <w:r>
        <w:rPr>
          <w:color w:val="000000" w:themeColor="text1"/>
        </w:rPr>
        <w:t xml:space="preserve"> prompted to </w:t>
      </w:r>
      <w:r w:rsidR="00765E92">
        <w:rPr>
          <w:color w:val="000000" w:themeColor="text1"/>
        </w:rPr>
        <w:t xml:space="preserve">evaluate </w:t>
      </w:r>
      <w:r w:rsidR="00600CAE">
        <w:rPr>
          <w:color w:val="000000" w:themeColor="text1"/>
        </w:rPr>
        <w:t>how effectively the interlocutor convey</w:t>
      </w:r>
      <w:r w:rsidR="00C766C9">
        <w:rPr>
          <w:color w:val="000000" w:themeColor="text1"/>
        </w:rPr>
        <w:t>s</w:t>
      </w:r>
      <w:r w:rsidR="00600CAE">
        <w:rPr>
          <w:color w:val="000000" w:themeColor="text1"/>
        </w:rPr>
        <w:t xml:space="preserve"> his or her argument</w:t>
      </w:r>
      <w:r>
        <w:rPr>
          <w:color w:val="000000" w:themeColor="text1"/>
        </w:rPr>
        <w:t>.</w:t>
      </w:r>
      <w:r w:rsidR="004D6C91">
        <w:rPr>
          <w:color w:val="000000" w:themeColor="text1"/>
        </w:rPr>
        <w:t xml:space="preserve">  The prompts are intentionally open-ended</w:t>
      </w:r>
      <w:r w:rsidR="0037155C">
        <w:rPr>
          <w:color w:val="000000" w:themeColor="text1"/>
        </w:rPr>
        <w:t xml:space="preserve">, </w:t>
      </w:r>
      <w:r>
        <w:rPr>
          <w:color w:val="000000" w:themeColor="text1"/>
        </w:rPr>
        <w:t xml:space="preserve">not multiple choice.  </w:t>
      </w:r>
      <w:r w:rsidR="0037155C">
        <w:rPr>
          <w:color w:val="000000" w:themeColor="text1"/>
        </w:rPr>
        <w:t>No</w:t>
      </w:r>
      <w:r>
        <w:rPr>
          <w:color w:val="000000" w:themeColor="text1"/>
        </w:rPr>
        <w:t xml:space="preserve"> technical terms such as “</w:t>
      </w:r>
      <w:r w:rsidR="004D6C91">
        <w:rPr>
          <w:color w:val="000000" w:themeColor="text1"/>
        </w:rPr>
        <w:t>valid</w:t>
      </w:r>
      <w:r>
        <w:rPr>
          <w:color w:val="000000" w:themeColor="text1"/>
        </w:rPr>
        <w:t>” or “</w:t>
      </w:r>
      <w:r w:rsidR="004D6C91">
        <w:rPr>
          <w:color w:val="000000" w:themeColor="text1"/>
        </w:rPr>
        <w:t>invalid</w:t>
      </w:r>
      <w:r>
        <w:rPr>
          <w:color w:val="000000" w:themeColor="text1"/>
        </w:rPr>
        <w:t xml:space="preserve">,” etc. </w:t>
      </w:r>
      <w:r w:rsidR="0037155C">
        <w:rPr>
          <w:color w:val="000000" w:themeColor="text1"/>
        </w:rPr>
        <w:t>appear</w:t>
      </w:r>
      <w:r>
        <w:rPr>
          <w:color w:val="000000" w:themeColor="text1"/>
        </w:rPr>
        <w:t xml:space="preserve"> in the questionnaire, leaving it up to the student to apply these concepts as they </w:t>
      </w:r>
      <w:r w:rsidR="00986837">
        <w:rPr>
          <w:color w:val="000000" w:themeColor="text1"/>
        </w:rPr>
        <w:t>see</w:t>
      </w:r>
      <w:r>
        <w:rPr>
          <w:color w:val="000000" w:themeColor="text1"/>
        </w:rPr>
        <w:t xml:space="preserve"> fit.  </w:t>
      </w:r>
    </w:p>
    <w:p w14:paraId="54E872C2" w14:textId="77777777" w:rsidR="006937FE" w:rsidRDefault="006937FE">
      <w:pPr>
        <w:rPr>
          <w:color w:val="000000" w:themeColor="text1"/>
        </w:rPr>
      </w:pPr>
    </w:p>
    <w:p w14:paraId="53A2D823" w14:textId="6D249FA9" w:rsidR="00765E92" w:rsidRDefault="00445947" w:rsidP="00765E92">
      <w:pPr>
        <w:rPr>
          <w:color w:val="000000" w:themeColor="text1"/>
        </w:rPr>
      </w:pPr>
      <w:r>
        <w:rPr>
          <w:color w:val="000000" w:themeColor="text1"/>
        </w:rPr>
        <w:t>T</w:t>
      </w:r>
      <w:r w:rsidR="00765E92">
        <w:rPr>
          <w:color w:val="000000" w:themeColor="text1"/>
        </w:rPr>
        <w:t>o gauge how well students understood the concepts central to PHIL 200</w:t>
      </w:r>
      <w:r>
        <w:rPr>
          <w:color w:val="000000" w:themeColor="text1"/>
        </w:rPr>
        <w:t xml:space="preserve">, I asked instructors to </w:t>
      </w:r>
      <w:r w:rsidR="003978A9">
        <w:rPr>
          <w:color w:val="000000" w:themeColor="text1"/>
        </w:rPr>
        <w:t xml:space="preserve">administer the questionnaire in the final week of the semester (Questionnaire B).  To establish a baseline, I asked the instructors to give a similar questionnaire prior to any instruction during the first week (Questionnaire A).  </w:t>
      </w:r>
      <w:r>
        <w:rPr>
          <w:color w:val="000000" w:themeColor="text1"/>
        </w:rPr>
        <w:t>Instructors encourage</w:t>
      </w:r>
      <w:r w:rsidR="006937FE">
        <w:rPr>
          <w:color w:val="000000" w:themeColor="text1"/>
        </w:rPr>
        <w:t>d</w:t>
      </w:r>
      <w:r>
        <w:rPr>
          <w:color w:val="000000" w:themeColor="text1"/>
        </w:rPr>
        <w:t xml:space="preserve"> students to fill out</w:t>
      </w:r>
      <w:r w:rsidR="00765E92">
        <w:rPr>
          <w:color w:val="000000" w:themeColor="text1"/>
        </w:rPr>
        <w:t xml:space="preserve"> </w:t>
      </w:r>
      <w:r w:rsidR="00835F83">
        <w:rPr>
          <w:color w:val="000000" w:themeColor="text1"/>
        </w:rPr>
        <w:t xml:space="preserve">both </w:t>
      </w:r>
      <w:r w:rsidR="003978A9">
        <w:rPr>
          <w:color w:val="000000" w:themeColor="text1"/>
        </w:rPr>
        <w:t>q</w:t>
      </w:r>
      <w:r w:rsidR="00765E92">
        <w:rPr>
          <w:color w:val="000000" w:themeColor="text1"/>
        </w:rPr>
        <w:t>uestionnaires on a volunteer basis</w:t>
      </w:r>
      <w:r w:rsidR="00431AE4">
        <w:rPr>
          <w:color w:val="000000" w:themeColor="text1"/>
        </w:rPr>
        <w:t xml:space="preserve">.  </w:t>
      </w:r>
      <w:r w:rsidR="00835F83">
        <w:rPr>
          <w:color w:val="000000" w:themeColor="text1"/>
        </w:rPr>
        <w:t>The students</w:t>
      </w:r>
      <w:r w:rsidR="00431AE4">
        <w:rPr>
          <w:color w:val="000000" w:themeColor="text1"/>
        </w:rPr>
        <w:t xml:space="preserve"> were informed that they would not be graded on their performance</w:t>
      </w:r>
      <w:r w:rsidR="00765E92">
        <w:rPr>
          <w:color w:val="000000" w:themeColor="text1"/>
        </w:rPr>
        <w:t xml:space="preserve">.  </w:t>
      </w:r>
      <w:r w:rsidR="006937FE">
        <w:rPr>
          <w:color w:val="000000" w:themeColor="text1"/>
        </w:rPr>
        <w:t>I</w:t>
      </w:r>
      <w:r w:rsidR="00C10FDF">
        <w:rPr>
          <w:color w:val="000000" w:themeColor="text1"/>
        </w:rPr>
        <w:t xml:space="preserve"> also</w:t>
      </w:r>
      <w:r w:rsidR="006937FE">
        <w:rPr>
          <w:color w:val="000000" w:themeColor="text1"/>
        </w:rPr>
        <w:t xml:space="preserve"> made it clear to the instructors that </w:t>
      </w:r>
      <w:r w:rsidR="006937FE" w:rsidRPr="000D26E1">
        <w:rPr>
          <w:i/>
          <w:color w:val="000000" w:themeColor="text1"/>
        </w:rPr>
        <w:t>their</w:t>
      </w:r>
      <w:r w:rsidR="006937FE">
        <w:rPr>
          <w:color w:val="000000" w:themeColor="text1"/>
        </w:rPr>
        <w:t xml:space="preserve"> performance was not being evaluated</w:t>
      </w:r>
      <w:r w:rsidR="000D26E1">
        <w:rPr>
          <w:color w:val="000000" w:themeColor="text1"/>
        </w:rPr>
        <w:t>; only the performance of the students</w:t>
      </w:r>
      <w:r w:rsidR="00ED31A6">
        <w:rPr>
          <w:color w:val="000000" w:themeColor="text1"/>
        </w:rPr>
        <w:t xml:space="preserve"> as a group</w:t>
      </w:r>
      <w:r w:rsidR="000D26E1">
        <w:rPr>
          <w:color w:val="000000" w:themeColor="text1"/>
        </w:rPr>
        <w:t xml:space="preserve">.  </w:t>
      </w:r>
    </w:p>
    <w:p w14:paraId="2C4E51BF" w14:textId="77777777" w:rsidR="00765E92" w:rsidRDefault="00765E92">
      <w:pPr>
        <w:rPr>
          <w:color w:val="000000" w:themeColor="text1"/>
        </w:rPr>
      </w:pPr>
    </w:p>
    <w:p w14:paraId="6128F081" w14:textId="25B63F5F" w:rsidR="001D0122" w:rsidRDefault="001D0122">
      <w:pPr>
        <w:rPr>
          <w:color w:val="000000" w:themeColor="text1"/>
        </w:rPr>
      </w:pPr>
    </w:p>
    <w:p w14:paraId="5BA9DAC7" w14:textId="39FE88FC" w:rsidR="00BD334F" w:rsidRPr="00EE5653" w:rsidRDefault="00BD334F">
      <w:pPr>
        <w:rPr>
          <w:i/>
          <w:color w:val="000000" w:themeColor="text1"/>
        </w:rPr>
      </w:pPr>
      <w:r w:rsidRPr="00EE5653">
        <w:rPr>
          <w:i/>
          <w:color w:val="000000" w:themeColor="text1"/>
        </w:rPr>
        <w:t>Results</w:t>
      </w:r>
    </w:p>
    <w:p w14:paraId="74D9FECA" w14:textId="1C34C24F" w:rsidR="006F6F4A" w:rsidRDefault="006F6F4A">
      <w:pPr>
        <w:rPr>
          <w:color w:val="000000" w:themeColor="text1"/>
        </w:rPr>
      </w:pPr>
    </w:p>
    <w:p w14:paraId="4522C913" w14:textId="4C37E866" w:rsidR="00795A50" w:rsidRDefault="006F6F4A" w:rsidP="006937FE">
      <w:pPr>
        <w:rPr>
          <w:color w:val="000000" w:themeColor="text1"/>
        </w:rPr>
      </w:pPr>
      <w:r>
        <w:rPr>
          <w:color w:val="000000" w:themeColor="text1"/>
        </w:rPr>
        <w:t xml:space="preserve">I received a total of </w:t>
      </w:r>
      <w:r w:rsidR="006937FE">
        <w:rPr>
          <w:color w:val="000000" w:themeColor="text1"/>
        </w:rPr>
        <w:t>112 replies to Questionnaire A, thanks to the participation of 5 instructor</w:t>
      </w:r>
      <w:r w:rsidR="00024DE1">
        <w:rPr>
          <w:color w:val="000000" w:themeColor="text1"/>
        </w:rPr>
        <w:t>s</w:t>
      </w:r>
      <w:r w:rsidR="006937FE">
        <w:rPr>
          <w:color w:val="000000" w:themeColor="text1"/>
        </w:rPr>
        <w:t xml:space="preserve">.  </w:t>
      </w:r>
      <w:r w:rsidR="00024DE1">
        <w:rPr>
          <w:color w:val="000000" w:themeColor="text1"/>
        </w:rPr>
        <w:t>As for Questionnaire B,</w:t>
      </w:r>
      <w:r w:rsidR="00EF0EEE">
        <w:rPr>
          <w:color w:val="000000" w:themeColor="text1"/>
        </w:rPr>
        <w:t xml:space="preserve"> </w:t>
      </w:r>
      <w:r w:rsidR="00024DE1">
        <w:rPr>
          <w:color w:val="000000" w:themeColor="text1"/>
        </w:rPr>
        <w:t xml:space="preserve">I only received </w:t>
      </w:r>
      <w:r w:rsidR="006937FE">
        <w:rPr>
          <w:color w:val="000000" w:themeColor="text1"/>
        </w:rPr>
        <w:t>47 replies</w:t>
      </w:r>
      <w:r w:rsidR="00024DE1">
        <w:rPr>
          <w:color w:val="000000" w:themeColor="text1"/>
        </w:rPr>
        <w:t>,</w:t>
      </w:r>
      <w:r w:rsidR="006937FE">
        <w:rPr>
          <w:color w:val="000000" w:themeColor="text1"/>
        </w:rPr>
        <w:t xml:space="preserve"> </w:t>
      </w:r>
      <w:r w:rsidR="00024DE1">
        <w:rPr>
          <w:color w:val="000000" w:themeColor="text1"/>
        </w:rPr>
        <w:t>supplied by</w:t>
      </w:r>
      <w:r w:rsidR="006937FE">
        <w:rPr>
          <w:color w:val="000000" w:themeColor="text1"/>
        </w:rPr>
        <w:t xml:space="preserve"> 3 instructors.</w:t>
      </w:r>
      <w:r w:rsidR="00024DE1">
        <w:rPr>
          <w:color w:val="000000" w:themeColor="text1"/>
        </w:rPr>
        <w:t xml:space="preserve">  The relatively low rate of participation</w:t>
      </w:r>
      <w:r w:rsidR="00222EFA">
        <w:rPr>
          <w:color w:val="000000" w:themeColor="text1"/>
        </w:rPr>
        <w:t xml:space="preserve"> for Questionnaire B</w:t>
      </w:r>
      <w:r w:rsidR="00024DE1">
        <w:rPr>
          <w:color w:val="000000" w:themeColor="text1"/>
        </w:rPr>
        <w:t>, I</w:t>
      </w:r>
      <w:r w:rsidR="00222EFA">
        <w:rPr>
          <w:color w:val="000000" w:themeColor="text1"/>
        </w:rPr>
        <w:t>’m guessing</w:t>
      </w:r>
      <w:r w:rsidR="00024DE1">
        <w:rPr>
          <w:color w:val="000000" w:themeColor="text1"/>
        </w:rPr>
        <w:t xml:space="preserve">, is attributable to fatigue on the part of the student and the fact that instructors have a lot of ground to cover in the final week of the semester.  </w:t>
      </w:r>
      <w:r w:rsidR="00821129">
        <w:rPr>
          <w:color w:val="000000" w:themeColor="text1"/>
        </w:rPr>
        <w:t>A</w:t>
      </w:r>
      <w:r w:rsidR="00FB1345">
        <w:rPr>
          <w:color w:val="000000" w:themeColor="text1"/>
        </w:rPr>
        <w:t xml:space="preserve"> detailed breakdown</w:t>
      </w:r>
      <w:r w:rsidR="00212C12">
        <w:rPr>
          <w:color w:val="000000" w:themeColor="text1"/>
        </w:rPr>
        <w:t xml:space="preserve"> of the results</w:t>
      </w:r>
      <w:r w:rsidR="00821129">
        <w:rPr>
          <w:color w:val="000000" w:themeColor="text1"/>
        </w:rPr>
        <w:t xml:space="preserve"> is given below</w:t>
      </w:r>
      <w:r w:rsidR="00FB1345">
        <w:rPr>
          <w:color w:val="000000" w:themeColor="text1"/>
        </w:rPr>
        <w:t xml:space="preserve">.  </w:t>
      </w:r>
    </w:p>
    <w:p w14:paraId="3200A591" w14:textId="77777777" w:rsidR="00795A50" w:rsidRDefault="00795A50" w:rsidP="006937FE">
      <w:pPr>
        <w:rPr>
          <w:color w:val="000000" w:themeColor="text1"/>
        </w:rPr>
      </w:pPr>
    </w:p>
    <w:p w14:paraId="77ECABBF" w14:textId="27E7D357" w:rsidR="004317E3" w:rsidRDefault="00E80B4C" w:rsidP="006937FE">
      <w:pPr>
        <w:rPr>
          <w:color w:val="000000" w:themeColor="text1"/>
        </w:rPr>
      </w:pPr>
      <w:r>
        <w:rPr>
          <w:color w:val="000000" w:themeColor="text1"/>
        </w:rPr>
        <w:lastRenderedPageBreak/>
        <w:t>R</w:t>
      </w:r>
      <w:r w:rsidR="006F6F4A">
        <w:rPr>
          <w:color w:val="000000" w:themeColor="text1"/>
        </w:rPr>
        <w:t xml:space="preserve">esponses </w:t>
      </w:r>
      <w:r w:rsidR="005914DB">
        <w:rPr>
          <w:color w:val="000000" w:themeColor="text1"/>
        </w:rPr>
        <w:t xml:space="preserve">to each prompt were “graded” </w:t>
      </w:r>
      <w:r w:rsidR="008539A9">
        <w:rPr>
          <w:color w:val="000000" w:themeColor="text1"/>
        </w:rPr>
        <w:t>according to</w:t>
      </w:r>
      <w:r w:rsidR="005914DB">
        <w:rPr>
          <w:color w:val="000000" w:themeColor="text1"/>
        </w:rPr>
        <w:t xml:space="preserve"> the following </w:t>
      </w:r>
      <w:r w:rsidR="00016BEA">
        <w:rPr>
          <w:color w:val="000000" w:themeColor="text1"/>
        </w:rPr>
        <w:t>scale</w:t>
      </w:r>
      <w:r w:rsidR="005914DB">
        <w:rPr>
          <w:color w:val="000000" w:themeColor="text1"/>
        </w:rPr>
        <w:t>:</w:t>
      </w:r>
      <w:r w:rsidR="006937FE">
        <w:rPr>
          <w:color w:val="000000" w:themeColor="text1"/>
        </w:rPr>
        <w:t xml:space="preserve"> </w:t>
      </w:r>
    </w:p>
    <w:p w14:paraId="1F213647" w14:textId="42624F0D" w:rsidR="004317E3" w:rsidRPr="00590FBF" w:rsidRDefault="005E2BB6" w:rsidP="00590FBF">
      <w:pPr>
        <w:pStyle w:val="ListParagraph"/>
        <w:rPr>
          <w:color w:val="000000" w:themeColor="text1"/>
        </w:rPr>
      </w:pPr>
      <w:r>
        <w:rPr>
          <w:color w:val="000000" w:themeColor="text1"/>
        </w:rPr>
        <w:t xml:space="preserve">N = </w:t>
      </w:r>
      <w:r w:rsidR="006937FE">
        <w:rPr>
          <w:color w:val="000000" w:themeColor="text1"/>
        </w:rPr>
        <w:t>no understanding:  the student has no mastery of the relevant concep</w:t>
      </w:r>
      <w:r w:rsidR="00DD615F">
        <w:rPr>
          <w:color w:val="000000" w:themeColor="text1"/>
        </w:rPr>
        <w:t>t</w:t>
      </w:r>
    </w:p>
    <w:p w14:paraId="2AC8FA17" w14:textId="507F75AC" w:rsidR="004317E3" w:rsidRPr="005E2BB6" w:rsidRDefault="005E2BB6" w:rsidP="00590FBF">
      <w:pPr>
        <w:ind w:firstLine="720"/>
        <w:rPr>
          <w:color w:val="000000" w:themeColor="text1"/>
        </w:rPr>
      </w:pPr>
      <w:r>
        <w:rPr>
          <w:color w:val="000000" w:themeColor="text1"/>
        </w:rPr>
        <w:t>S = s</w:t>
      </w:r>
      <w:r w:rsidR="006937FE" w:rsidRPr="005E2BB6">
        <w:rPr>
          <w:color w:val="000000" w:themeColor="text1"/>
        </w:rPr>
        <w:t>ome understanding:  the student has some awareness of the relevant concept</w:t>
      </w:r>
    </w:p>
    <w:p w14:paraId="56523902" w14:textId="4C05844B" w:rsidR="006937FE" w:rsidRDefault="006D7922" w:rsidP="00590FBF">
      <w:pPr>
        <w:pStyle w:val="ListParagraph"/>
        <w:rPr>
          <w:color w:val="000000" w:themeColor="text1"/>
        </w:rPr>
      </w:pPr>
      <w:r>
        <w:rPr>
          <w:color w:val="000000" w:themeColor="text1"/>
        </w:rPr>
        <w:t>A</w:t>
      </w:r>
      <w:r w:rsidR="005E2BB6">
        <w:rPr>
          <w:color w:val="000000" w:themeColor="text1"/>
        </w:rPr>
        <w:t xml:space="preserve"> = </w:t>
      </w:r>
      <w:r>
        <w:rPr>
          <w:color w:val="000000" w:themeColor="text1"/>
        </w:rPr>
        <w:t>aced it</w:t>
      </w:r>
      <w:r w:rsidR="005E2BB6">
        <w:rPr>
          <w:color w:val="000000" w:themeColor="text1"/>
        </w:rPr>
        <w:t>:  the student has full mastery of the relevant concept</w:t>
      </w:r>
    </w:p>
    <w:p w14:paraId="68810D8B" w14:textId="22EC9002" w:rsidR="00BD334F" w:rsidRDefault="00BD334F">
      <w:pPr>
        <w:rPr>
          <w:color w:val="000000" w:themeColor="text1"/>
        </w:rPr>
      </w:pPr>
    </w:p>
    <w:tbl>
      <w:tblPr>
        <w:tblStyle w:val="TableGrid"/>
        <w:tblW w:w="9625" w:type="dxa"/>
        <w:tblLook w:val="04A0" w:firstRow="1" w:lastRow="0" w:firstColumn="1" w:lastColumn="0" w:noHBand="0" w:noVBand="1"/>
      </w:tblPr>
      <w:tblGrid>
        <w:gridCol w:w="5395"/>
        <w:gridCol w:w="720"/>
        <w:gridCol w:w="720"/>
        <w:gridCol w:w="681"/>
        <w:gridCol w:w="669"/>
        <w:gridCol w:w="720"/>
        <w:gridCol w:w="720"/>
      </w:tblGrid>
      <w:tr w:rsidR="00AC385A" w:rsidRPr="004B4AA2" w14:paraId="2010235D" w14:textId="77777777" w:rsidTr="00893467">
        <w:trPr>
          <w:trHeight w:val="316"/>
        </w:trPr>
        <w:tc>
          <w:tcPr>
            <w:tcW w:w="5395" w:type="dxa"/>
            <w:shd w:val="pct20" w:color="auto" w:fill="auto"/>
          </w:tcPr>
          <w:p w14:paraId="39D5DC86" w14:textId="0A8BBA97" w:rsidR="00BE3D9B" w:rsidRPr="00BE3D9B" w:rsidRDefault="00203E05" w:rsidP="00BE3D9B">
            <w:pPr>
              <w:jc w:val="center"/>
              <w:rPr>
                <w:b/>
                <w:color w:val="000000" w:themeColor="text1"/>
              </w:rPr>
            </w:pPr>
            <w:r>
              <w:rPr>
                <w:b/>
                <w:color w:val="000000" w:themeColor="text1"/>
              </w:rPr>
              <w:t>Skills Tested</w:t>
            </w:r>
          </w:p>
          <w:p w14:paraId="13895A58" w14:textId="1C599240" w:rsidR="00B76CBA" w:rsidRPr="00B76CBA" w:rsidRDefault="00B76CBA" w:rsidP="006937FE">
            <w:pPr>
              <w:jc w:val="center"/>
              <w:rPr>
                <w:color w:val="000000" w:themeColor="text1"/>
              </w:rPr>
            </w:pPr>
          </w:p>
        </w:tc>
        <w:tc>
          <w:tcPr>
            <w:tcW w:w="2121" w:type="dxa"/>
            <w:gridSpan w:val="3"/>
          </w:tcPr>
          <w:p w14:paraId="2E6D1481" w14:textId="5FCC6270" w:rsidR="006F6F4A" w:rsidRPr="004B4AA2" w:rsidRDefault="006F6F4A" w:rsidP="000F526B">
            <w:pPr>
              <w:jc w:val="center"/>
              <w:rPr>
                <w:b/>
                <w:color w:val="000000" w:themeColor="text1"/>
              </w:rPr>
            </w:pPr>
            <w:r w:rsidRPr="004B4AA2">
              <w:rPr>
                <w:b/>
                <w:color w:val="000000" w:themeColor="text1"/>
              </w:rPr>
              <w:t>Q A</w:t>
            </w:r>
          </w:p>
        </w:tc>
        <w:tc>
          <w:tcPr>
            <w:tcW w:w="2109" w:type="dxa"/>
            <w:gridSpan w:val="3"/>
            <w:shd w:val="pct20" w:color="auto" w:fill="auto"/>
          </w:tcPr>
          <w:p w14:paraId="29B857E1" w14:textId="26A646D3" w:rsidR="006F6F4A" w:rsidRPr="004B4AA2" w:rsidRDefault="006F6F4A" w:rsidP="000F526B">
            <w:pPr>
              <w:jc w:val="center"/>
              <w:rPr>
                <w:b/>
                <w:color w:val="000000" w:themeColor="text1"/>
              </w:rPr>
            </w:pPr>
            <w:r w:rsidRPr="004B4AA2">
              <w:rPr>
                <w:b/>
                <w:color w:val="000000" w:themeColor="text1"/>
              </w:rPr>
              <w:t>Q B</w:t>
            </w:r>
          </w:p>
        </w:tc>
      </w:tr>
      <w:tr w:rsidR="008F77B0" w14:paraId="0487C488" w14:textId="77777777" w:rsidTr="00893467">
        <w:trPr>
          <w:trHeight w:val="316"/>
        </w:trPr>
        <w:tc>
          <w:tcPr>
            <w:tcW w:w="5395" w:type="dxa"/>
            <w:shd w:val="pct20" w:color="auto" w:fill="auto"/>
          </w:tcPr>
          <w:p w14:paraId="2DADB10E" w14:textId="7B6E307D" w:rsidR="005545D2" w:rsidRDefault="006937FE">
            <w:pPr>
              <w:rPr>
                <w:color w:val="000000" w:themeColor="text1"/>
              </w:rPr>
            </w:pPr>
            <w:r>
              <w:rPr>
                <w:color w:val="000000" w:themeColor="text1"/>
              </w:rPr>
              <w:t xml:space="preserve">Q1:  </w:t>
            </w:r>
            <w:r w:rsidR="00203E05">
              <w:rPr>
                <w:color w:val="000000" w:themeColor="text1"/>
              </w:rPr>
              <w:t>distinguish between</w:t>
            </w:r>
            <w:r w:rsidR="00A80EF3">
              <w:rPr>
                <w:color w:val="000000" w:themeColor="text1"/>
              </w:rPr>
              <w:t xml:space="preserve"> argument</w:t>
            </w:r>
            <w:r w:rsidR="00203E05">
              <w:rPr>
                <w:color w:val="000000" w:themeColor="text1"/>
              </w:rPr>
              <w:t xml:space="preserve"> v non-argument</w:t>
            </w:r>
          </w:p>
          <w:p w14:paraId="7FB83AC7" w14:textId="77777777" w:rsidR="005545D2" w:rsidRDefault="005545D2">
            <w:pPr>
              <w:rPr>
                <w:color w:val="000000" w:themeColor="text1"/>
              </w:rPr>
            </w:pPr>
            <w:r>
              <w:rPr>
                <w:color w:val="000000" w:themeColor="text1"/>
              </w:rPr>
              <w:t xml:space="preserve">        (interlocutor does </w:t>
            </w:r>
            <w:r w:rsidR="00FB79E5">
              <w:rPr>
                <w:color w:val="000000" w:themeColor="text1"/>
              </w:rPr>
              <w:t>NOT</w:t>
            </w:r>
            <w:r>
              <w:rPr>
                <w:color w:val="000000" w:themeColor="text1"/>
              </w:rPr>
              <w:t xml:space="preserve"> </w:t>
            </w:r>
            <w:r w:rsidR="00FB79E5">
              <w:rPr>
                <w:color w:val="000000" w:themeColor="text1"/>
              </w:rPr>
              <w:t xml:space="preserve">give </w:t>
            </w:r>
            <w:r>
              <w:rPr>
                <w:color w:val="000000" w:themeColor="text1"/>
              </w:rPr>
              <w:t>an arg</w:t>
            </w:r>
            <w:r w:rsidR="00FB79E5">
              <w:rPr>
                <w:color w:val="000000" w:themeColor="text1"/>
              </w:rPr>
              <w:t>ument)</w:t>
            </w:r>
          </w:p>
          <w:p w14:paraId="26296B59" w14:textId="4057B499" w:rsidR="00641B70" w:rsidRDefault="00641B70">
            <w:pPr>
              <w:rPr>
                <w:color w:val="000000" w:themeColor="text1"/>
              </w:rPr>
            </w:pPr>
          </w:p>
        </w:tc>
        <w:tc>
          <w:tcPr>
            <w:tcW w:w="720" w:type="dxa"/>
          </w:tcPr>
          <w:p w14:paraId="4DB121EE" w14:textId="77777777" w:rsidR="00B94F26" w:rsidRDefault="00B94F26" w:rsidP="000F526B">
            <w:pPr>
              <w:jc w:val="center"/>
              <w:rPr>
                <w:color w:val="000000" w:themeColor="text1"/>
              </w:rPr>
            </w:pPr>
            <w:r>
              <w:rPr>
                <w:color w:val="000000" w:themeColor="text1"/>
              </w:rPr>
              <w:t>A</w:t>
            </w:r>
          </w:p>
          <w:p w14:paraId="1F6F7A7C" w14:textId="61408F41" w:rsidR="00B94F26" w:rsidRDefault="00B94F26" w:rsidP="00B94F26">
            <w:pPr>
              <w:jc w:val="center"/>
              <w:rPr>
                <w:color w:val="000000" w:themeColor="text1"/>
              </w:rPr>
            </w:pPr>
            <w:r>
              <w:rPr>
                <w:color w:val="000000" w:themeColor="text1"/>
              </w:rPr>
              <w:t>8</w:t>
            </w:r>
            <w:r w:rsidR="000D2635">
              <w:rPr>
                <w:color w:val="000000" w:themeColor="text1"/>
              </w:rPr>
              <w:t>3</w:t>
            </w:r>
            <w:r>
              <w:rPr>
                <w:color w:val="000000" w:themeColor="text1"/>
              </w:rPr>
              <w:t>%</w:t>
            </w:r>
          </w:p>
          <w:p w14:paraId="6EB7D021" w14:textId="139EC9D1" w:rsidR="00B94F26" w:rsidRDefault="00B94F26" w:rsidP="000F526B">
            <w:pPr>
              <w:jc w:val="center"/>
              <w:rPr>
                <w:color w:val="000000" w:themeColor="text1"/>
              </w:rPr>
            </w:pPr>
          </w:p>
        </w:tc>
        <w:tc>
          <w:tcPr>
            <w:tcW w:w="720" w:type="dxa"/>
          </w:tcPr>
          <w:p w14:paraId="1CB88770" w14:textId="77777777" w:rsidR="006F6F4A" w:rsidRDefault="006F6F4A" w:rsidP="000F526B">
            <w:pPr>
              <w:jc w:val="center"/>
              <w:rPr>
                <w:color w:val="000000" w:themeColor="text1"/>
              </w:rPr>
            </w:pPr>
          </w:p>
        </w:tc>
        <w:tc>
          <w:tcPr>
            <w:tcW w:w="681" w:type="dxa"/>
          </w:tcPr>
          <w:p w14:paraId="0D876CCF" w14:textId="77777777" w:rsidR="006F6F4A" w:rsidRDefault="00B94F26" w:rsidP="000F526B">
            <w:pPr>
              <w:jc w:val="center"/>
              <w:rPr>
                <w:color w:val="000000" w:themeColor="text1"/>
              </w:rPr>
            </w:pPr>
            <w:r>
              <w:rPr>
                <w:color w:val="000000" w:themeColor="text1"/>
              </w:rPr>
              <w:t>N</w:t>
            </w:r>
          </w:p>
          <w:p w14:paraId="31A3318D" w14:textId="046A8585" w:rsidR="00B94F26" w:rsidRDefault="00B94F26" w:rsidP="000F526B">
            <w:pPr>
              <w:jc w:val="center"/>
              <w:rPr>
                <w:color w:val="000000" w:themeColor="text1"/>
              </w:rPr>
            </w:pPr>
            <w:r>
              <w:rPr>
                <w:color w:val="000000" w:themeColor="text1"/>
              </w:rPr>
              <w:t>1</w:t>
            </w:r>
            <w:r w:rsidR="000D2635">
              <w:rPr>
                <w:color w:val="000000" w:themeColor="text1"/>
              </w:rPr>
              <w:t>7</w:t>
            </w:r>
            <w:r>
              <w:rPr>
                <w:color w:val="000000" w:themeColor="text1"/>
              </w:rPr>
              <w:t>%</w:t>
            </w:r>
          </w:p>
        </w:tc>
        <w:tc>
          <w:tcPr>
            <w:tcW w:w="669" w:type="dxa"/>
            <w:shd w:val="pct20" w:color="auto" w:fill="auto"/>
          </w:tcPr>
          <w:p w14:paraId="24B274A3" w14:textId="77777777" w:rsidR="006F6F4A" w:rsidRDefault="004C1FCA" w:rsidP="000F526B">
            <w:pPr>
              <w:jc w:val="center"/>
              <w:rPr>
                <w:color w:val="000000" w:themeColor="text1"/>
              </w:rPr>
            </w:pPr>
            <w:r>
              <w:rPr>
                <w:color w:val="000000" w:themeColor="text1"/>
              </w:rPr>
              <w:t>A</w:t>
            </w:r>
          </w:p>
          <w:p w14:paraId="177B1C96" w14:textId="21DB2101" w:rsidR="000D5166" w:rsidRDefault="000D5166" w:rsidP="000F526B">
            <w:pPr>
              <w:jc w:val="center"/>
              <w:rPr>
                <w:color w:val="000000" w:themeColor="text1"/>
              </w:rPr>
            </w:pPr>
            <w:r>
              <w:rPr>
                <w:color w:val="000000" w:themeColor="text1"/>
              </w:rPr>
              <w:t>88%</w:t>
            </w:r>
          </w:p>
          <w:p w14:paraId="2023C54C" w14:textId="6D314D9B" w:rsidR="000D5166" w:rsidRDefault="000D5166" w:rsidP="000F526B">
            <w:pPr>
              <w:jc w:val="center"/>
              <w:rPr>
                <w:color w:val="000000" w:themeColor="text1"/>
              </w:rPr>
            </w:pPr>
          </w:p>
        </w:tc>
        <w:tc>
          <w:tcPr>
            <w:tcW w:w="720" w:type="dxa"/>
            <w:shd w:val="pct20" w:color="auto" w:fill="auto"/>
          </w:tcPr>
          <w:p w14:paraId="1754C0E4" w14:textId="77777777" w:rsidR="006F6F4A" w:rsidRDefault="006F6F4A" w:rsidP="000F526B">
            <w:pPr>
              <w:jc w:val="center"/>
              <w:rPr>
                <w:color w:val="000000" w:themeColor="text1"/>
              </w:rPr>
            </w:pPr>
          </w:p>
        </w:tc>
        <w:tc>
          <w:tcPr>
            <w:tcW w:w="720" w:type="dxa"/>
            <w:shd w:val="pct20" w:color="auto" w:fill="auto"/>
          </w:tcPr>
          <w:p w14:paraId="56ADB747" w14:textId="77777777" w:rsidR="006F6F4A" w:rsidRDefault="004C1FCA" w:rsidP="000F526B">
            <w:pPr>
              <w:jc w:val="center"/>
              <w:rPr>
                <w:color w:val="000000" w:themeColor="text1"/>
              </w:rPr>
            </w:pPr>
            <w:r>
              <w:rPr>
                <w:color w:val="000000" w:themeColor="text1"/>
              </w:rPr>
              <w:t>N</w:t>
            </w:r>
          </w:p>
          <w:p w14:paraId="5CB0C523" w14:textId="05D31A7E" w:rsidR="000D5166" w:rsidRDefault="000D5166" w:rsidP="000F526B">
            <w:pPr>
              <w:jc w:val="center"/>
              <w:rPr>
                <w:color w:val="000000" w:themeColor="text1"/>
              </w:rPr>
            </w:pPr>
            <w:r>
              <w:rPr>
                <w:color w:val="000000" w:themeColor="text1"/>
              </w:rPr>
              <w:t>12%</w:t>
            </w:r>
          </w:p>
        </w:tc>
      </w:tr>
      <w:tr w:rsidR="008F77B0" w14:paraId="4BCA4BDC" w14:textId="77777777" w:rsidTr="00893467">
        <w:trPr>
          <w:trHeight w:val="316"/>
        </w:trPr>
        <w:tc>
          <w:tcPr>
            <w:tcW w:w="5395" w:type="dxa"/>
            <w:shd w:val="pct20" w:color="auto" w:fill="auto"/>
          </w:tcPr>
          <w:p w14:paraId="5F73DFF5" w14:textId="77777777" w:rsidR="00A80EF3" w:rsidRDefault="00A80EF3" w:rsidP="00A80EF3">
            <w:pPr>
              <w:rPr>
                <w:color w:val="000000" w:themeColor="text1"/>
              </w:rPr>
            </w:pPr>
            <w:r>
              <w:rPr>
                <w:color w:val="000000" w:themeColor="text1"/>
              </w:rPr>
              <w:t xml:space="preserve">Q2:  </w:t>
            </w:r>
            <w:r w:rsidR="00203E05">
              <w:rPr>
                <w:color w:val="000000" w:themeColor="text1"/>
              </w:rPr>
              <w:t>distinguish between argument v non-argument</w:t>
            </w:r>
          </w:p>
          <w:p w14:paraId="65742C54" w14:textId="77777777" w:rsidR="00203E05" w:rsidRDefault="00FB79E5" w:rsidP="00A80EF3">
            <w:pPr>
              <w:rPr>
                <w:color w:val="000000" w:themeColor="text1"/>
              </w:rPr>
            </w:pPr>
            <w:r>
              <w:rPr>
                <w:color w:val="000000" w:themeColor="text1"/>
              </w:rPr>
              <w:t xml:space="preserve">        (interlocutor </w:t>
            </w:r>
            <w:r w:rsidR="001E3EDB">
              <w:rPr>
                <w:color w:val="000000" w:themeColor="text1"/>
              </w:rPr>
              <w:t>DOES</w:t>
            </w:r>
            <w:r>
              <w:rPr>
                <w:color w:val="000000" w:themeColor="text1"/>
              </w:rPr>
              <w:t xml:space="preserve"> give an argument)</w:t>
            </w:r>
          </w:p>
          <w:p w14:paraId="678B4FB3" w14:textId="59B3E565" w:rsidR="00641B70" w:rsidRDefault="00641B70" w:rsidP="00A80EF3">
            <w:pPr>
              <w:rPr>
                <w:color w:val="000000" w:themeColor="text1"/>
              </w:rPr>
            </w:pPr>
          </w:p>
        </w:tc>
        <w:tc>
          <w:tcPr>
            <w:tcW w:w="720" w:type="dxa"/>
          </w:tcPr>
          <w:p w14:paraId="355BB50F" w14:textId="77777777" w:rsidR="00A80EF3" w:rsidRDefault="004C1FCA" w:rsidP="000F526B">
            <w:pPr>
              <w:jc w:val="center"/>
              <w:rPr>
                <w:color w:val="000000" w:themeColor="text1"/>
              </w:rPr>
            </w:pPr>
            <w:r>
              <w:rPr>
                <w:color w:val="000000" w:themeColor="text1"/>
              </w:rPr>
              <w:t>A</w:t>
            </w:r>
          </w:p>
          <w:p w14:paraId="7AE25334" w14:textId="49B3EC17" w:rsidR="002C43A5" w:rsidRDefault="000D2635" w:rsidP="000F526B">
            <w:pPr>
              <w:jc w:val="center"/>
              <w:rPr>
                <w:color w:val="000000" w:themeColor="text1"/>
              </w:rPr>
            </w:pPr>
            <w:r>
              <w:rPr>
                <w:color w:val="000000" w:themeColor="text1"/>
              </w:rPr>
              <w:t>94%</w:t>
            </w:r>
          </w:p>
        </w:tc>
        <w:tc>
          <w:tcPr>
            <w:tcW w:w="720" w:type="dxa"/>
          </w:tcPr>
          <w:p w14:paraId="579EF71D" w14:textId="77777777" w:rsidR="00A80EF3" w:rsidRDefault="00A80EF3" w:rsidP="000F526B">
            <w:pPr>
              <w:jc w:val="center"/>
              <w:rPr>
                <w:color w:val="000000" w:themeColor="text1"/>
              </w:rPr>
            </w:pPr>
          </w:p>
        </w:tc>
        <w:tc>
          <w:tcPr>
            <w:tcW w:w="681" w:type="dxa"/>
          </w:tcPr>
          <w:p w14:paraId="44E37513" w14:textId="77777777" w:rsidR="00A80EF3" w:rsidRDefault="004C1FCA" w:rsidP="000F526B">
            <w:pPr>
              <w:jc w:val="center"/>
              <w:rPr>
                <w:color w:val="000000" w:themeColor="text1"/>
              </w:rPr>
            </w:pPr>
            <w:r>
              <w:rPr>
                <w:color w:val="000000" w:themeColor="text1"/>
              </w:rPr>
              <w:t>N</w:t>
            </w:r>
          </w:p>
          <w:p w14:paraId="74A5445E" w14:textId="24ED3F23" w:rsidR="000D2635" w:rsidRDefault="000D2635" w:rsidP="000F526B">
            <w:pPr>
              <w:jc w:val="center"/>
              <w:rPr>
                <w:color w:val="000000" w:themeColor="text1"/>
              </w:rPr>
            </w:pPr>
            <w:r>
              <w:rPr>
                <w:color w:val="000000" w:themeColor="text1"/>
              </w:rPr>
              <w:t>6%</w:t>
            </w:r>
          </w:p>
        </w:tc>
        <w:tc>
          <w:tcPr>
            <w:tcW w:w="669" w:type="dxa"/>
            <w:shd w:val="pct20" w:color="auto" w:fill="auto"/>
          </w:tcPr>
          <w:p w14:paraId="79F50487" w14:textId="77777777" w:rsidR="00A80EF3" w:rsidRDefault="004C1FCA" w:rsidP="000F526B">
            <w:pPr>
              <w:jc w:val="center"/>
              <w:rPr>
                <w:color w:val="000000" w:themeColor="text1"/>
              </w:rPr>
            </w:pPr>
            <w:r>
              <w:rPr>
                <w:color w:val="000000" w:themeColor="text1"/>
              </w:rPr>
              <w:t>A</w:t>
            </w:r>
          </w:p>
          <w:p w14:paraId="5B8D71BA" w14:textId="79933B2F" w:rsidR="000D5166" w:rsidRDefault="000D5166" w:rsidP="000F526B">
            <w:pPr>
              <w:jc w:val="center"/>
              <w:rPr>
                <w:color w:val="000000" w:themeColor="text1"/>
              </w:rPr>
            </w:pPr>
            <w:r>
              <w:rPr>
                <w:color w:val="000000" w:themeColor="text1"/>
              </w:rPr>
              <w:t>97%</w:t>
            </w:r>
          </w:p>
        </w:tc>
        <w:tc>
          <w:tcPr>
            <w:tcW w:w="720" w:type="dxa"/>
            <w:shd w:val="pct20" w:color="auto" w:fill="auto"/>
          </w:tcPr>
          <w:p w14:paraId="5C50DD09" w14:textId="77777777" w:rsidR="00A80EF3" w:rsidRDefault="00A80EF3" w:rsidP="000F526B">
            <w:pPr>
              <w:jc w:val="center"/>
              <w:rPr>
                <w:color w:val="000000" w:themeColor="text1"/>
              </w:rPr>
            </w:pPr>
          </w:p>
        </w:tc>
        <w:tc>
          <w:tcPr>
            <w:tcW w:w="720" w:type="dxa"/>
            <w:shd w:val="pct20" w:color="auto" w:fill="auto"/>
          </w:tcPr>
          <w:p w14:paraId="15833A7B" w14:textId="77777777" w:rsidR="00A80EF3" w:rsidRDefault="004C1FCA" w:rsidP="000F526B">
            <w:pPr>
              <w:jc w:val="center"/>
              <w:rPr>
                <w:color w:val="000000" w:themeColor="text1"/>
              </w:rPr>
            </w:pPr>
            <w:r>
              <w:rPr>
                <w:color w:val="000000" w:themeColor="text1"/>
              </w:rPr>
              <w:t>N</w:t>
            </w:r>
          </w:p>
          <w:p w14:paraId="033CBA78" w14:textId="1F04092F" w:rsidR="000D5166" w:rsidRDefault="000D5166" w:rsidP="000F526B">
            <w:pPr>
              <w:jc w:val="center"/>
              <w:rPr>
                <w:color w:val="000000" w:themeColor="text1"/>
              </w:rPr>
            </w:pPr>
            <w:r>
              <w:rPr>
                <w:color w:val="000000" w:themeColor="text1"/>
              </w:rPr>
              <w:t>3%</w:t>
            </w:r>
          </w:p>
        </w:tc>
      </w:tr>
      <w:tr w:rsidR="008F77B0" w14:paraId="09A93B73" w14:textId="77777777" w:rsidTr="00893467">
        <w:trPr>
          <w:trHeight w:val="330"/>
        </w:trPr>
        <w:tc>
          <w:tcPr>
            <w:tcW w:w="5395" w:type="dxa"/>
            <w:shd w:val="pct20" w:color="auto" w:fill="auto"/>
          </w:tcPr>
          <w:p w14:paraId="3A25295C" w14:textId="77777777" w:rsidR="00A80EF3" w:rsidRDefault="00A80EF3" w:rsidP="00A80EF3">
            <w:pPr>
              <w:rPr>
                <w:color w:val="000000" w:themeColor="text1"/>
              </w:rPr>
            </w:pPr>
            <w:r>
              <w:rPr>
                <w:color w:val="000000" w:themeColor="text1"/>
              </w:rPr>
              <w:t xml:space="preserve">Q3:  </w:t>
            </w:r>
            <w:r w:rsidR="00203E05">
              <w:rPr>
                <w:color w:val="000000" w:themeColor="text1"/>
              </w:rPr>
              <w:t>distinguish between argument v non-argument</w:t>
            </w:r>
          </w:p>
          <w:p w14:paraId="7FBB1667" w14:textId="77777777" w:rsidR="00203E05" w:rsidRDefault="001E3EDB" w:rsidP="00A80EF3">
            <w:pPr>
              <w:rPr>
                <w:color w:val="000000" w:themeColor="text1"/>
              </w:rPr>
            </w:pPr>
            <w:r>
              <w:rPr>
                <w:color w:val="000000" w:themeColor="text1"/>
              </w:rPr>
              <w:t xml:space="preserve">        (interlocutor DOES give an argument)</w:t>
            </w:r>
          </w:p>
          <w:p w14:paraId="2ACD0E98" w14:textId="34D58E26" w:rsidR="00641B70" w:rsidRDefault="00641B70" w:rsidP="00A80EF3">
            <w:pPr>
              <w:rPr>
                <w:color w:val="000000" w:themeColor="text1"/>
              </w:rPr>
            </w:pPr>
          </w:p>
        </w:tc>
        <w:tc>
          <w:tcPr>
            <w:tcW w:w="720" w:type="dxa"/>
          </w:tcPr>
          <w:p w14:paraId="44034B4E" w14:textId="77777777" w:rsidR="00A80EF3" w:rsidRDefault="004C1FCA" w:rsidP="000F526B">
            <w:pPr>
              <w:jc w:val="center"/>
              <w:rPr>
                <w:color w:val="000000" w:themeColor="text1"/>
              </w:rPr>
            </w:pPr>
            <w:r>
              <w:rPr>
                <w:color w:val="000000" w:themeColor="text1"/>
              </w:rPr>
              <w:t>A</w:t>
            </w:r>
          </w:p>
          <w:p w14:paraId="7216D63D" w14:textId="625ED2A1" w:rsidR="000D2635" w:rsidRDefault="000D2635" w:rsidP="000F526B">
            <w:pPr>
              <w:jc w:val="center"/>
              <w:rPr>
                <w:color w:val="000000" w:themeColor="text1"/>
              </w:rPr>
            </w:pPr>
            <w:r>
              <w:rPr>
                <w:color w:val="000000" w:themeColor="text1"/>
              </w:rPr>
              <w:t>94%</w:t>
            </w:r>
          </w:p>
        </w:tc>
        <w:tc>
          <w:tcPr>
            <w:tcW w:w="720" w:type="dxa"/>
          </w:tcPr>
          <w:p w14:paraId="7125D5C6" w14:textId="77777777" w:rsidR="00A80EF3" w:rsidRDefault="00A80EF3" w:rsidP="000F526B">
            <w:pPr>
              <w:jc w:val="center"/>
              <w:rPr>
                <w:color w:val="000000" w:themeColor="text1"/>
              </w:rPr>
            </w:pPr>
          </w:p>
        </w:tc>
        <w:tc>
          <w:tcPr>
            <w:tcW w:w="681" w:type="dxa"/>
          </w:tcPr>
          <w:p w14:paraId="5DFD1497" w14:textId="77777777" w:rsidR="00A80EF3" w:rsidRDefault="004C1FCA" w:rsidP="000F526B">
            <w:pPr>
              <w:jc w:val="center"/>
              <w:rPr>
                <w:color w:val="000000" w:themeColor="text1"/>
              </w:rPr>
            </w:pPr>
            <w:r>
              <w:rPr>
                <w:color w:val="000000" w:themeColor="text1"/>
              </w:rPr>
              <w:t>N</w:t>
            </w:r>
          </w:p>
          <w:p w14:paraId="2C2C2673" w14:textId="4EEF52AD" w:rsidR="00E01B75" w:rsidRDefault="00E01B75" w:rsidP="000F526B">
            <w:pPr>
              <w:jc w:val="center"/>
              <w:rPr>
                <w:color w:val="000000" w:themeColor="text1"/>
              </w:rPr>
            </w:pPr>
            <w:r>
              <w:rPr>
                <w:color w:val="000000" w:themeColor="text1"/>
              </w:rPr>
              <w:t>6%</w:t>
            </w:r>
          </w:p>
        </w:tc>
        <w:tc>
          <w:tcPr>
            <w:tcW w:w="669" w:type="dxa"/>
            <w:shd w:val="pct20" w:color="auto" w:fill="auto"/>
          </w:tcPr>
          <w:p w14:paraId="6C0CE17C" w14:textId="77777777" w:rsidR="00A80EF3" w:rsidRDefault="004C1FCA" w:rsidP="000F526B">
            <w:pPr>
              <w:jc w:val="center"/>
              <w:rPr>
                <w:color w:val="000000" w:themeColor="text1"/>
              </w:rPr>
            </w:pPr>
            <w:r>
              <w:rPr>
                <w:color w:val="000000" w:themeColor="text1"/>
              </w:rPr>
              <w:t>A</w:t>
            </w:r>
          </w:p>
          <w:p w14:paraId="3F66C8F8" w14:textId="46BA4F23" w:rsidR="000D5166" w:rsidRDefault="00880F56" w:rsidP="000F526B">
            <w:pPr>
              <w:jc w:val="center"/>
              <w:rPr>
                <w:color w:val="000000" w:themeColor="text1"/>
              </w:rPr>
            </w:pPr>
            <w:r>
              <w:rPr>
                <w:color w:val="000000" w:themeColor="text1"/>
              </w:rPr>
              <w:t>98%</w:t>
            </w:r>
          </w:p>
        </w:tc>
        <w:tc>
          <w:tcPr>
            <w:tcW w:w="720" w:type="dxa"/>
            <w:shd w:val="pct20" w:color="auto" w:fill="auto"/>
          </w:tcPr>
          <w:p w14:paraId="6538AB1B" w14:textId="77777777" w:rsidR="00A80EF3" w:rsidRDefault="00A80EF3" w:rsidP="000F526B">
            <w:pPr>
              <w:jc w:val="center"/>
              <w:rPr>
                <w:color w:val="000000" w:themeColor="text1"/>
              </w:rPr>
            </w:pPr>
          </w:p>
        </w:tc>
        <w:tc>
          <w:tcPr>
            <w:tcW w:w="720" w:type="dxa"/>
            <w:shd w:val="pct20" w:color="auto" w:fill="auto"/>
          </w:tcPr>
          <w:p w14:paraId="24252C2D" w14:textId="77777777" w:rsidR="00A80EF3" w:rsidRDefault="004C1FCA" w:rsidP="000F526B">
            <w:pPr>
              <w:jc w:val="center"/>
              <w:rPr>
                <w:color w:val="000000" w:themeColor="text1"/>
              </w:rPr>
            </w:pPr>
            <w:r>
              <w:rPr>
                <w:color w:val="000000" w:themeColor="text1"/>
              </w:rPr>
              <w:t>N</w:t>
            </w:r>
          </w:p>
          <w:p w14:paraId="34CBCDF7" w14:textId="7DBBE625" w:rsidR="00880F56" w:rsidRDefault="00880F56" w:rsidP="000F526B">
            <w:pPr>
              <w:jc w:val="center"/>
              <w:rPr>
                <w:color w:val="000000" w:themeColor="text1"/>
              </w:rPr>
            </w:pPr>
            <w:r>
              <w:rPr>
                <w:color w:val="000000" w:themeColor="text1"/>
              </w:rPr>
              <w:t>2%</w:t>
            </w:r>
          </w:p>
        </w:tc>
      </w:tr>
      <w:tr w:rsidR="008F77B0" w14:paraId="335B75C8" w14:textId="77777777" w:rsidTr="00893467">
        <w:trPr>
          <w:trHeight w:val="316"/>
        </w:trPr>
        <w:tc>
          <w:tcPr>
            <w:tcW w:w="5395" w:type="dxa"/>
            <w:shd w:val="pct20" w:color="auto" w:fill="auto"/>
          </w:tcPr>
          <w:p w14:paraId="0AE0A74C" w14:textId="77777777" w:rsidR="007F6244" w:rsidRDefault="00203E05" w:rsidP="00A80EF3">
            <w:pPr>
              <w:rPr>
                <w:color w:val="000000" w:themeColor="text1"/>
              </w:rPr>
            </w:pPr>
            <w:r>
              <w:rPr>
                <w:color w:val="000000" w:themeColor="text1"/>
              </w:rPr>
              <w:t>Q</w:t>
            </w:r>
            <w:r w:rsidR="00A80C4C">
              <w:rPr>
                <w:color w:val="000000" w:themeColor="text1"/>
              </w:rPr>
              <w:t>4</w:t>
            </w:r>
            <w:r>
              <w:rPr>
                <w:color w:val="000000" w:themeColor="text1"/>
              </w:rPr>
              <w:t xml:space="preserve">:  </w:t>
            </w:r>
            <w:r w:rsidR="003C731F">
              <w:rPr>
                <w:color w:val="000000" w:themeColor="text1"/>
              </w:rPr>
              <w:t>identify</w:t>
            </w:r>
            <w:r>
              <w:rPr>
                <w:color w:val="000000" w:themeColor="text1"/>
              </w:rPr>
              <w:t xml:space="preserve"> invalid argument, specifically </w:t>
            </w:r>
          </w:p>
          <w:p w14:paraId="7D71BCD2" w14:textId="604106E2" w:rsidR="00A80EF3" w:rsidRPr="007F6244" w:rsidRDefault="007F6244" w:rsidP="00A80EF3">
            <w:pPr>
              <w:rPr>
                <w:color w:val="000000" w:themeColor="text1"/>
              </w:rPr>
            </w:pPr>
            <w:r>
              <w:rPr>
                <w:color w:val="000000" w:themeColor="text1"/>
              </w:rPr>
              <w:t xml:space="preserve">       </w:t>
            </w:r>
            <w:r w:rsidR="00203E05">
              <w:rPr>
                <w:color w:val="000000" w:themeColor="text1"/>
              </w:rPr>
              <w:t xml:space="preserve">deductive </w:t>
            </w:r>
            <w:r>
              <w:rPr>
                <w:color w:val="000000" w:themeColor="text1"/>
              </w:rPr>
              <w:t>f</w:t>
            </w:r>
            <w:r w:rsidR="00203E05">
              <w:rPr>
                <w:color w:val="000000" w:themeColor="text1"/>
              </w:rPr>
              <w:t>allacy</w:t>
            </w:r>
            <w:r w:rsidR="007A53E8">
              <w:rPr>
                <w:color w:val="000000" w:themeColor="text1"/>
              </w:rPr>
              <w:t xml:space="preserve">, </w:t>
            </w:r>
            <w:r w:rsidR="00203E05" w:rsidRPr="00203E05">
              <w:rPr>
                <w:i/>
                <w:color w:val="000000" w:themeColor="text1"/>
              </w:rPr>
              <w:t>denying the antecedent</w:t>
            </w:r>
          </w:p>
          <w:p w14:paraId="3C5A5F87" w14:textId="47575C03" w:rsidR="00641B70" w:rsidRDefault="00641B70" w:rsidP="00A80EF3">
            <w:pPr>
              <w:rPr>
                <w:color w:val="000000" w:themeColor="text1"/>
              </w:rPr>
            </w:pPr>
          </w:p>
        </w:tc>
        <w:tc>
          <w:tcPr>
            <w:tcW w:w="720" w:type="dxa"/>
          </w:tcPr>
          <w:p w14:paraId="371A90D4" w14:textId="6E7A7E0A" w:rsidR="00A80EF3" w:rsidRDefault="00E01B75" w:rsidP="000F526B">
            <w:pPr>
              <w:jc w:val="center"/>
              <w:rPr>
                <w:color w:val="000000" w:themeColor="text1"/>
              </w:rPr>
            </w:pPr>
            <w:r>
              <w:rPr>
                <w:color w:val="000000" w:themeColor="text1"/>
              </w:rPr>
              <w:t>A</w:t>
            </w:r>
          </w:p>
          <w:p w14:paraId="3EB4F704" w14:textId="3DEFA2F3" w:rsidR="007A53E8" w:rsidRDefault="00235AF7" w:rsidP="0020668D">
            <w:pPr>
              <w:jc w:val="center"/>
              <w:rPr>
                <w:color w:val="000000" w:themeColor="text1"/>
              </w:rPr>
            </w:pPr>
            <w:r>
              <w:rPr>
                <w:color w:val="000000" w:themeColor="text1"/>
              </w:rPr>
              <w:t>0%</w:t>
            </w:r>
          </w:p>
        </w:tc>
        <w:tc>
          <w:tcPr>
            <w:tcW w:w="720" w:type="dxa"/>
          </w:tcPr>
          <w:p w14:paraId="62C48F16" w14:textId="29B2298B" w:rsidR="007F72CA" w:rsidRDefault="00E01B75" w:rsidP="007F72CA">
            <w:pPr>
              <w:jc w:val="center"/>
              <w:rPr>
                <w:color w:val="000000" w:themeColor="text1"/>
              </w:rPr>
            </w:pPr>
            <w:r>
              <w:rPr>
                <w:color w:val="000000" w:themeColor="text1"/>
              </w:rPr>
              <w:t>S</w:t>
            </w:r>
          </w:p>
          <w:p w14:paraId="3F75266D" w14:textId="28115931" w:rsidR="002D2704" w:rsidRDefault="00A74EE7" w:rsidP="007F72CA">
            <w:pPr>
              <w:jc w:val="center"/>
              <w:rPr>
                <w:color w:val="000000" w:themeColor="text1"/>
              </w:rPr>
            </w:pPr>
            <w:r>
              <w:rPr>
                <w:color w:val="000000" w:themeColor="text1"/>
              </w:rPr>
              <w:t>27%</w:t>
            </w:r>
          </w:p>
        </w:tc>
        <w:tc>
          <w:tcPr>
            <w:tcW w:w="681" w:type="dxa"/>
          </w:tcPr>
          <w:p w14:paraId="182CC042" w14:textId="77777777" w:rsidR="00A80EF3" w:rsidRDefault="00E01B75" w:rsidP="000F526B">
            <w:pPr>
              <w:jc w:val="center"/>
              <w:rPr>
                <w:color w:val="000000" w:themeColor="text1"/>
              </w:rPr>
            </w:pPr>
            <w:r>
              <w:rPr>
                <w:color w:val="000000" w:themeColor="text1"/>
              </w:rPr>
              <w:t>N</w:t>
            </w:r>
          </w:p>
          <w:p w14:paraId="5A8A930D" w14:textId="7C65828E" w:rsidR="00A74EE7" w:rsidRDefault="00A74EE7" w:rsidP="000F526B">
            <w:pPr>
              <w:jc w:val="center"/>
              <w:rPr>
                <w:color w:val="000000" w:themeColor="text1"/>
              </w:rPr>
            </w:pPr>
            <w:r>
              <w:rPr>
                <w:color w:val="000000" w:themeColor="text1"/>
              </w:rPr>
              <w:t>7</w:t>
            </w:r>
            <w:r w:rsidR="0020668D">
              <w:rPr>
                <w:color w:val="000000" w:themeColor="text1"/>
              </w:rPr>
              <w:t>3</w:t>
            </w:r>
            <w:r>
              <w:rPr>
                <w:color w:val="000000" w:themeColor="text1"/>
              </w:rPr>
              <w:t>%</w:t>
            </w:r>
          </w:p>
        </w:tc>
        <w:tc>
          <w:tcPr>
            <w:tcW w:w="669" w:type="dxa"/>
            <w:shd w:val="pct20" w:color="auto" w:fill="auto"/>
          </w:tcPr>
          <w:p w14:paraId="29D9E98F" w14:textId="77777777" w:rsidR="00A80EF3" w:rsidRDefault="00E01B75" w:rsidP="000F526B">
            <w:pPr>
              <w:jc w:val="center"/>
              <w:rPr>
                <w:color w:val="000000" w:themeColor="text1"/>
              </w:rPr>
            </w:pPr>
            <w:r>
              <w:rPr>
                <w:color w:val="000000" w:themeColor="text1"/>
              </w:rPr>
              <w:t>A</w:t>
            </w:r>
          </w:p>
          <w:p w14:paraId="11D4E8CF" w14:textId="38E0E882" w:rsidR="0025616A" w:rsidRDefault="0006166F" w:rsidP="000F526B">
            <w:pPr>
              <w:jc w:val="center"/>
              <w:rPr>
                <w:color w:val="000000" w:themeColor="text1"/>
              </w:rPr>
            </w:pPr>
            <w:r>
              <w:rPr>
                <w:color w:val="000000" w:themeColor="text1"/>
              </w:rPr>
              <w:t>6</w:t>
            </w:r>
            <w:r w:rsidR="0025616A">
              <w:rPr>
                <w:color w:val="000000" w:themeColor="text1"/>
              </w:rPr>
              <w:t>%</w:t>
            </w:r>
          </w:p>
        </w:tc>
        <w:tc>
          <w:tcPr>
            <w:tcW w:w="720" w:type="dxa"/>
            <w:shd w:val="pct20" w:color="auto" w:fill="auto"/>
          </w:tcPr>
          <w:p w14:paraId="4028AD0E" w14:textId="77777777" w:rsidR="00A80EF3" w:rsidRDefault="00E01B75" w:rsidP="000F526B">
            <w:pPr>
              <w:jc w:val="center"/>
              <w:rPr>
                <w:color w:val="000000" w:themeColor="text1"/>
              </w:rPr>
            </w:pPr>
            <w:r>
              <w:rPr>
                <w:color w:val="000000" w:themeColor="text1"/>
              </w:rPr>
              <w:t>S</w:t>
            </w:r>
          </w:p>
          <w:p w14:paraId="2FF419DA" w14:textId="3E0345DB" w:rsidR="0025616A" w:rsidRDefault="0006166F" w:rsidP="000F526B">
            <w:pPr>
              <w:jc w:val="center"/>
              <w:rPr>
                <w:color w:val="000000" w:themeColor="text1"/>
              </w:rPr>
            </w:pPr>
            <w:r>
              <w:rPr>
                <w:color w:val="000000" w:themeColor="text1"/>
              </w:rPr>
              <w:t>31</w:t>
            </w:r>
            <w:r w:rsidR="0025616A">
              <w:rPr>
                <w:color w:val="000000" w:themeColor="text1"/>
              </w:rPr>
              <w:t>%</w:t>
            </w:r>
          </w:p>
        </w:tc>
        <w:tc>
          <w:tcPr>
            <w:tcW w:w="720" w:type="dxa"/>
            <w:shd w:val="pct20" w:color="auto" w:fill="auto"/>
          </w:tcPr>
          <w:p w14:paraId="120AD1AE" w14:textId="77777777" w:rsidR="00A80EF3" w:rsidRDefault="00E01B75" w:rsidP="000F526B">
            <w:pPr>
              <w:jc w:val="center"/>
              <w:rPr>
                <w:color w:val="000000" w:themeColor="text1"/>
              </w:rPr>
            </w:pPr>
            <w:r>
              <w:rPr>
                <w:color w:val="000000" w:themeColor="text1"/>
              </w:rPr>
              <w:t>N</w:t>
            </w:r>
          </w:p>
          <w:p w14:paraId="11382E78" w14:textId="20255D2A" w:rsidR="0025616A" w:rsidRDefault="0025616A" w:rsidP="000F526B">
            <w:pPr>
              <w:jc w:val="center"/>
              <w:rPr>
                <w:color w:val="000000" w:themeColor="text1"/>
              </w:rPr>
            </w:pPr>
            <w:r>
              <w:rPr>
                <w:color w:val="000000" w:themeColor="text1"/>
              </w:rPr>
              <w:t>6</w:t>
            </w:r>
            <w:r w:rsidR="00A67F82">
              <w:rPr>
                <w:color w:val="000000" w:themeColor="text1"/>
              </w:rPr>
              <w:t>3</w:t>
            </w:r>
            <w:r>
              <w:rPr>
                <w:color w:val="000000" w:themeColor="text1"/>
              </w:rPr>
              <w:t>%</w:t>
            </w:r>
          </w:p>
        </w:tc>
      </w:tr>
      <w:tr w:rsidR="008F77B0" w14:paraId="5C84E6AD" w14:textId="77777777" w:rsidTr="00893467">
        <w:trPr>
          <w:trHeight w:val="316"/>
        </w:trPr>
        <w:tc>
          <w:tcPr>
            <w:tcW w:w="5395" w:type="dxa"/>
            <w:shd w:val="pct20" w:color="auto" w:fill="auto"/>
          </w:tcPr>
          <w:p w14:paraId="5D701EAC" w14:textId="65C828C9" w:rsidR="00203E05" w:rsidRDefault="00203E05" w:rsidP="00203E05">
            <w:pPr>
              <w:rPr>
                <w:color w:val="000000" w:themeColor="text1"/>
              </w:rPr>
            </w:pPr>
            <w:r>
              <w:rPr>
                <w:color w:val="000000" w:themeColor="text1"/>
              </w:rPr>
              <w:t>Q</w:t>
            </w:r>
            <w:r w:rsidR="00A80C4C">
              <w:rPr>
                <w:color w:val="000000" w:themeColor="text1"/>
              </w:rPr>
              <w:t>5</w:t>
            </w:r>
            <w:r>
              <w:rPr>
                <w:color w:val="000000" w:themeColor="text1"/>
              </w:rPr>
              <w:t xml:space="preserve">:  </w:t>
            </w:r>
            <w:r w:rsidR="003C731F">
              <w:rPr>
                <w:color w:val="000000" w:themeColor="text1"/>
              </w:rPr>
              <w:t>identify</w:t>
            </w:r>
            <w:r>
              <w:rPr>
                <w:color w:val="000000" w:themeColor="text1"/>
              </w:rPr>
              <w:t xml:space="preserve"> valid argument, specifically deductive </w:t>
            </w:r>
          </w:p>
          <w:p w14:paraId="4F85F834" w14:textId="1132D47C" w:rsidR="00A80EF3" w:rsidRDefault="00203E05" w:rsidP="00203E05">
            <w:pPr>
              <w:rPr>
                <w:i/>
                <w:color w:val="000000" w:themeColor="text1"/>
              </w:rPr>
            </w:pPr>
            <w:r>
              <w:rPr>
                <w:color w:val="000000" w:themeColor="text1"/>
              </w:rPr>
              <w:t xml:space="preserve">        argument form</w:t>
            </w:r>
            <w:r w:rsidR="007A53E8">
              <w:rPr>
                <w:color w:val="000000" w:themeColor="text1"/>
              </w:rPr>
              <w:t>,</w:t>
            </w:r>
            <w:r>
              <w:rPr>
                <w:color w:val="000000" w:themeColor="text1"/>
              </w:rPr>
              <w:t xml:space="preserve"> </w:t>
            </w:r>
            <w:r w:rsidRPr="00203E05">
              <w:rPr>
                <w:i/>
                <w:color w:val="000000" w:themeColor="text1"/>
              </w:rPr>
              <w:t>modus ponens</w:t>
            </w:r>
          </w:p>
          <w:p w14:paraId="56C2385F" w14:textId="0F65CD69" w:rsidR="00641B70" w:rsidRDefault="00641B70" w:rsidP="00203E05">
            <w:pPr>
              <w:rPr>
                <w:color w:val="000000" w:themeColor="text1"/>
              </w:rPr>
            </w:pPr>
          </w:p>
        </w:tc>
        <w:tc>
          <w:tcPr>
            <w:tcW w:w="720" w:type="dxa"/>
          </w:tcPr>
          <w:p w14:paraId="1ED46B8D" w14:textId="77777777" w:rsidR="00A80EF3" w:rsidRDefault="00E01B75" w:rsidP="000F526B">
            <w:pPr>
              <w:jc w:val="center"/>
              <w:rPr>
                <w:color w:val="000000" w:themeColor="text1"/>
              </w:rPr>
            </w:pPr>
            <w:r>
              <w:rPr>
                <w:color w:val="000000" w:themeColor="text1"/>
              </w:rPr>
              <w:t>A</w:t>
            </w:r>
          </w:p>
          <w:p w14:paraId="224CE54A" w14:textId="43F448A2" w:rsidR="00171E32" w:rsidRDefault="00216D01" w:rsidP="000F526B">
            <w:pPr>
              <w:jc w:val="center"/>
              <w:rPr>
                <w:color w:val="000000" w:themeColor="text1"/>
              </w:rPr>
            </w:pPr>
            <w:r>
              <w:rPr>
                <w:color w:val="000000" w:themeColor="text1"/>
              </w:rPr>
              <w:t>0</w:t>
            </w:r>
            <w:r w:rsidR="00171E32">
              <w:rPr>
                <w:color w:val="000000" w:themeColor="text1"/>
              </w:rPr>
              <w:t>%</w:t>
            </w:r>
          </w:p>
        </w:tc>
        <w:tc>
          <w:tcPr>
            <w:tcW w:w="720" w:type="dxa"/>
          </w:tcPr>
          <w:p w14:paraId="378823B1" w14:textId="77777777" w:rsidR="00A80EF3" w:rsidRDefault="00E01B75" w:rsidP="000F526B">
            <w:pPr>
              <w:jc w:val="center"/>
              <w:rPr>
                <w:color w:val="000000" w:themeColor="text1"/>
              </w:rPr>
            </w:pPr>
            <w:r>
              <w:rPr>
                <w:color w:val="000000" w:themeColor="text1"/>
              </w:rPr>
              <w:t>S</w:t>
            </w:r>
          </w:p>
          <w:p w14:paraId="7B04FC1B" w14:textId="4B5557CB" w:rsidR="00171E32" w:rsidRDefault="00171E32" w:rsidP="000F526B">
            <w:pPr>
              <w:jc w:val="center"/>
              <w:rPr>
                <w:color w:val="000000" w:themeColor="text1"/>
              </w:rPr>
            </w:pPr>
            <w:r>
              <w:rPr>
                <w:color w:val="000000" w:themeColor="text1"/>
              </w:rPr>
              <w:t>12%</w:t>
            </w:r>
          </w:p>
        </w:tc>
        <w:tc>
          <w:tcPr>
            <w:tcW w:w="681" w:type="dxa"/>
          </w:tcPr>
          <w:p w14:paraId="0CA78615" w14:textId="77777777" w:rsidR="00A80EF3" w:rsidRDefault="00E01B75" w:rsidP="000F526B">
            <w:pPr>
              <w:jc w:val="center"/>
              <w:rPr>
                <w:color w:val="000000" w:themeColor="text1"/>
              </w:rPr>
            </w:pPr>
            <w:r>
              <w:rPr>
                <w:color w:val="000000" w:themeColor="text1"/>
              </w:rPr>
              <w:t>N</w:t>
            </w:r>
          </w:p>
          <w:p w14:paraId="433C222B" w14:textId="67D10F07" w:rsidR="00AC385A" w:rsidRDefault="00171E32" w:rsidP="000F526B">
            <w:pPr>
              <w:jc w:val="center"/>
              <w:rPr>
                <w:color w:val="000000" w:themeColor="text1"/>
              </w:rPr>
            </w:pPr>
            <w:r>
              <w:rPr>
                <w:color w:val="000000" w:themeColor="text1"/>
              </w:rPr>
              <w:t>8</w:t>
            </w:r>
            <w:r w:rsidR="00216D01">
              <w:rPr>
                <w:color w:val="000000" w:themeColor="text1"/>
              </w:rPr>
              <w:t>8</w:t>
            </w:r>
            <w:r w:rsidR="00AC385A">
              <w:rPr>
                <w:color w:val="000000" w:themeColor="text1"/>
              </w:rPr>
              <w:t>%</w:t>
            </w:r>
          </w:p>
        </w:tc>
        <w:tc>
          <w:tcPr>
            <w:tcW w:w="669" w:type="dxa"/>
            <w:shd w:val="pct20" w:color="auto" w:fill="auto"/>
          </w:tcPr>
          <w:p w14:paraId="4FCE0596" w14:textId="77777777" w:rsidR="00A80EF3" w:rsidRDefault="00E01B75" w:rsidP="000F526B">
            <w:pPr>
              <w:jc w:val="center"/>
              <w:rPr>
                <w:color w:val="000000" w:themeColor="text1"/>
              </w:rPr>
            </w:pPr>
            <w:r>
              <w:rPr>
                <w:color w:val="000000" w:themeColor="text1"/>
              </w:rPr>
              <w:t>A</w:t>
            </w:r>
          </w:p>
          <w:p w14:paraId="747A9F59" w14:textId="3507A676" w:rsidR="00621E65" w:rsidRDefault="00621E65" w:rsidP="000F526B">
            <w:pPr>
              <w:jc w:val="center"/>
              <w:rPr>
                <w:color w:val="000000" w:themeColor="text1"/>
              </w:rPr>
            </w:pPr>
            <w:r>
              <w:rPr>
                <w:color w:val="000000" w:themeColor="text1"/>
              </w:rPr>
              <w:t>6%</w:t>
            </w:r>
          </w:p>
        </w:tc>
        <w:tc>
          <w:tcPr>
            <w:tcW w:w="720" w:type="dxa"/>
            <w:shd w:val="pct20" w:color="auto" w:fill="auto"/>
          </w:tcPr>
          <w:p w14:paraId="20D92599" w14:textId="77777777" w:rsidR="00A80EF3" w:rsidRDefault="00E01B75" w:rsidP="000F526B">
            <w:pPr>
              <w:jc w:val="center"/>
              <w:rPr>
                <w:color w:val="000000" w:themeColor="text1"/>
              </w:rPr>
            </w:pPr>
            <w:r>
              <w:rPr>
                <w:color w:val="000000" w:themeColor="text1"/>
              </w:rPr>
              <w:t>S</w:t>
            </w:r>
          </w:p>
          <w:p w14:paraId="1F401258" w14:textId="79D8979E" w:rsidR="00621E65" w:rsidRDefault="00621E65" w:rsidP="000F526B">
            <w:pPr>
              <w:jc w:val="center"/>
              <w:rPr>
                <w:color w:val="000000" w:themeColor="text1"/>
              </w:rPr>
            </w:pPr>
            <w:r>
              <w:rPr>
                <w:color w:val="000000" w:themeColor="text1"/>
              </w:rPr>
              <w:t>18%</w:t>
            </w:r>
          </w:p>
        </w:tc>
        <w:tc>
          <w:tcPr>
            <w:tcW w:w="720" w:type="dxa"/>
            <w:shd w:val="pct20" w:color="auto" w:fill="auto"/>
          </w:tcPr>
          <w:p w14:paraId="2612BDA8" w14:textId="77777777" w:rsidR="00A80EF3" w:rsidRDefault="00E01B75" w:rsidP="000F526B">
            <w:pPr>
              <w:jc w:val="center"/>
              <w:rPr>
                <w:color w:val="000000" w:themeColor="text1"/>
              </w:rPr>
            </w:pPr>
            <w:r>
              <w:rPr>
                <w:color w:val="000000" w:themeColor="text1"/>
              </w:rPr>
              <w:t>N</w:t>
            </w:r>
          </w:p>
          <w:p w14:paraId="74F7ABC0" w14:textId="32FB6C62" w:rsidR="00621E65" w:rsidRDefault="00621E65" w:rsidP="000F526B">
            <w:pPr>
              <w:jc w:val="center"/>
              <w:rPr>
                <w:color w:val="000000" w:themeColor="text1"/>
              </w:rPr>
            </w:pPr>
            <w:r>
              <w:rPr>
                <w:color w:val="000000" w:themeColor="text1"/>
              </w:rPr>
              <w:t>76%</w:t>
            </w:r>
          </w:p>
        </w:tc>
      </w:tr>
      <w:tr w:rsidR="008F77B0" w14:paraId="195DA044" w14:textId="77777777" w:rsidTr="00893467">
        <w:trPr>
          <w:trHeight w:val="316"/>
        </w:trPr>
        <w:tc>
          <w:tcPr>
            <w:tcW w:w="5395" w:type="dxa"/>
            <w:shd w:val="pct20" w:color="auto" w:fill="auto"/>
          </w:tcPr>
          <w:p w14:paraId="46843F3D" w14:textId="77777777" w:rsidR="00AC385A" w:rsidRDefault="003C731F" w:rsidP="003C731F">
            <w:pPr>
              <w:rPr>
                <w:color w:val="000000" w:themeColor="text1"/>
              </w:rPr>
            </w:pPr>
            <w:r>
              <w:rPr>
                <w:color w:val="000000" w:themeColor="text1"/>
              </w:rPr>
              <w:t xml:space="preserve">Q6:  identify inductive argument, asking how it </w:t>
            </w:r>
          </w:p>
          <w:p w14:paraId="658C9DF8" w14:textId="6D103E49" w:rsidR="00A80EF3" w:rsidRPr="00D9249F" w:rsidRDefault="00AC385A" w:rsidP="003C731F">
            <w:pPr>
              <w:rPr>
                <w:color w:val="000000" w:themeColor="text1"/>
              </w:rPr>
            </w:pPr>
            <w:r>
              <w:rPr>
                <w:color w:val="000000" w:themeColor="text1"/>
              </w:rPr>
              <w:t xml:space="preserve">        </w:t>
            </w:r>
            <w:r w:rsidR="003C731F">
              <w:rPr>
                <w:color w:val="000000" w:themeColor="text1"/>
              </w:rPr>
              <w:t xml:space="preserve">could be made even </w:t>
            </w:r>
            <w:r w:rsidR="003C731F" w:rsidRPr="00352B86">
              <w:rPr>
                <w:i/>
                <w:color w:val="000000" w:themeColor="text1"/>
              </w:rPr>
              <w:t>stronger</w:t>
            </w:r>
          </w:p>
          <w:p w14:paraId="7192537C" w14:textId="618FD288" w:rsidR="00641B70" w:rsidRDefault="00641B70" w:rsidP="003C731F">
            <w:pPr>
              <w:rPr>
                <w:color w:val="000000" w:themeColor="text1"/>
              </w:rPr>
            </w:pPr>
          </w:p>
        </w:tc>
        <w:tc>
          <w:tcPr>
            <w:tcW w:w="720" w:type="dxa"/>
          </w:tcPr>
          <w:p w14:paraId="424AC2D4" w14:textId="77777777" w:rsidR="00A80EF3" w:rsidRDefault="00E01B75" w:rsidP="000F526B">
            <w:pPr>
              <w:jc w:val="center"/>
              <w:rPr>
                <w:color w:val="000000" w:themeColor="text1"/>
              </w:rPr>
            </w:pPr>
            <w:r>
              <w:rPr>
                <w:color w:val="000000" w:themeColor="text1"/>
              </w:rPr>
              <w:t>A</w:t>
            </w:r>
          </w:p>
          <w:p w14:paraId="01739FB3" w14:textId="006AA18D" w:rsidR="00AC385A" w:rsidRDefault="00AC385A" w:rsidP="000F526B">
            <w:pPr>
              <w:jc w:val="center"/>
              <w:rPr>
                <w:color w:val="000000" w:themeColor="text1"/>
              </w:rPr>
            </w:pPr>
            <w:r>
              <w:rPr>
                <w:color w:val="000000" w:themeColor="text1"/>
              </w:rPr>
              <w:t>18%</w:t>
            </w:r>
          </w:p>
        </w:tc>
        <w:tc>
          <w:tcPr>
            <w:tcW w:w="720" w:type="dxa"/>
          </w:tcPr>
          <w:p w14:paraId="1D390855" w14:textId="15C442F1" w:rsidR="00A80EF3" w:rsidRDefault="00E01B75" w:rsidP="000F526B">
            <w:pPr>
              <w:jc w:val="center"/>
              <w:rPr>
                <w:color w:val="000000" w:themeColor="text1"/>
              </w:rPr>
            </w:pPr>
            <w:r>
              <w:rPr>
                <w:color w:val="000000" w:themeColor="text1"/>
              </w:rPr>
              <w:t>S</w:t>
            </w:r>
          </w:p>
          <w:p w14:paraId="2548CB2E" w14:textId="4BD7F19C" w:rsidR="00AC385A" w:rsidRDefault="001E2C47" w:rsidP="000F526B">
            <w:pPr>
              <w:jc w:val="center"/>
              <w:rPr>
                <w:color w:val="000000" w:themeColor="text1"/>
              </w:rPr>
            </w:pPr>
            <w:r>
              <w:rPr>
                <w:color w:val="000000" w:themeColor="text1"/>
              </w:rPr>
              <w:t>4</w:t>
            </w:r>
            <w:r w:rsidR="00AC385A">
              <w:rPr>
                <w:color w:val="000000" w:themeColor="text1"/>
              </w:rPr>
              <w:t>6%</w:t>
            </w:r>
          </w:p>
          <w:p w14:paraId="4BC2368C" w14:textId="1537EAD7" w:rsidR="00AC385A" w:rsidRDefault="00AC385A" w:rsidP="000F526B">
            <w:pPr>
              <w:jc w:val="center"/>
              <w:rPr>
                <w:color w:val="000000" w:themeColor="text1"/>
              </w:rPr>
            </w:pPr>
          </w:p>
        </w:tc>
        <w:tc>
          <w:tcPr>
            <w:tcW w:w="681" w:type="dxa"/>
          </w:tcPr>
          <w:p w14:paraId="4C425646" w14:textId="77777777" w:rsidR="00A80EF3" w:rsidRDefault="00E01B75" w:rsidP="000F526B">
            <w:pPr>
              <w:jc w:val="center"/>
              <w:rPr>
                <w:color w:val="000000" w:themeColor="text1"/>
              </w:rPr>
            </w:pPr>
            <w:r>
              <w:rPr>
                <w:color w:val="000000" w:themeColor="text1"/>
              </w:rPr>
              <w:t>N</w:t>
            </w:r>
          </w:p>
          <w:p w14:paraId="45285CF6" w14:textId="23279E31" w:rsidR="00AC385A" w:rsidRDefault="001E2C47" w:rsidP="000F526B">
            <w:pPr>
              <w:jc w:val="center"/>
              <w:rPr>
                <w:color w:val="000000" w:themeColor="text1"/>
              </w:rPr>
            </w:pPr>
            <w:r>
              <w:rPr>
                <w:color w:val="000000" w:themeColor="text1"/>
              </w:rPr>
              <w:t>3</w:t>
            </w:r>
            <w:r w:rsidR="00AC385A">
              <w:rPr>
                <w:color w:val="000000" w:themeColor="text1"/>
              </w:rPr>
              <w:t>6%</w:t>
            </w:r>
          </w:p>
        </w:tc>
        <w:tc>
          <w:tcPr>
            <w:tcW w:w="669" w:type="dxa"/>
            <w:shd w:val="pct20" w:color="auto" w:fill="auto"/>
          </w:tcPr>
          <w:p w14:paraId="1560EB47" w14:textId="77777777" w:rsidR="00A80EF3" w:rsidRDefault="00E01B75" w:rsidP="000F526B">
            <w:pPr>
              <w:jc w:val="center"/>
              <w:rPr>
                <w:color w:val="000000" w:themeColor="text1"/>
              </w:rPr>
            </w:pPr>
            <w:r>
              <w:rPr>
                <w:color w:val="000000" w:themeColor="text1"/>
              </w:rPr>
              <w:t>A</w:t>
            </w:r>
          </w:p>
          <w:p w14:paraId="7AA57F68" w14:textId="42E1A929" w:rsidR="00091580" w:rsidRDefault="00091580" w:rsidP="000F526B">
            <w:pPr>
              <w:jc w:val="center"/>
              <w:rPr>
                <w:color w:val="000000" w:themeColor="text1"/>
              </w:rPr>
            </w:pPr>
            <w:r>
              <w:rPr>
                <w:color w:val="000000" w:themeColor="text1"/>
              </w:rPr>
              <w:t>32%</w:t>
            </w:r>
          </w:p>
        </w:tc>
        <w:tc>
          <w:tcPr>
            <w:tcW w:w="720" w:type="dxa"/>
            <w:shd w:val="pct20" w:color="auto" w:fill="auto"/>
          </w:tcPr>
          <w:p w14:paraId="7881E046" w14:textId="77777777" w:rsidR="00A80EF3" w:rsidRDefault="00E01B75" w:rsidP="000F526B">
            <w:pPr>
              <w:jc w:val="center"/>
              <w:rPr>
                <w:color w:val="000000" w:themeColor="text1"/>
              </w:rPr>
            </w:pPr>
            <w:r>
              <w:rPr>
                <w:color w:val="000000" w:themeColor="text1"/>
              </w:rPr>
              <w:t>S</w:t>
            </w:r>
          </w:p>
          <w:p w14:paraId="3A15B2FD" w14:textId="5A62DA17" w:rsidR="00091580" w:rsidRDefault="00091580" w:rsidP="000F526B">
            <w:pPr>
              <w:jc w:val="center"/>
              <w:rPr>
                <w:color w:val="000000" w:themeColor="text1"/>
              </w:rPr>
            </w:pPr>
            <w:r>
              <w:rPr>
                <w:color w:val="000000" w:themeColor="text1"/>
              </w:rPr>
              <w:t>57%</w:t>
            </w:r>
          </w:p>
        </w:tc>
        <w:tc>
          <w:tcPr>
            <w:tcW w:w="720" w:type="dxa"/>
            <w:shd w:val="pct20" w:color="auto" w:fill="auto"/>
          </w:tcPr>
          <w:p w14:paraId="7740EE85" w14:textId="77777777" w:rsidR="00A80EF3" w:rsidRDefault="00E01B75" w:rsidP="000F526B">
            <w:pPr>
              <w:jc w:val="center"/>
              <w:rPr>
                <w:color w:val="000000" w:themeColor="text1"/>
              </w:rPr>
            </w:pPr>
            <w:r>
              <w:rPr>
                <w:color w:val="000000" w:themeColor="text1"/>
              </w:rPr>
              <w:t>N</w:t>
            </w:r>
          </w:p>
          <w:p w14:paraId="38831F89" w14:textId="67291390" w:rsidR="00091580" w:rsidRDefault="00091580" w:rsidP="000F526B">
            <w:pPr>
              <w:jc w:val="center"/>
              <w:rPr>
                <w:color w:val="000000" w:themeColor="text1"/>
              </w:rPr>
            </w:pPr>
            <w:r>
              <w:rPr>
                <w:color w:val="000000" w:themeColor="text1"/>
              </w:rPr>
              <w:t>15%</w:t>
            </w:r>
          </w:p>
        </w:tc>
      </w:tr>
      <w:tr w:rsidR="008F77B0" w14:paraId="34CCC0DB" w14:textId="77777777" w:rsidTr="00893467">
        <w:trPr>
          <w:trHeight w:val="316"/>
        </w:trPr>
        <w:tc>
          <w:tcPr>
            <w:tcW w:w="5395" w:type="dxa"/>
            <w:shd w:val="pct20" w:color="auto" w:fill="auto"/>
          </w:tcPr>
          <w:p w14:paraId="472E3016" w14:textId="0A8FAEEB" w:rsidR="006B66FB" w:rsidRDefault="006B66FB" w:rsidP="00A80EF3">
            <w:pPr>
              <w:rPr>
                <w:color w:val="000000" w:themeColor="text1"/>
              </w:rPr>
            </w:pPr>
            <w:r>
              <w:rPr>
                <w:color w:val="000000" w:themeColor="text1"/>
              </w:rPr>
              <w:t xml:space="preserve">Q7:  distinguish between </w:t>
            </w:r>
            <w:r w:rsidRPr="00352B86">
              <w:rPr>
                <w:i/>
                <w:color w:val="000000" w:themeColor="text1"/>
              </w:rPr>
              <w:t>validity</w:t>
            </w:r>
            <w:r>
              <w:rPr>
                <w:color w:val="000000" w:themeColor="text1"/>
              </w:rPr>
              <w:t xml:space="preserve"> and </w:t>
            </w:r>
            <w:r w:rsidRPr="00352B86">
              <w:rPr>
                <w:i/>
                <w:color w:val="000000" w:themeColor="text1"/>
              </w:rPr>
              <w:t>soundness</w:t>
            </w:r>
          </w:p>
          <w:p w14:paraId="1B4E2E43" w14:textId="11A9D7B1" w:rsidR="006B66FB" w:rsidRDefault="006B66FB" w:rsidP="00A80EF3">
            <w:pPr>
              <w:rPr>
                <w:color w:val="000000" w:themeColor="text1"/>
              </w:rPr>
            </w:pPr>
            <w:r>
              <w:rPr>
                <w:color w:val="000000" w:themeColor="text1"/>
              </w:rPr>
              <w:t xml:space="preserve">        (</w:t>
            </w:r>
            <w:r w:rsidR="007A53E8">
              <w:rPr>
                <w:color w:val="000000" w:themeColor="text1"/>
              </w:rPr>
              <w:t>valid argument with true or</w:t>
            </w:r>
            <w:r>
              <w:rPr>
                <w:color w:val="000000" w:themeColor="text1"/>
              </w:rPr>
              <w:t xml:space="preserve"> untrue premises)</w:t>
            </w:r>
          </w:p>
          <w:p w14:paraId="37DA0DD8" w14:textId="5E9528E1" w:rsidR="00641B70" w:rsidRDefault="00641B70" w:rsidP="00A80EF3">
            <w:pPr>
              <w:rPr>
                <w:color w:val="000000" w:themeColor="text1"/>
              </w:rPr>
            </w:pPr>
          </w:p>
        </w:tc>
        <w:tc>
          <w:tcPr>
            <w:tcW w:w="720" w:type="dxa"/>
          </w:tcPr>
          <w:p w14:paraId="29B93DFF" w14:textId="2D4B149A" w:rsidR="00A80EF3" w:rsidRDefault="00E01B75" w:rsidP="000F526B">
            <w:pPr>
              <w:jc w:val="center"/>
              <w:rPr>
                <w:color w:val="000000" w:themeColor="text1"/>
              </w:rPr>
            </w:pPr>
            <w:r>
              <w:rPr>
                <w:color w:val="000000" w:themeColor="text1"/>
              </w:rPr>
              <w:t>A</w:t>
            </w:r>
          </w:p>
          <w:p w14:paraId="346226FF" w14:textId="000A7870" w:rsidR="00235AF7" w:rsidRDefault="00235AF7" w:rsidP="000F526B">
            <w:pPr>
              <w:jc w:val="center"/>
              <w:rPr>
                <w:color w:val="000000" w:themeColor="text1"/>
              </w:rPr>
            </w:pPr>
            <w:r>
              <w:rPr>
                <w:color w:val="000000" w:themeColor="text1"/>
              </w:rPr>
              <w:t>0%</w:t>
            </w:r>
          </w:p>
          <w:p w14:paraId="5950866C" w14:textId="4A86A01C" w:rsidR="00357E5B" w:rsidRDefault="00357E5B" w:rsidP="000F526B">
            <w:pPr>
              <w:jc w:val="center"/>
              <w:rPr>
                <w:color w:val="000000" w:themeColor="text1"/>
              </w:rPr>
            </w:pPr>
          </w:p>
        </w:tc>
        <w:tc>
          <w:tcPr>
            <w:tcW w:w="720" w:type="dxa"/>
          </w:tcPr>
          <w:p w14:paraId="2601F361" w14:textId="77777777" w:rsidR="00A80EF3" w:rsidRDefault="00E01B75" w:rsidP="000F526B">
            <w:pPr>
              <w:jc w:val="center"/>
              <w:rPr>
                <w:color w:val="000000" w:themeColor="text1"/>
              </w:rPr>
            </w:pPr>
            <w:r>
              <w:rPr>
                <w:color w:val="000000" w:themeColor="text1"/>
              </w:rPr>
              <w:t>S</w:t>
            </w:r>
          </w:p>
          <w:p w14:paraId="0141CA56" w14:textId="2623DCC8" w:rsidR="00333E47" w:rsidRDefault="00AA12A3" w:rsidP="000F526B">
            <w:pPr>
              <w:jc w:val="center"/>
              <w:rPr>
                <w:color w:val="000000" w:themeColor="text1"/>
              </w:rPr>
            </w:pPr>
            <w:r>
              <w:rPr>
                <w:color w:val="000000" w:themeColor="text1"/>
              </w:rPr>
              <w:t>36</w:t>
            </w:r>
            <w:r w:rsidR="00333E47">
              <w:rPr>
                <w:color w:val="000000" w:themeColor="text1"/>
              </w:rPr>
              <w:t>%</w:t>
            </w:r>
          </w:p>
        </w:tc>
        <w:tc>
          <w:tcPr>
            <w:tcW w:w="681" w:type="dxa"/>
          </w:tcPr>
          <w:p w14:paraId="07811F9B" w14:textId="77777777" w:rsidR="00A80EF3" w:rsidRDefault="00E01B75" w:rsidP="000F526B">
            <w:pPr>
              <w:jc w:val="center"/>
              <w:rPr>
                <w:color w:val="000000" w:themeColor="text1"/>
              </w:rPr>
            </w:pPr>
            <w:r>
              <w:rPr>
                <w:color w:val="000000" w:themeColor="text1"/>
              </w:rPr>
              <w:t>N</w:t>
            </w:r>
          </w:p>
          <w:p w14:paraId="3AE526E3" w14:textId="48BCEB45" w:rsidR="00333E47" w:rsidRDefault="00AA12A3" w:rsidP="000F526B">
            <w:pPr>
              <w:jc w:val="center"/>
              <w:rPr>
                <w:color w:val="000000" w:themeColor="text1"/>
              </w:rPr>
            </w:pPr>
            <w:r>
              <w:rPr>
                <w:color w:val="000000" w:themeColor="text1"/>
              </w:rPr>
              <w:t>64</w:t>
            </w:r>
            <w:r w:rsidR="00333E47">
              <w:rPr>
                <w:color w:val="000000" w:themeColor="text1"/>
              </w:rPr>
              <w:t>%</w:t>
            </w:r>
          </w:p>
        </w:tc>
        <w:tc>
          <w:tcPr>
            <w:tcW w:w="669" w:type="dxa"/>
            <w:shd w:val="pct20" w:color="auto" w:fill="auto"/>
          </w:tcPr>
          <w:p w14:paraId="19C3A930" w14:textId="77777777" w:rsidR="00A80EF3" w:rsidRDefault="00E01B75" w:rsidP="000F526B">
            <w:pPr>
              <w:jc w:val="center"/>
              <w:rPr>
                <w:color w:val="000000" w:themeColor="text1"/>
              </w:rPr>
            </w:pPr>
            <w:r>
              <w:rPr>
                <w:color w:val="000000" w:themeColor="text1"/>
              </w:rPr>
              <w:t>A</w:t>
            </w:r>
          </w:p>
          <w:p w14:paraId="043DA847" w14:textId="6EA0CFDD" w:rsidR="000D5166" w:rsidRDefault="000D5166" w:rsidP="000F526B">
            <w:pPr>
              <w:jc w:val="center"/>
              <w:rPr>
                <w:color w:val="000000" w:themeColor="text1"/>
              </w:rPr>
            </w:pPr>
            <w:r>
              <w:rPr>
                <w:color w:val="000000" w:themeColor="text1"/>
              </w:rPr>
              <w:t>8%</w:t>
            </w:r>
          </w:p>
        </w:tc>
        <w:tc>
          <w:tcPr>
            <w:tcW w:w="720" w:type="dxa"/>
            <w:shd w:val="pct20" w:color="auto" w:fill="auto"/>
          </w:tcPr>
          <w:p w14:paraId="09EADB98" w14:textId="77777777" w:rsidR="00A80EF3" w:rsidRDefault="00E01B75" w:rsidP="000F526B">
            <w:pPr>
              <w:jc w:val="center"/>
              <w:rPr>
                <w:color w:val="000000" w:themeColor="text1"/>
              </w:rPr>
            </w:pPr>
            <w:r>
              <w:rPr>
                <w:color w:val="000000" w:themeColor="text1"/>
              </w:rPr>
              <w:t>S</w:t>
            </w:r>
          </w:p>
          <w:p w14:paraId="4C6D6064" w14:textId="4ACACB3E" w:rsidR="000D5166" w:rsidRDefault="000D5166" w:rsidP="000F526B">
            <w:pPr>
              <w:jc w:val="center"/>
              <w:rPr>
                <w:color w:val="000000" w:themeColor="text1"/>
              </w:rPr>
            </w:pPr>
            <w:r>
              <w:rPr>
                <w:color w:val="000000" w:themeColor="text1"/>
              </w:rPr>
              <w:t>35%</w:t>
            </w:r>
          </w:p>
        </w:tc>
        <w:tc>
          <w:tcPr>
            <w:tcW w:w="720" w:type="dxa"/>
            <w:shd w:val="pct20" w:color="auto" w:fill="auto"/>
          </w:tcPr>
          <w:p w14:paraId="7F5D208C" w14:textId="77777777" w:rsidR="00A80EF3" w:rsidRDefault="00E01B75" w:rsidP="000F526B">
            <w:pPr>
              <w:jc w:val="center"/>
              <w:rPr>
                <w:color w:val="000000" w:themeColor="text1"/>
              </w:rPr>
            </w:pPr>
            <w:r>
              <w:rPr>
                <w:color w:val="000000" w:themeColor="text1"/>
              </w:rPr>
              <w:t>N</w:t>
            </w:r>
          </w:p>
          <w:p w14:paraId="0411AAA9" w14:textId="7144A643" w:rsidR="000D5166" w:rsidRDefault="000D5166" w:rsidP="000F526B">
            <w:pPr>
              <w:jc w:val="center"/>
              <w:rPr>
                <w:color w:val="000000" w:themeColor="text1"/>
              </w:rPr>
            </w:pPr>
            <w:r>
              <w:rPr>
                <w:color w:val="000000" w:themeColor="text1"/>
              </w:rPr>
              <w:t>57%</w:t>
            </w:r>
          </w:p>
        </w:tc>
      </w:tr>
      <w:tr w:rsidR="008F77B0" w14:paraId="4F6B5990" w14:textId="77777777" w:rsidTr="00893467">
        <w:trPr>
          <w:trHeight w:val="316"/>
        </w:trPr>
        <w:tc>
          <w:tcPr>
            <w:tcW w:w="5395" w:type="dxa"/>
            <w:shd w:val="pct20" w:color="auto" w:fill="auto"/>
          </w:tcPr>
          <w:p w14:paraId="65FE2936" w14:textId="77777777" w:rsidR="004276BB" w:rsidRDefault="006B66FB" w:rsidP="00A80EF3">
            <w:pPr>
              <w:rPr>
                <w:color w:val="000000" w:themeColor="text1"/>
              </w:rPr>
            </w:pPr>
            <w:r>
              <w:rPr>
                <w:color w:val="000000" w:themeColor="text1"/>
              </w:rPr>
              <w:t xml:space="preserve">Q8:  identify </w:t>
            </w:r>
            <w:r w:rsidR="00A039E0">
              <w:rPr>
                <w:color w:val="000000" w:themeColor="text1"/>
              </w:rPr>
              <w:t xml:space="preserve">informal fallacy of </w:t>
            </w:r>
          </w:p>
          <w:p w14:paraId="4C5F0FE6" w14:textId="56DE43FE" w:rsidR="00A039E0" w:rsidRDefault="004276BB" w:rsidP="00A80EF3">
            <w:pPr>
              <w:rPr>
                <w:color w:val="000000" w:themeColor="text1"/>
              </w:rPr>
            </w:pPr>
            <w:r>
              <w:rPr>
                <w:i/>
                <w:color w:val="000000" w:themeColor="text1"/>
              </w:rPr>
              <w:t xml:space="preserve">       </w:t>
            </w:r>
            <w:r w:rsidR="00A039E0" w:rsidRPr="00352B86">
              <w:rPr>
                <w:i/>
                <w:color w:val="000000" w:themeColor="text1"/>
              </w:rPr>
              <w:t>hasty generalization</w:t>
            </w:r>
          </w:p>
          <w:p w14:paraId="3BE0BBA3" w14:textId="215170BF" w:rsidR="00641B70" w:rsidRDefault="00641B70" w:rsidP="00A80EF3">
            <w:pPr>
              <w:rPr>
                <w:color w:val="000000" w:themeColor="text1"/>
              </w:rPr>
            </w:pPr>
          </w:p>
        </w:tc>
        <w:tc>
          <w:tcPr>
            <w:tcW w:w="720" w:type="dxa"/>
          </w:tcPr>
          <w:p w14:paraId="23F496FA" w14:textId="77777777" w:rsidR="00A80EF3" w:rsidRDefault="00E01B75" w:rsidP="000F526B">
            <w:pPr>
              <w:jc w:val="center"/>
              <w:rPr>
                <w:color w:val="000000" w:themeColor="text1"/>
              </w:rPr>
            </w:pPr>
            <w:r>
              <w:rPr>
                <w:color w:val="000000" w:themeColor="text1"/>
              </w:rPr>
              <w:t>A</w:t>
            </w:r>
          </w:p>
          <w:p w14:paraId="66CCDBB5" w14:textId="70103E93" w:rsidR="00315D78" w:rsidRDefault="00315D78" w:rsidP="000F526B">
            <w:pPr>
              <w:jc w:val="center"/>
              <w:rPr>
                <w:color w:val="000000" w:themeColor="text1"/>
              </w:rPr>
            </w:pPr>
            <w:r>
              <w:rPr>
                <w:color w:val="000000" w:themeColor="text1"/>
              </w:rPr>
              <w:t>23%</w:t>
            </w:r>
          </w:p>
        </w:tc>
        <w:tc>
          <w:tcPr>
            <w:tcW w:w="720" w:type="dxa"/>
          </w:tcPr>
          <w:p w14:paraId="197464D4" w14:textId="3A3D88BC" w:rsidR="00A80EF3" w:rsidRDefault="00E01B75" w:rsidP="000F526B">
            <w:pPr>
              <w:jc w:val="center"/>
              <w:rPr>
                <w:color w:val="000000" w:themeColor="text1"/>
              </w:rPr>
            </w:pPr>
            <w:r>
              <w:rPr>
                <w:color w:val="000000" w:themeColor="text1"/>
              </w:rPr>
              <w:t>S</w:t>
            </w:r>
          </w:p>
          <w:p w14:paraId="65B36D89" w14:textId="513038A9" w:rsidR="00315D78" w:rsidRDefault="00315D78" w:rsidP="000F526B">
            <w:pPr>
              <w:jc w:val="center"/>
              <w:rPr>
                <w:color w:val="000000" w:themeColor="text1"/>
              </w:rPr>
            </w:pPr>
            <w:r>
              <w:rPr>
                <w:color w:val="000000" w:themeColor="text1"/>
              </w:rPr>
              <w:t>65%</w:t>
            </w:r>
          </w:p>
          <w:p w14:paraId="5C15AD75" w14:textId="67446AB7" w:rsidR="00315D78" w:rsidRDefault="00315D78" w:rsidP="000F526B">
            <w:pPr>
              <w:jc w:val="center"/>
              <w:rPr>
                <w:color w:val="000000" w:themeColor="text1"/>
              </w:rPr>
            </w:pPr>
          </w:p>
        </w:tc>
        <w:tc>
          <w:tcPr>
            <w:tcW w:w="681" w:type="dxa"/>
          </w:tcPr>
          <w:p w14:paraId="44F28828" w14:textId="77777777" w:rsidR="00A80EF3" w:rsidRDefault="00E01B75" w:rsidP="000F526B">
            <w:pPr>
              <w:jc w:val="center"/>
              <w:rPr>
                <w:color w:val="000000" w:themeColor="text1"/>
              </w:rPr>
            </w:pPr>
            <w:r>
              <w:rPr>
                <w:color w:val="000000" w:themeColor="text1"/>
              </w:rPr>
              <w:t>N</w:t>
            </w:r>
          </w:p>
          <w:p w14:paraId="6FF687AA" w14:textId="0D14620F" w:rsidR="00315D78" w:rsidRDefault="00315D78" w:rsidP="000F526B">
            <w:pPr>
              <w:jc w:val="center"/>
              <w:rPr>
                <w:color w:val="000000" w:themeColor="text1"/>
              </w:rPr>
            </w:pPr>
            <w:r>
              <w:rPr>
                <w:color w:val="000000" w:themeColor="text1"/>
              </w:rPr>
              <w:t>13%</w:t>
            </w:r>
          </w:p>
        </w:tc>
        <w:tc>
          <w:tcPr>
            <w:tcW w:w="669" w:type="dxa"/>
            <w:shd w:val="pct20" w:color="auto" w:fill="auto"/>
          </w:tcPr>
          <w:p w14:paraId="4855C5F1" w14:textId="77777777" w:rsidR="00A80EF3" w:rsidRDefault="00E01B75" w:rsidP="000F526B">
            <w:pPr>
              <w:jc w:val="center"/>
              <w:rPr>
                <w:color w:val="000000" w:themeColor="text1"/>
              </w:rPr>
            </w:pPr>
            <w:r>
              <w:rPr>
                <w:color w:val="000000" w:themeColor="text1"/>
              </w:rPr>
              <w:t>A</w:t>
            </w:r>
          </w:p>
          <w:p w14:paraId="7E4D4ADD" w14:textId="007DF51D" w:rsidR="00757121" w:rsidRDefault="0097303E" w:rsidP="000F526B">
            <w:pPr>
              <w:jc w:val="center"/>
              <w:rPr>
                <w:color w:val="000000" w:themeColor="text1"/>
              </w:rPr>
            </w:pPr>
            <w:r>
              <w:rPr>
                <w:color w:val="000000" w:themeColor="text1"/>
              </w:rPr>
              <w:t>4</w:t>
            </w:r>
            <w:r w:rsidR="00757121">
              <w:rPr>
                <w:color w:val="000000" w:themeColor="text1"/>
              </w:rPr>
              <w:t>8%</w:t>
            </w:r>
          </w:p>
        </w:tc>
        <w:tc>
          <w:tcPr>
            <w:tcW w:w="720" w:type="dxa"/>
            <w:shd w:val="pct20" w:color="auto" w:fill="auto"/>
          </w:tcPr>
          <w:p w14:paraId="49E6F5A9" w14:textId="77777777" w:rsidR="00A80EF3" w:rsidRDefault="00E01B75" w:rsidP="000F526B">
            <w:pPr>
              <w:jc w:val="center"/>
              <w:rPr>
                <w:color w:val="000000" w:themeColor="text1"/>
              </w:rPr>
            </w:pPr>
            <w:r>
              <w:rPr>
                <w:color w:val="000000" w:themeColor="text1"/>
              </w:rPr>
              <w:t>S</w:t>
            </w:r>
          </w:p>
          <w:p w14:paraId="763DFACA" w14:textId="24A49411" w:rsidR="00757121" w:rsidRDefault="0097303E" w:rsidP="000F526B">
            <w:pPr>
              <w:jc w:val="center"/>
              <w:rPr>
                <w:color w:val="000000" w:themeColor="text1"/>
              </w:rPr>
            </w:pPr>
            <w:r>
              <w:rPr>
                <w:color w:val="000000" w:themeColor="text1"/>
              </w:rPr>
              <w:t>3</w:t>
            </w:r>
            <w:r w:rsidR="00757121">
              <w:rPr>
                <w:color w:val="000000" w:themeColor="text1"/>
              </w:rPr>
              <w:t>3%</w:t>
            </w:r>
          </w:p>
        </w:tc>
        <w:tc>
          <w:tcPr>
            <w:tcW w:w="720" w:type="dxa"/>
            <w:shd w:val="pct20" w:color="auto" w:fill="auto"/>
          </w:tcPr>
          <w:p w14:paraId="7390A652" w14:textId="77777777" w:rsidR="00A80EF3" w:rsidRDefault="00E01B75" w:rsidP="000F526B">
            <w:pPr>
              <w:jc w:val="center"/>
              <w:rPr>
                <w:color w:val="000000" w:themeColor="text1"/>
              </w:rPr>
            </w:pPr>
            <w:r>
              <w:rPr>
                <w:color w:val="000000" w:themeColor="text1"/>
              </w:rPr>
              <w:t>N</w:t>
            </w:r>
          </w:p>
          <w:p w14:paraId="5FBF77FF" w14:textId="4034BCD3" w:rsidR="00757121" w:rsidRDefault="00757121" w:rsidP="000F526B">
            <w:pPr>
              <w:jc w:val="center"/>
              <w:rPr>
                <w:color w:val="000000" w:themeColor="text1"/>
              </w:rPr>
            </w:pPr>
            <w:r>
              <w:rPr>
                <w:color w:val="000000" w:themeColor="text1"/>
              </w:rPr>
              <w:t>19%</w:t>
            </w:r>
          </w:p>
        </w:tc>
      </w:tr>
      <w:tr w:rsidR="008F77B0" w14:paraId="21238F5D" w14:textId="77777777" w:rsidTr="00893467">
        <w:trPr>
          <w:trHeight w:val="316"/>
        </w:trPr>
        <w:tc>
          <w:tcPr>
            <w:tcW w:w="5395" w:type="dxa"/>
            <w:shd w:val="pct20" w:color="auto" w:fill="auto"/>
          </w:tcPr>
          <w:p w14:paraId="65812A96" w14:textId="77777777" w:rsidR="004276BB" w:rsidRDefault="00A039E0" w:rsidP="00A80EF3">
            <w:pPr>
              <w:rPr>
                <w:color w:val="000000" w:themeColor="text1"/>
              </w:rPr>
            </w:pPr>
            <w:r>
              <w:rPr>
                <w:color w:val="000000" w:themeColor="text1"/>
              </w:rPr>
              <w:t xml:space="preserve">Q9:  identify informal fallacy of </w:t>
            </w:r>
          </w:p>
          <w:p w14:paraId="74799827" w14:textId="56133564" w:rsidR="00A80EF3" w:rsidRDefault="004276BB" w:rsidP="00A80EF3">
            <w:pPr>
              <w:rPr>
                <w:color w:val="000000" w:themeColor="text1"/>
              </w:rPr>
            </w:pPr>
            <w:r>
              <w:rPr>
                <w:i/>
                <w:color w:val="000000" w:themeColor="text1"/>
              </w:rPr>
              <w:t xml:space="preserve">        </w:t>
            </w:r>
            <w:r w:rsidR="00A039E0" w:rsidRPr="00352B86">
              <w:rPr>
                <w:i/>
                <w:color w:val="000000" w:themeColor="text1"/>
              </w:rPr>
              <w:t>appeal to popularity</w:t>
            </w:r>
          </w:p>
          <w:p w14:paraId="6457C0AD" w14:textId="75F1D374" w:rsidR="00641B70" w:rsidRDefault="00641B70" w:rsidP="00A80EF3">
            <w:pPr>
              <w:rPr>
                <w:color w:val="000000" w:themeColor="text1"/>
              </w:rPr>
            </w:pPr>
          </w:p>
        </w:tc>
        <w:tc>
          <w:tcPr>
            <w:tcW w:w="720" w:type="dxa"/>
          </w:tcPr>
          <w:p w14:paraId="4984AB24" w14:textId="77777777" w:rsidR="00A80EF3" w:rsidRDefault="00E01B75" w:rsidP="000F526B">
            <w:pPr>
              <w:jc w:val="center"/>
              <w:rPr>
                <w:color w:val="000000" w:themeColor="text1"/>
              </w:rPr>
            </w:pPr>
            <w:r>
              <w:rPr>
                <w:color w:val="000000" w:themeColor="text1"/>
              </w:rPr>
              <w:t>A</w:t>
            </w:r>
          </w:p>
          <w:p w14:paraId="61CA3AFF" w14:textId="538AC5ED" w:rsidR="009C119B" w:rsidRDefault="009C119B" w:rsidP="000F526B">
            <w:pPr>
              <w:jc w:val="center"/>
              <w:rPr>
                <w:color w:val="000000" w:themeColor="text1"/>
              </w:rPr>
            </w:pPr>
            <w:r>
              <w:rPr>
                <w:color w:val="000000" w:themeColor="text1"/>
              </w:rPr>
              <w:t>12%</w:t>
            </w:r>
          </w:p>
        </w:tc>
        <w:tc>
          <w:tcPr>
            <w:tcW w:w="720" w:type="dxa"/>
          </w:tcPr>
          <w:p w14:paraId="33F870B1" w14:textId="77777777" w:rsidR="00A80EF3" w:rsidRDefault="00E01B75" w:rsidP="000F526B">
            <w:pPr>
              <w:jc w:val="center"/>
              <w:rPr>
                <w:color w:val="000000" w:themeColor="text1"/>
              </w:rPr>
            </w:pPr>
            <w:r>
              <w:rPr>
                <w:color w:val="000000" w:themeColor="text1"/>
              </w:rPr>
              <w:t>S</w:t>
            </w:r>
          </w:p>
          <w:p w14:paraId="26462480" w14:textId="10EAC803" w:rsidR="009C119B" w:rsidRDefault="00AA12A3" w:rsidP="000F526B">
            <w:pPr>
              <w:jc w:val="center"/>
              <w:rPr>
                <w:color w:val="000000" w:themeColor="text1"/>
              </w:rPr>
            </w:pPr>
            <w:r>
              <w:rPr>
                <w:color w:val="000000" w:themeColor="text1"/>
              </w:rPr>
              <w:t>4</w:t>
            </w:r>
            <w:r w:rsidR="009C119B">
              <w:rPr>
                <w:color w:val="000000" w:themeColor="text1"/>
              </w:rPr>
              <w:t>4%</w:t>
            </w:r>
          </w:p>
        </w:tc>
        <w:tc>
          <w:tcPr>
            <w:tcW w:w="681" w:type="dxa"/>
          </w:tcPr>
          <w:p w14:paraId="7EAC54D2" w14:textId="79D0D45B" w:rsidR="00A80EF3" w:rsidRDefault="00E01B75" w:rsidP="000F526B">
            <w:pPr>
              <w:jc w:val="center"/>
              <w:rPr>
                <w:color w:val="000000" w:themeColor="text1"/>
              </w:rPr>
            </w:pPr>
            <w:r>
              <w:rPr>
                <w:color w:val="000000" w:themeColor="text1"/>
              </w:rPr>
              <w:t>N</w:t>
            </w:r>
          </w:p>
          <w:p w14:paraId="5B6F9E31" w14:textId="27BBC328" w:rsidR="00F308C1" w:rsidRDefault="00F308C1" w:rsidP="000F526B">
            <w:pPr>
              <w:jc w:val="center"/>
              <w:rPr>
                <w:color w:val="000000" w:themeColor="text1"/>
              </w:rPr>
            </w:pPr>
            <w:r>
              <w:rPr>
                <w:color w:val="000000" w:themeColor="text1"/>
              </w:rPr>
              <w:t>44%</w:t>
            </w:r>
          </w:p>
          <w:p w14:paraId="0FD5EB1B" w14:textId="0F77B6CB" w:rsidR="009C119B" w:rsidRDefault="009C119B" w:rsidP="000F526B">
            <w:pPr>
              <w:jc w:val="center"/>
              <w:rPr>
                <w:color w:val="000000" w:themeColor="text1"/>
              </w:rPr>
            </w:pPr>
          </w:p>
        </w:tc>
        <w:tc>
          <w:tcPr>
            <w:tcW w:w="669" w:type="dxa"/>
            <w:shd w:val="pct20" w:color="auto" w:fill="auto"/>
          </w:tcPr>
          <w:p w14:paraId="1FD50980" w14:textId="77777777" w:rsidR="00A80EF3" w:rsidRDefault="00E01B75" w:rsidP="000F526B">
            <w:pPr>
              <w:jc w:val="center"/>
              <w:rPr>
                <w:color w:val="000000" w:themeColor="text1"/>
              </w:rPr>
            </w:pPr>
            <w:r>
              <w:rPr>
                <w:color w:val="000000" w:themeColor="text1"/>
              </w:rPr>
              <w:t>A</w:t>
            </w:r>
          </w:p>
          <w:p w14:paraId="19F26ABD" w14:textId="2CE6AE07" w:rsidR="009B3650" w:rsidRDefault="009C267A" w:rsidP="000F526B">
            <w:pPr>
              <w:jc w:val="center"/>
              <w:rPr>
                <w:color w:val="000000" w:themeColor="text1"/>
              </w:rPr>
            </w:pPr>
            <w:r>
              <w:rPr>
                <w:color w:val="000000" w:themeColor="text1"/>
              </w:rPr>
              <w:t>5</w:t>
            </w:r>
            <w:r w:rsidR="00B7425D">
              <w:rPr>
                <w:color w:val="000000" w:themeColor="text1"/>
              </w:rPr>
              <w:t>2%</w:t>
            </w:r>
          </w:p>
        </w:tc>
        <w:tc>
          <w:tcPr>
            <w:tcW w:w="720" w:type="dxa"/>
            <w:shd w:val="pct20" w:color="auto" w:fill="auto"/>
          </w:tcPr>
          <w:p w14:paraId="266CCD0E" w14:textId="77777777" w:rsidR="00A80EF3" w:rsidRDefault="00E01B75" w:rsidP="000F526B">
            <w:pPr>
              <w:jc w:val="center"/>
              <w:rPr>
                <w:color w:val="000000" w:themeColor="text1"/>
              </w:rPr>
            </w:pPr>
            <w:r>
              <w:rPr>
                <w:color w:val="000000" w:themeColor="text1"/>
              </w:rPr>
              <w:t>S</w:t>
            </w:r>
          </w:p>
          <w:p w14:paraId="03F5819F" w14:textId="609030E5" w:rsidR="00B7425D" w:rsidRDefault="009C267A" w:rsidP="000F526B">
            <w:pPr>
              <w:jc w:val="center"/>
              <w:rPr>
                <w:color w:val="000000" w:themeColor="text1"/>
              </w:rPr>
            </w:pPr>
            <w:r>
              <w:rPr>
                <w:color w:val="000000" w:themeColor="text1"/>
              </w:rPr>
              <w:t>3</w:t>
            </w:r>
            <w:r w:rsidR="00B7425D">
              <w:rPr>
                <w:color w:val="000000" w:themeColor="text1"/>
              </w:rPr>
              <w:t>2%</w:t>
            </w:r>
          </w:p>
        </w:tc>
        <w:tc>
          <w:tcPr>
            <w:tcW w:w="720" w:type="dxa"/>
            <w:shd w:val="pct20" w:color="auto" w:fill="auto"/>
          </w:tcPr>
          <w:p w14:paraId="577DD8BA" w14:textId="77777777" w:rsidR="00A80EF3" w:rsidRDefault="00E01B75" w:rsidP="000F526B">
            <w:pPr>
              <w:jc w:val="center"/>
              <w:rPr>
                <w:color w:val="000000" w:themeColor="text1"/>
              </w:rPr>
            </w:pPr>
            <w:r>
              <w:rPr>
                <w:color w:val="000000" w:themeColor="text1"/>
              </w:rPr>
              <w:t>N</w:t>
            </w:r>
          </w:p>
          <w:p w14:paraId="1CA92CAC" w14:textId="2A5BFA6C" w:rsidR="00B7425D" w:rsidRDefault="00B7425D" w:rsidP="000F526B">
            <w:pPr>
              <w:jc w:val="center"/>
              <w:rPr>
                <w:color w:val="000000" w:themeColor="text1"/>
              </w:rPr>
            </w:pPr>
            <w:r>
              <w:rPr>
                <w:color w:val="000000" w:themeColor="text1"/>
              </w:rPr>
              <w:t>26%</w:t>
            </w:r>
          </w:p>
        </w:tc>
      </w:tr>
      <w:tr w:rsidR="008F77B0" w14:paraId="19FA0C53" w14:textId="77777777" w:rsidTr="00893467">
        <w:trPr>
          <w:trHeight w:val="316"/>
        </w:trPr>
        <w:tc>
          <w:tcPr>
            <w:tcW w:w="5395" w:type="dxa"/>
            <w:shd w:val="pct20" w:color="auto" w:fill="auto"/>
          </w:tcPr>
          <w:p w14:paraId="5362B16C" w14:textId="77777777" w:rsidR="004276BB" w:rsidRDefault="00A039E0" w:rsidP="00A039E0">
            <w:pPr>
              <w:rPr>
                <w:color w:val="000000" w:themeColor="text1"/>
              </w:rPr>
            </w:pPr>
            <w:r>
              <w:rPr>
                <w:color w:val="000000" w:themeColor="text1"/>
              </w:rPr>
              <w:t xml:space="preserve">Q10:  identify informal fallacy of </w:t>
            </w:r>
          </w:p>
          <w:p w14:paraId="18AD4C9C" w14:textId="0E7BF860" w:rsidR="00A039E0" w:rsidRDefault="004276BB" w:rsidP="00A039E0">
            <w:pPr>
              <w:rPr>
                <w:color w:val="000000" w:themeColor="text1"/>
              </w:rPr>
            </w:pPr>
            <w:r>
              <w:rPr>
                <w:i/>
                <w:color w:val="000000" w:themeColor="text1"/>
              </w:rPr>
              <w:t xml:space="preserve">        </w:t>
            </w:r>
            <w:r w:rsidR="00A039E0" w:rsidRPr="00352B86">
              <w:rPr>
                <w:i/>
                <w:color w:val="000000" w:themeColor="text1"/>
              </w:rPr>
              <w:t>circular reasoning</w:t>
            </w:r>
          </w:p>
          <w:p w14:paraId="71302A66" w14:textId="044A7547" w:rsidR="00641B70" w:rsidRDefault="00641B70" w:rsidP="00A80EF3">
            <w:pPr>
              <w:rPr>
                <w:color w:val="000000" w:themeColor="text1"/>
              </w:rPr>
            </w:pPr>
          </w:p>
        </w:tc>
        <w:tc>
          <w:tcPr>
            <w:tcW w:w="720" w:type="dxa"/>
          </w:tcPr>
          <w:p w14:paraId="0A051118" w14:textId="77777777" w:rsidR="00A80EF3" w:rsidRDefault="00E01B75" w:rsidP="000F526B">
            <w:pPr>
              <w:jc w:val="center"/>
              <w:rPr>
                <w:color w:val="000000" w:themeColor="text1"/>
              </w:rPr>
            </w:pPr>
            <w:r>
              <w:rPr>
                <w:color w:val="000000" w:themeColor="text1"/>
              </w:rPr>
              <w:t>A</w:t>
            </w:r>
          </w:p>
          <w:p w14:paraId="3C98876F" w14:textId="69ECCE55" w:rsidR="00F308C1" w:rsidRDefault="00F308C1" w:rsidP="000F526B">
            <w:pPr>
              <w:jc w:val="center"/>
              <w:rPr>
                <w:color w:val="000000" w:themeColor="text1"/>
              </w:rPr>
            </w:pPr>
            <w:r>
              <w:rPr>
                <w:color w:val="000000" w:themeColor="text1"/>
              </w:rPr>
              <w:t>4%</w:t>
            </w:r>
          </w:p>
        </w:tc>
        <w:tc>
          <w:tcPr>
            <w:tcW w:w="720" w:type="dxa"/>
          </w:tcPr>
          <w:p w14:paraId="71231BDB" w14:textId="77777777" w:rsidR="00A80EF3" w:rsidRDefault="00E01B75" w:rsidP="000F526B">
            <w:pPr>
              <w:jc w:val="center"/>
              <w:rPr>
                <w:color w:val="000000" w:themeColor="text1"/>
              </w:rPr>
            </w:pPr>
            <w:r>
              <w:rPr>
                <w:color w:val="000000" w:themeColor="text1"/>
              </w:rPr>
              <w:t>S</w:t>
            </w:r>
          </w:p>
          <w:p w14:paraId="429072B6" w14:textId="69004225" w:rsidR="00F308C1" w:rsidRDefault="00F308C1" w:rsidP="000F526B">
            <w:pPr>
              <w:jc w:val="center"/>
              <w:rPr>
                <w:color w:val="000000" w:themeColor="text1"/>
              </w:rPr>
            </w:pPr>
            <w:r>
              <w:rPr>
                <w:color w:val="000000" w:themeColor="text1"/>
              </w:rPr>
              <w:t>22%</w:t>
            </w:r>
          </w:p>
        </w:tc>
        <w:tc>
          <w:tcPr>
            <w:tcW w:w="681" w:type="dxa"/>
          </w:tcPr>
          <w:p w14:paraId="0DDCE5DF" w14:textId="77777777" w:rsidR="00A80EF3" w:rsidRDefault="00E01B75" w:rsidP="000F526B">
            <w:pPr>
              <w:jc w:val="center"/>
              <w:rPr>
                <w:color w:val="000000" w:themeColor="text1"/>
              </w:rPr>
            </w:pPr>
            <w:r>
              <w:rPr>
                <w:color w:val="000000" w:themeColor="text1"/>
              </w:rPr>
              <w:t>N</w:t>
            </w:r>
          </w:p>
          <w:p w14:paraId="5FD77228" w14:textId="6F106EC5" w:rsidR="00F308C1" w:rsidRDefault="00F308C1" w:rsidP="000F526B">
            <w:pPr>
              <w:jc w:val="center"/>
              <w:rPr>
                <w:color w:val="000000" w:themeColor="text1"/>
              </w:rPr>
            </w:pPr>
            <w:r>
              <w:rPr>
                <w:color w:val="000000" w:themeColor="text1"/>
              </w:rPr>
              <w:t>74%</w:t>
            </w:r>
          </w:p>
        </w:tc>
        <w:tc>
          <w:tcPr>
            <w:tcW w:w="669" w:type="dxa"/>
            <w:shd w:val="pct20" w:color="auto" w:fill="auto"/>
          </w:tcPr>
          <w:p w14:paraId="0FFE053D" w14:textId="77777777" w:rsidR="00A80EF3" w:rsidRDefault="00E01B75" w:rsidP="000F526B">
            <w:pPr>
              <w:jc w:val="center"/>
              <w:rPr>
                <w:color w:val="000000" w:themeColor="text1"/>
              </w:rPr>
            </w:pPr>
            <w:r>
              <w:rPr>
                <w:color w:val="000000" w:themeColor="text1"/>
              </w:rPr>
              <w:t>A</w:t>
            </w:r>
          </w:p>
          <w:p w14:paraId="73D65F1C" w14:textId="30543382" w:rsidR="00441073" w:rsidRDefault="008539A9" w:rsidP="000F526B">
            <w:pPr>
              <w:jc w:val="center"/>
              <w:rPr>
                <w:color w:val="000000" w:themeColor="text1"/>
              </w:rPr>
            </w:pPr>
            <w:r>
              <w:rPr>
                <w:color w:val="000000" w:themeColor="text1"/>
              </w:rPr>
              <w:t>5</w:t>
            </w:r>
            <w:r w:rsidR="00441073">
              <w:rPr>
                <w:color w:val="000000" w:themeColor="text1"/>
              </w:rPr>
              <w:t>2%</w:t>
            </w:r>
          </w:p>
        </w:tc>
        <w:tc>
          <w:tcPr>
            <w:tcW w:w="720" w:type="dxa"/>
            <w:shd w:val="pct20" w:color="auto" w:fill="auto"/>
          </w:tcPr>
          <w:p w14:paraId="6966ADC1" w14:textId="445501D4" w:rsidR="00A80EF3" w:rsidRDefault="00E01B75" w:rsidP="000F526B">
            <w:pPr>
              <w:jc w:val="center"/>
              <w:rPr>
                <w:color w:val="000000" w:themeColor="text1"/>
              </w:rPr>
            </w:pPr>
            <w:r>
              <w:rPr>
                <w:color w:val="000000" w:themeColor="text1"/>
              </w:rPr>
              <w:t>S</w:t>
            </w:r>
          </w:p>
          <w:p w14:paraId="0C340440" w14:textId="66B73D51" w:rsidR="00441073" w:rsidRDefault="008539A9" w:rsidP="000F526B">
            <w:pPr>
              <w:jc w:val="center"/>
              <w:rPr>
                <w:color w:val="000000" w:themeColor="text1"/>
              </w:rPr>
            </w:pPr>
            <w:r>
              <w:rPr>
                <w:color w:val="000000" w:themeColor="text1"/>
              </w:rPr>
              <w:t>4</w:t>
            </w:r>
            <w:r w:rsidR="00441073">
              <w:rPr>
                <w:color w:val="000000" w:themeColor="text1"/>
              </w:rPr>
              <w:t>0%</w:t>
            </w:r>
          </w:p>
          <w:p w14:paraId="020B9B9A" w14:textId="384926EA" w:rsidR="00441073" w:rsidRDefault="00441073" w:rsidP="000F526B">
            <w:pPr>
              <w:jc w:val="center"/>
              <w:rPr>
                <w:color w:val="000000" w:themeColor="text1"/>
              </w:rPr>
            </w:pPr>
          </w:p>
        </w:tc>
        <w:tc>
          <w:tcPr>
            <w:tcW w:w="720" w:type="dxa"/>
            <w:shd w:val="pct20" w:color="auto" w:fill="auto"/>
          </w:tcPr>
          <w:p w14:paraId="4D083859" w14:textId="77777777" w:rsidR="00A80EF3" w:rsidRDefault="00E01B75" w:rsidP="000F526B">
            <w:pPr>
              <w:jc w:val="center"/>
              <w:rPr>
                <w:color w:val="000000" w:themeColor="text1"/>
              </w:rPr>
            </w:pPr>
            <w:r>
              <w:rPr>
                <w:color w:val="000000" w:themeColor="text1"/>
              </w:rPr>
              <w:t>N</w:t>
            </w:r>
          </w:p>
          <w:p w14:paraId="67433FF8" w14:textId="5B3C1EB1" w:rsidR="00441073" w:rsidRDefault="00441073" w:rsidP="000F526B">
            <w:pPr>
              <w:jc w:val="center"/>
              <w:rPr>
                <w:color w:val="000000" w:themeColor="text1"/>
              </w:rPr>
            </w:pPr>
            <w:r>
              <w:rPr>
                <w:color w:val="000000" w:themeColor="text1"/>
              </w:rPr>
              <w:t>8%</w:t>
            </w:r>
          </w:p>
        </w:tc>
      </w:tr>
    </w:tbl>
    <w:p w14:paraId="54A1EAC4" w14:textId="7049FE8C" w:rsidR="002F3DF1" w:rsidRDefault="002F3DF1">
      <w:pPr>
        <w:rPr>
          <w:color w:val="000000" w:themeColor="text1"/>
        </w:rPr>
      </w:pPr>
    </w:p>
    <w:p w14:paraId="76AB47C1" w14:textId="17C88AD7" w:rsidR="009A1F79" w:rsidRDefault="00221C40" w:rsidP="00221C40">
      <w:pPr>
        <w:rPr>
          <w:color w:val="000000" w:themeColor="text1"/>
        </w:rPr>
      </w:pPr>
      <w:r>
        <w:rPr>
          <w:color w:val="000000" w:themeColor="text1"/>
        </w:rPr>
        <w:t>In general, students came into PHIL 200 already having solid intuitions about what counts as an argument</w:t>
      </w:r>
      <w:r w:rsidR="00C73C96">
        <w:rPr>
          <w:color w:val="000000" w:themeColor="text1"/>
        </w:rPr>
        <w:t>,</w:t>
      </w:r>
      <w:r>
        <w:rPr>
          <w:color w:val="000000" w:themeColor="text1"/>
        </w:rPr>
        <w:t xml:space="preserve"> </w:t>
      </w:r>
      <w:r w:rsidR="007221E1">
        <w:rPr>
          <w:color w:val="000000" w:themeColor="text1"/>
        </w:rPr>
        <w:t>versus</w:t>
      </w:r>
      <w:r>
        <w:rPr>
          <w:color w:val="000000" w:themeColor="text1"/>
        </w:rPr>
        <w:t xml:space="preserve"> a mere description</w:t>
      </w:r>
      <w:r w:rsidR="00C73C96">
        <w:rPr>
          <w:color w:val="000000" w:themeColor="text1"/>
        </w:rPr>
        <w:t xml:space="preserve">;  this is </w:t>
      </w:r>
      <w:r>
        <w:rPr>
          <w:color w:val="000000" w:themeColor="text1"/>
        </w:rPr>
        <w:t xml:space="preserve">shown by the </w:t>
      </w:r>
      <w:r w:rsidR="007221E1">
        <w:rPr>
          <w:color w:val="000000" w:themeColor="text1"/>
        </w:rPr>
        <w:t>results</w:t>
      </w:r>
      <w:r>
        <w:rPr>
          <w:color w:val="000000" w:themeColor="text1"/>
        </w:rPr>
        <w:t xml:space="preserve"> for questions 1, 2 and 3.  </w:t>
      </w:r>
      <w:r w:rsidR="007221E1">
        <w:rPr>
          <w:color w:val="000000" w:themeColor="text1"/>
        </w:rPr>
        <w:t xml:space="preserve">Many also </w:t>
      </w:r>
      <w:r w:rsidR="00C73C96">
        <w:rPr>
          <w:color w:val="000000" w:themeColor="text1"/>
        </w:rPr>
        <w:t>had good</w:t>
      </w:r>
      <w:r>
        <w:rPr>
          <w:color w:val="000000" w:themeColor="text1"/>
        </w:rPr>
        <w:t xml:space="preserve"> instincts when it came to sensing what could make an inductive argument stronger, as shown by the </w:t>
      </w:r>
      <w:r w:rsidR="007221E1">
        <w:rPr>
          <w:color w:val="000000" w:themeColor="text1"/>
        </w:rPr>
        <w:t>results</w:t>
      </w:r>
      <w:r>
        <w:rPr>
          <w:color w:val="000000" w:themeColor="text1"/>
        </w:rPr>
        <w:t xml:space="preserve"> for questions 6 and 8.  But they did not have skills that enable</w:t>
      </w:r>
      <w:r w:rsidR="00C73C96">
        <w:rPr>
          <w:color w:val="000000" w:themeColor="text1"/>
        </w:rPr>
        <w:t>d</w:t>
      </w:r>
      <w:r>
        <w:rPr>
          <w:color w:val="000000" w:themeColor="text1"/>
        </w:rPr>
        <w:t xml:space="preserve"> them to evaluate deductive arguments, still less apply the technical terms for analyzing them</w:t>
      </w:r>
      <w:r w:rsidR="00F053CA">
        <w:rPr>
          <w:color w:val="000000" w:themeColor="text1"/>
        </w:rPr>
        <w:t>.  It is no surprise, then</w:t>
      </w:r>
      <w:r w:rsidR="00C73C96">
        <w:rPr>
          <w:color w:val="000000" w:themeColor="text1"/>
        </w:rPr>
        <w:t>,</w:t>
      </w:r>
      <w:r w:rsidR="00F053CA">
        <w:rPr>
          <w:color w:val="000000" w:themeColor="text1"/>
        </w:rPr>
        <w:t xml:space="preserve"> that they are were not able to </w:t>
      </w:r>
      <w:r>
        <w:rPr>
          <w:color w:val="000000" w:themeColor="text1"/>
        </w:rPr>
        <w:t>distinguish between deduction and induction</w:t>
      </w:r>
      <w:r w:rsidR="00B6443E">
        <w:rPr>
          <w:color w:val="000000" w:themeColor="text1"/>
        </w:rPr>
        <w:t xml:space="preserve">, a fundamental concept </w:t>
      </w:r>
      <w:r w:rsidR="009A1F79">
        <w:rPr>
          <w:color w:val="000000" w:themeColor="text1"/>
        </w:rPr>
        <w:t>for</w:t>
      </w:r>
      <w:r w:rsidR="00B6443E">
        <w:rPr>
          <w:color w:val="000000" w:themeColor="text1"/>
        </w:rPr>
        <w:t xml:space="preserve"> PHIL 200</w:t>
      </w:r>
      <w:r>
        <w:rPr>
          <w:color w:val="000000" w:themeColor="text1"/>
        </w:rPr>
        <w:t xml:space="preserve">.  </w:t>
      </w:r>
      <w:r w:rsidR="009A1F79">
        <w:rPr>
          <w:color w:val="000000" w:themeColor="text1"/>
        </w:rPr>
        <w:t xml:space="preserve">This is to be expected, since the distinction, while intuitive, is only recognized with the help of explicit instruction.  </w:t>
      </w:r>
    </w:p>
    <w:p w14:paraId="49A94289" w14:textId="77777777" w:rsidR="009A1F79" w:rsidRDefault="009A1F79" w:rsidP="00221C40">
      <w:pPr>
        <w:rPr>
          <w:color w:val="000000" w:themeColor="text1"/>
        </w:rPr>
      </w:pPr>
    </w:p>
    <w:p w14:paraId="59F7FD5D" w14:textId="7CB31ECA" w:rsidR="00601ADD" w:rsidRDefault="009A1F79" w:rsidP="00221C40">
      <w:pPr>
        <w:rPr>
          <w:color w:val="000000" w:themeColor="text1"/>
        </w:rPr>
      </w:pPr>
      <w:r>
        <w:rPr>
          <w:color w:val="000000" w:themeColor="text1"/>
        </w:rPr>
        <w:t xml:space="preserve">A key question of interest in the assessment of PHIL is how well students are able to recognize instances of deduction, as opposed to induction, and are capable of separating considerations </w:t>
      </w:r>
      <w:r>
        <w:rPr>
          <w:color w:val="000000" w:themeColor="text1"/>
        </w:rPr>
        <w:lastRenderedPageBreak/>
        <w:t>pertaining to their structure, as opposed to the mere informational accuracy of premises</w:t>
      </w:r>
      <w:r w:rsidR="00CB6875">
        <w:rPr>
          <w:color w:val="000000" w:themeColor="text1"/>
        </w:rPr>
        <w:t xml:space="preserve"> (please see footnotes 2 and 3).</w:t>
      </w:r>
    </w:p>
    <w:p w14:paraId="6A28F650" w14:textId="26A6DF60" w:rsidR="00601ADD" w:rsidRDefault="00601ADD" w:rsidP="009A1F79">
      <w:pPr>
        <w:tabs>
          <w:tab w:val="left" w:pos="1085"/>
        </w:tabs>
        <w:rPr>
          <w:color w:val="000000" w:themeColor="text1"/>
        </w:rPr>
      </w:pPr>
    </w:p>
    <w:p w14:paraId="0071D7FF" w14:textId="4AAB3C08" w:rsidR="00221C40" w:rsidRDefault="009A1F79" w:rsidP="00221C40">
      <w:pPr>
        <w:rPr>
          <w:color w:val="000000" w:themeColor="text1"/>
        </w:rPr>
      </w:pPr>
      <w:r>
        <w:rPr>
          <w:color w:val="000000" w:themeColor="text1"/>
        </w:rPr>
        <w:t xml:space="preserve">The overall performance on </w:t>
      </w:r>
      <w:r w:rsidR="00A84948">
        <w:rPr>
          <w:color w:val="000000" w:themeColor="text1"/>
        </w:rPr>
        <w:t>Questionnaire B</w:t>
      </w:r>
      <w:r>
        <w:rPr>
          <w:color w:val="000000" w:themeColor="text1"/>
        </w:rPr>
        <w:t xml:space="preserve"> did not indicate that </w:t>
      </w:r>
      <w:r w:rsidR="00141331">
        <w:rPr>
          <w:color w:val="000000" w:themeColor="text1"/>
        </w:rPr>
        <w:t xml:space="preserve">a majority of </w:t>
      </w:r>
      <w:r>
        <w:rPr>
          <w:color w:val="000000" w:themeColor="text1"/>
        </w:rPr>
        <w:t xml:space="preserve">students had </w:t>
      </w:r>
      <w:r w:rsidR="00141331">
        <w:rPr>
          <w:color w:val="000000" w:themeColor="text1"/>
        </w:rPr>
        <w:t>a solid grasp of deduction versus induction.  While</w:t>
      </w:r>
      <w:r w:rsidR="00A84948">
        <w:rPr>
          <w:color w:val="000000" w:themeColor="text1"/>
        </w:rPr>
        <w:t xml:space="preserve"> students</w:t>
      </w:r>
      <w:r w:rsidR="006A4B17">
        <w:rPr>
          <w:color w:val="000000" w:themeColor="text1"/>
        </w:rPr>
        <w:t xml:space="preserve"> </w:t>
      </w:r>
      <w:r w:rsidR="00221C40">
        <w:rPr>
          <w:color w:val="000000" w:themeColor="text1"/>
        </w:rPr>
        <w:t xml:space="preserve">were </w:t>
      </w:r>
      <w:r w:rsidR="006A4B17">
        <w:rPr>
          <w:color w:val="000000" w:themeColor="text1"/>
        </w:rPr>
        <w:t xml:space="preserve">also </w:t>
      </w:r>
      <w:r w:rsidR="00221C40">
        <w:rPr>
          <w:color w:val="000000" w:themeColor="text1"/>
        </w:rPr>
        <w:t>more forthcoming</w:t>
      </w:r>
      <w:r w:rsidR="00141331">
        <w:rPr>
          <w:color w:val="000000" w:themeColor="text1"/>
        </w:rPr>
        <w:t xml:space="preserve"> and confident in the way they approached their answers to the prompts,</w:t>
      </w:r>
      <w:r w:rsidR="00221C40">
        <w:rPr>
          <w:color w:val="000000" w:themeColor="text1"/>
        </w:rPr>
        <w:t xml:space="preserve"> </w:t>
      </w:r>
      <w:r w:rsidR="00141331">
        <w:rPr>
          <w:color w:val="000000" w:themeColor="text1"/>
        </w:rPr>
        <w:t>a</w:t>
      </w:r>
      <w:r w:rsidR="00221C40">
        <w:rPr>
          <w:color w:val="000000" w:themeColor="text1"/>
        </w:rPr>
        <w:t xml:space="preserve"> majority</w:t>
      </w:r>
      <w:r w:rsidR="00141331">
        <w:rPr>
          <w:color w:val="000000" w:themeColor="text1"/>
        </w:rPr>
        <w:t xml:space="preserve"> </w:t>
      </w:r>
      <w:r w:rsidR="00221C40">
        <w:rPr>
          <w:color w:val="000000" w:themeColor="text1"/>
        </w:rPr>
        <w:t>still missed opportunities to apply the relevant terms, or when applying them, applied them incorrectly.</w:t>
      </w:r>
      <w:r w:rsidR="00601ADD">
        <w:rPr>
          <w:color w:val="000000" w:themeColor="text1"/>
        </w:rPr>
        <w:t xml:space="preserve">  The missed opportunities were most apparent with questions concerning deduction (questions 4, 5, and 7).  Overall, there </w:t>
      </w:r>
      <w:r w:rsidR="00141331">
        <w:rPr>
          <w:color w:val="000000" w:themeColor="text1"/>
        </w:rPr>
        <w:t>was</w:t>
      </w:r>
      <w:r w:rsidR="00601ADD">
        <w:rPr>
          <w:color w:val="000000" w:themeColor="text1"/>
        </w:rPr>
        <w:t xml:space="preserve"> only modest improvement when it comes to mastery of the concepts concerning deduction (validity, invalidity, soundness, unsoundness).  </w:t>
      </w:r>
      <w:r w:rsidR="00E02C07">
        <w:rPr>
          <w:color w:val="000000" w:themeColor="text1"/>
        </w:rPr>
        <w:t>There was greater improvement with the identification of</w:t>
      </w:r>
      <w:r w:rsidR="00914048">
        <w:rPr>
          <w:color w:val="000000" w:themeColor="text1"/>
        </w:rPr>
        <w:t xml:space="preserve"> </w:t>
      </w:r>
      <w:r w:rsidR="00601ADD">
        <w:rPr>
          <w:color w:val="000000" w:themeColor="text1"/>
        </w:rPr>
        <w:t xml:space="preserve">informal fallacies (questions 8, 9, and 10).  </w:t>
      </w:r>
    </w:p>
    <w:p w14:paraId="2A781526" w14:textId="77777777" w:rsidR="00221C40" w:rsidRDefault="00221C40" w:rsidP="00221C40">
      <w:pPr>
        <w:rPr>
          <w:color w:val="000000" w:themeColor="text1"/>
        </w:rPr>
      </w:pPr>
    </w:p>
    <w:p w14:paraId="44E25BAC" w14:textId="77777777" w:rsidR="002776AF" w:rsidRDefault="002776AF">
      <w:pPr>
        <w:rPr>
          <w:color w:val="000000" w:themeColor="text1"/>
        </w:rPr>
      </w:pPr>
    </w:p>
    <w:p w14:paraId="4F7075AB" w14:textId="210FB47C" w:rsidR="002F3DF1" w:rsidRPr="005D4808" w:rsidRDefault="00753E7D">
      <w:pPr>
        <w:rPr>
          <w:i/>
          <w:color w:val="000000" w:themeColor="text1"/>
        </w:rPr>
      </w:pPr>
      <w:r>
        <w:rPr>
          <w:i/>
          <w:color w:val="000000" w:themeColor="text1"/>
        </w:rPr>
        <w:t>Future Assessment</w:t>
      </w:r>
    </w:p>
    <w:p w14:paraId="6C9776C4" w14:textId="09B43551" w:rsidR="000069FF" w:rsidRDefault="000069FF">
      <w:pPr>
        <w:rPr>
          <w:color w:val="000000" w:themeColor="text1"/>
        </w:rPr>
      </w:pPr>
    </w:p>
    <w:p w14:paraId="74A0B59E" w14:textId="3D31957A" w:rsidR="00D56269" w:rsidRDefault="000069FF">
      <w:pPr>
        <w:rPr>
          <w:color w:val="000000" w:themeColor="text1"/>
        </w:rPr>
      </w:pPr>
      <w:r>
        <w:rPr>
          <w:color w:val="000000" w:themeColor="text1"/>
        </w:rPr>
        <w:t xml:space="preserve">I have a short term and </w:t>
      </w:r>
      <w:proofErr w:type="gramStart"/>
      <w:r>
        <w:rPr>
          <w:color w:val="000000" w:themeColor="text1"/>
        </w:rPr>
        <w:t>long term</w:t>
      </w:r>
      <w:proofErr w:type="gramEnd"/>
      <w:r>
        <w:rPr>
          <w:color w:val="000000" w:themeColor="text1"/>
        </w:rPr>
        <w:t xml:space="preserve"> goal for future assessment.  In the short term, I plan to administer Questionnaire B for </w:t>
      </w:r>
      <w:r w:rsidR="00043F12">
        <w:rPr>
          <w:color w:val="000000" w:themeColor="text1"/>
        </w:rPr>
        <w:t>Fall 2019</w:t>
      </w:r>
      <w:r>
        <w:rPr>
          <w:color w:val="000000" w:themeColor="text1"/>
        </w:rPr>
        <w:t xml:space="preserve">.  Once the </w:t>
      </w:r>
      <w:r w:rsidR="00D56269">
        <w:rPr>
          <w:color w:val="000000" w:themeColor="text1"/>
        </w:rPr>
        <w:t xml:space="preserve">results have been tabulated, I will </w:t>
      </w:r>
      <w:r w:rsidR="00043F12">
        <w:rPr>
          <w:color w:val="000000" w:themeColor="text1"/>
        </w:rPr>
        <w:t xml:space="preserve">assemble with </w:t>
      </w:r>
      <w:r w:rsidR="007653BE">
        <w:rPr>
          <w:color w:val="000000" w:themeColor="text1"/>
        </w:rPr>
        <w:t>m</w:t>
      </w:r>
      <w:r w:rsidR="00043F12">
        <w:rPr>
          <w:color w:val="000000" w:themeColor="text1"/>
        </w:rPr>
        <w:t>y Department Chair, Tim Black, and Department Associate Chair</w:t>
      </w:r>
      <w:r w:rsidR="002D6183">
        <w:rPr>
          <w:color w:val="000000" w:themeColor="text1"/>
        </w:rPr>
        <w:t>,</w:t>
      </w:r>
      <w:r w:rsidR="00043F12">
        <w:rPr>
          <w:color w:val="000000" w:themeColor="text1"/>
        </w:rPr>
        <w:t xml:space="preserve"> and former Assessment Liaison</w:t>
      </w:r>
      <w:r w:rsidR="003A237E">
        <w:rPr>
          <w:color w:val="000000" w:themeColor="text1"/>
        </w:rPr>
        <w:t>,</w:t>
      </w:r>
      <w:r w:rsidR="00043F12">
        <w:rPr>
          <w:color w:val="000000" w:themeColor="text1"/>
        </w:rPr>
        <w:t xml:space="preserve"> Christina </w:t>
      </w:r>
      <w:proofErr w:type="spellStart"/>
      <w:r w:rsidR="00043F12">
        <w:rPr>
          <w:color w:val="000000" w:themeColor="text1"/>
        </w:rPr>
        <w:t>Meshelski</w:t>
      </w:r>
      <w:proofErr w:type="spellEnd"/>
      <w:r w:rsidR="00043F12">
        <w:rPr>
          <w:color w:val="000000" w:themeColor="text1"/>
        </w:rPr>
        <w:t>,</w:t>
      </w:r>
      <w:r w:rsidR="00D56269">
        <w:rPr>
          <w:color w:val="000000" w:themeColor="text1"/>
        </w:rPr>
        <w:t xml:space="preserve"> </w:t>
      </w:r>
      <w:r w:rsidR="003F6DFD">
        <w:rPr>
          <w:color w:val="000000" w:themeColor="text1"/>
        </w:rPr>
        <w:t>to</w:t>
      </w:r>
      <w:r w:rsidR="00D56269">
        <w:rPr>
          <w:color w:val="000000" w:themeColor="text1"/>
        </w:rPr>
        <w:t xml:space="preserve"> assess whether, with the larger sample size, students completing PHIL 200 are as underinformed about</w:t>
      </w:r>
      <w:r w:rsidR="00043F12">
        <w:rPr>
          <w:color w:val="000000" w:themeColor="text1"/>
        </w:rPr>
        <w:t xml:space="preserve"> </w:t>
      </w:r>
      <w:r w:rsidR="00D56269">
        <w:rPr>
          <w:color w:val="000000" w:themeColor="text1"/>
        </w:rPr>
        <w:t>the differences between deduction and induction</w:t>
      </w:r>
      <w:r w:rsidR="00682B71">
        <w:rPr>
          <w:color w:val="000000" w:themeColor="text1"/>
        </w:rPr>
        <w:t xml:space="preserve"> as the most recent batch of Questionnaire B samples seem</w:t>
      </w:r>
      <w:r w:rsidR="003F6DFD">
        <w:rPr>
          <w:color w:val="000000" w:themeColor="text1"/>
        </w:rPr>
        <w:t>s</w:t>
      </w:r>
      <w:r w:rsidR="00682B71">
        <w:rPr>
          <w:color w:val="000000" w:themeColor="text1"/>
        </w:rPr>
        <w:t xml:space="preserve"> to indicate</w:t>
      </w:r>
      <w:r w:rsidR="00D56269">
        <w:rPr>
          <w:color w:val="000000" w:themeColor="text1"/>
        </w:rPr>
        <w:t xml:space="preserve">.  If they are, we will propose a plan for more effective instruction of these concepts.  </w:t>
      </w:r>
    </w:p>
    <w:p w14:paraId="27B26CA2" w14:textId="77777777" w:rsidR="00D56269" w:rsidRDefault="00D56269">
      <w:pPr>
        <w:rPr>
          <w:color w:val="000000" w:themeColor="text1"/>
        </w:rPr>
      </w:pPr>
    </w:p>
    <w:p w14:paraId="66FD022D" w14:textId="7FFB1E86" w:rsidR="002F3DF1" w:rsidRPr="00B20CD2" w:rsidRDefault="00D56269">
      <w:pPr>
        <w:rPr>
          <w:color w:val="000000" w:themeColor="text1"/>
        </w:rPr>
      </w:pPr>
      <w:r>
        <w:rPr>
          <w:color w:val="000000" w:themeColor="text1"/>
        </w:rPr>
        <w:t xml:space="preserve">A </w:t>
      </w:r>
      <w:proofErr w:type="gramStart"/>
      <w:r>
        <w:rPr>
          <w:color w:val="000000" w:themeColor="text1"/>
        </w:rPr>
        <w:t>long term</w:t>
      </w:r>
      <w:proofErr w:type="gramEnd"/>
      <w:r>
        <w:rPr>
          <w:color w:val="000000" w:themeColor="text1"/>
        </w:rPr>
        <w:t xml:space="preserve"> assessment goal for PHIL 200 is designing a questionnaire that goes beyond the assessment of a student’s ability to handle deduction, induction, and the identification of informal fallacies.  </w:t>
      </w:r>
      <w:r w:rsidR="000069FF">
        <w:rPr>
          <w:color w:val="000000" w:themeColor="text1"/>
        </w:rPr>
        <w:t>W</w:t>
      </w:r>
      <w:r w:rsidR="00F550FD">
        <w:rPr>
          <w:color w:val="000000" w:themeColor="text1"/>
        </w:rPr>
        <w:t xml:space="preserve">hile important, </w:t>
      </w:r>
      <w:r>
        <w:rPr>
          <w:color w:val="000000" w:themeColor="text1"/>
        </w:rPr>
        <w:t>these skills</w:t>
      </w:r>
      <w:r w:rsidR="000069FF">
        <w:rPr>
          <w:color w:val="000000" w:themeColor="text1"/>
        </w:rPr>
        <w:t xml:space="preserve"> are</w:t>
      </w:r>
      <w:r w:rsidR="00F550FD">
        <w:rPr>
          <w:color w:val="000000" w:themeColor="text1"/>
        </w:rPr>
        <w:t xml:space="preserve"> not the only things central to critical thinking.  There is also the ability to</w:t>
      </w:r>
      <w:r w:rsidR="00007E3B">
        <w:rPr>
          <w:color w:val="000000" w:themeColor="text1"/>
        </w:rPr>
        <w:t xml:space="preserve"> construct arguments of one’s own, to</w:t>
      </w:r>
      <w:r w:rsidR="007E6A60">
        <w:rPr>
          <w:color w:val="000000" w:themeColor="text1"/>
        </w:rPr>
        <w:t xml:space="preserve"> reconstruct an argument given “in the wild” </w:t>
      </w:r>
      <w:r>
        <w:rPr>
          <w:color w:val="000000" w:themeColor="text1"/>
        </w:rPr>
        <w:t>(</w:t>
      </w:r>
      <w:r w:rsidR="007E6A60">
        <w:rPr>
          <w:color w:val="000000" w:themeColor="text1"/>
        </w:rPr>
        <w:t>newspaper editorials, blog posts, long essays, verbal exchanges in real time</w:t>
      </w:r>
      <w:r>
        <w:rPr>
          <w:color w:val="000000" w:themeColor="text1"/>
        </w:rPr>
        <w:t>),</w:t>
      </w:r>
      <w:r w:rsidR="00B3007F">
        <w:rPr>
          <w:color w:val="000000" w:themeColor="text1"/>
        </w:rPr>
        <w:t xml:space="preserve"> in addition to being able to </w:t>
      </w:r>
      <w:r w:rsidR="00F550FD">
        <w:rPr>
          <w:color w:val="000000" w:themeColor="text1"/>
        </w:rPr>
        <w:t xml:space="preserve">evaluate the cogency of </w:t>
      </w:r>
      <w:r w:rsidR="000069FF">
        <w:rPr>
          <w:color w:val="000000" w:themeColor="text1"/>
        </w:rPr>
        <w:t xml:space="preserve">theoretical and practical </w:t>
      </w:r>
      <w:r w:rsidR="00F550FD">
        <w:rPr>
          <w:color w:val="000000" w:themeColor="text1"/>
        </w:rPr>
        <w:t>explanations, handle questions requiring quantitative literacy</w:t>
      </w:r>
      <w:r w:rsidR="007E6A60">
        <w:rPr>
          <w:color w:val="000000" w:themeColor="text1"/>
        </w:rPr>
        <w:t xml:space="preserve">, and </w:t>
      </w:r>
      <w:r w:rsidR="008C5806">
        <w:rPr>
          <w:color w:val="000000" w:themeColor="text1"/>
        </w:rPr>
        <w:t>perhaps most importantly, recogniz</w:t>
      </w:r>
      <w:r w:rsidR="00B9152B">
        <w:rPr>
          <w:color w:val="000000" w:themeColor="text1"/>
        </w:rPr>
        <w:t>e</w:t>
      </w:r>
      <w:r w:rsidR="008C5806">
        <w:rPr>
          <w:color w:val="000000" w:themeColor="text1"/>
        </w:rPr>
        <w:t xml:space="preserve"> </w:t>
      </w:r>
      <w:r w:rsidR="00B9152B">
        <w:rPr>
          <w:color w:val="000000" w:themeColor="text1"/>
        </w:rPr>
        <w:t>personal</w:t>
      </w:r>
      <w:r w:rsidR="008C5806">
        <w:rPr>
          <w:color w:val="000000" w:themeColor="text1"/>
        </w:rPr>
        <w:t xml:space="preserve"> psychological weaknesses that interfere with unbiased judgment of new information.</w:t>
      </w:r>
      <w:r w:rsidR="000069FF">
        <w:rPr>
          <w:color w:val="000000" w:themeColor="text1"/>
        </w:rPr>
        <w:t xml:space="preserve">  Critical thinking is as much a cultivated attitude of maintaining solid mental hyg</w:t>
      </w:r>
      <w:r w:rsidR="002A63E4">
        <w:rPr>
          <w:color w:val="000000" w:themeColor="text1"/>
        </w:rPr>
        <w:t>i</w:t>
      </w:r>
      <w:r w:rsidR="000069FF">
        <w:rPr>
          <w:color w:val="000000" w:themeColor="text1"/>
        </w:rPr>
        <w:t>ene</w:t>
      </w:r>
      <w:r>
        <w:rPr>
          <w:color w:val="000000" w:themeColor="text1"/>
        </w:rPr>
        <w:t xml:space="preserve"> as it is</w:t>
      </w:r>
      <w:r w:rsidR="000069FF">
        <w:rPr>
          <w:color w:val="000000" w:themeColor="text1"/>
        </w:rPr>
        <w:t xml:space="preserve"> an intellectual feat of mastering </w:t>
      </w:r>
      <w:r w:rsidR="008A3A98">
        <w:rPr>
          <w:color w:val="000000" w:themeColor="text1"/>
        </w:rPr>
        <w:t>technical</w:t>
      </w:r>
      <w:r w:rsidR="000069FF">
        <w:rPr>
          <w:color w:val="000000" w:themeColor="text1"/>
        </w:rPr>
        <w:t xml:space="preserve"> concepts.  </w:t>
      </w:r>
      <w:r w:rsidR="002A63E4">
        <w:rPr>
          <w:color w:val="000000" w:themeColor="text1"/>
        </w:rPr>
        <w:t>A different questionnaire that can hit on some of these other desirable skill</w:t>
      </w:r>
      <w:r w:rsidR="00122E28">
        <w:rPr>
          <w:color w:val="000000" w:themeColor="text1"/>
        </w:rPr>
        <w:t>s</w:t>
      </w:r>
      <w:bookmarkStart w:id="0" w:name="_GoBack"/>
      <w:bookmarkEnd w:id="0"/>
      <w:r w:rsidR="002A63E4">
        <w:rPr>
          <w:color w:val="000000" w:themeColor="text1"/>
        </w:rPr>
        <w:t xml:space="preserve"> may be of interest to the full assessment of PHIL 200.</w:t>
      </w:r>
      <w:r w:rsidR="000069FF">
        <w:rPr>
          <w:color w:val="000000" w:themeColor="text1"/>
        </w:rPr>
        <w:t xml:space="preserve">  </w:t>
      </w:r>
    </w:p>
    <w:sectPr w:rsidR="002F3DF1" w:rsidRPr="00B20CD2" w:rsidSect="0082396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3E4E7" w14:textId="77777777" w:rsidR="00B525B6" w:rsidRDefault="00B525B6" w:rsidP="00642B03">
      <w:r>
        <w:separator/>
      </w:r>
    </w:p>
  </w:endnote>
  <w:endnote w:type="continuationSeparator" w:id="0">
    <w:p w14:paraId="416050AC" w14:textId="77777777" w:rsidR="00B525B6" w:rsidRDefault="00B525B6" w:rsidP="006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DB8A" w14:textId="77777777" w:rsidR="00B525B6" w:rsidRDefault="00B525B6" w:rsidP="00642B03">
      <w:r>
        <w:separator/>
      </w:r>
    </w:p>
  </w:footnote>
  <w:footnote w:type="continuationSeparator" w:id="0">
    <w:p w14:paraId="6DC9C3FD" w14:textId="77777777" w:rsidR="00B525B6" w:rsidRDefault="00B525B6" w:rsidP="00642B03">
      <w:r>
        <w:continuationSeparator/>
      </w:r>
    </w:p>
  </w:footnote>
  <w:footnote w:id="1">
    <w:p w14:paraId="772B0F31" w14:textId="66B0E635" w:rsidR="009B3650" w:rsidRDefault="009B3650">
      <w:pPr>
        <w:pStyle w:val="FootnoteText"/>
      </w:pPr>
      <w:r>
        <w:rPr>
          <w:rStyle w:val="FootnoteReference"/>
        </w:rPr>
        <w:footnoteRef/>
      </w:r>
      <w:r>
        <w:t xml:space="preserve"> The course title for PHIL 200 is “Critical Thinking.”  It is the same as the label for the set of eponymous skills, which also goes by “critical reasoning” or “critical analysis.”  When referring to the skills, I shall use lower case letters; upper case will be used for the course title.</w:t>
      </w:r>
    </w:p>
    <w:p w14:paraId="2B7C6E86" w14:textId="77777777" w:rsidR="003D79D6" w:rsidRDefault="003D79D6">
      <w:pPr>
        <w:pStyle w:val="FootnoteText"/>
      </w:pPr>
    </w:p>
  </w:footnote>
  <w:footnote w:id="2">
    <w:p w14:paraId="44F50E8E" w14:textId="53C72796" w:rsidR="001810B9" w:rsidRDefault="009B3650">
      <w:pPr>
        <w:pStyle w:val="FootnoteText"/>
      </w:pPr>
      <w:r>
        <w:rPr>
          <w:rStyle w:val="FootnoteReference"/>
        </w:rPr>
        <w:footnoteRef/>
      </w:r>
      <w:r>
        <w:t xml:space="preserve"> There are two types of arguments:  deductive and inductive.</w:t>
      </w:r>
      <w:r w:rsidR="001810B9">
        <w:t xml:space="preserve">  Students need to understand the difference between deduction and induction because they </w:t>
      </w:r>
      <w:r w:rsidR="008C2B84">
        <w:t>serve different argumentative purposes</w:t>
      </w:r>
      <w:r w:rsidR="001810B9">
        <w:t>.</w:t>
      </w:r>
      <w:r>
        <w:t xml:space="preserve">  </w:t>
      </w:r>
    </w:p>
    <w:p w14:paraId="69AA40FA" w14:textId="7F7ECB26" w:rsidR="009B3650" w:rsidRDefault="00062ED2" w:rsidP="001810B9">
      <w:pPr>
        <w:pStyle w:val="FootnoteText"/>
        <w:ind w:firstLine="720"/>
      </w:pPr>
      <w:r>
        <w:t>The purpose of a d</w:t>
      </w:r>
      <w:r w:rsidR="009B3650">
        <w:t xml:space="preserve">eductive argument </w:t>
      </w:r>
      <w:r>
        <w:t>is</w:t>
      </w:r>
      <w:r w:rsidR="009B3650">
        <w:t xml:space="preserve"> to show that the conclusion</w:t>
      </w:r>
      <w:r w:rsidR="00B61315">
        <w:t xml:space="preserve"> is fully contained, or implicit in, the premises</w:t>
      </w:r>
      <w:r w:rsidR="003D79D6">
        <w:t xml:space="preserve">.  </w:t>
      </w:r>
      <w:r w:rsidR="005C1288">
        <w:t>That is, its purpose is</w:t>
      </w:r>
      <w:r w:rsidR="003D79D6">
        <w:t xml:space="preserve"> to demonstrate that if one is committed to the premises, then one is also thereby committed to the conclusion</w:t>
      </w:r>
      <w:r w:rsidR="009B3650">
        <w:t>.</w:t>
      </w:r>
      <w:r w:rsidR="00382DE6">
        <w:t xml:space="preserve">  It can also be used to demonstrate that the conclusion is fully guaranteed by the premises.</w:t>
      </w:r>
      <w:r w:rsidR="009B3650">
        <w:t xml:space="preserve">  </w:t>
      </w:r>
      <w:r w:rsidR="00382DE6">
        <w:t>Good d</w:t>
      </w:r>
      <w:r w:rsidR="009B3650">
        <w:t xml:space="preserve">eductive arguments </w:t>
      </w:r>
      <w:r w:rsidR="00382DE6">
        <w:t>are</w:t>
      </w:r>
      <w:r w:rsidR="009B3650">
        <w:t xml:space="preserve"> </w:t>
      </w:r>
      <w:r w:rsidR="009B3650" w:rsidRPr="00A575F4">
        <w:rPr>
          <w:i/>
        </w:rPr>
        <w:t>valid</w:t>
      </w:r>
      <w:r w:rsidR="009B3650">
        <w:t xml:space="preserve">; the ones that </w:t>
      </w:r>
      <w:r w:rsidR="009A292B">
        <w:t xml:space="preserve">don’t guarantee the conclusion are </w:t>
      </w:r>
      <w:r w:rsidR="009B3650" w:rsidRPr="00A575F4">
        <w:rPr>
          <w:i/>
        </w:rPr>
        <w:t>invalid</w:t>
      </w:r>
      <w:r w:rsidR="009B3650">
        <w:t xml:space="preserve">.  </w:t>
      </w:r>
    </w:p>
    <w:p w14:paraId="795FF982" w14:textId="3E83CDBA" w:rsidR="009B3650" w:rsidRDefault="001810B9">
      <w:pPr>
        <w:pStyle w:val="FootnoteText"/>
      </w:pPr>
      <w:r>
        <w:tab/>
      </w:r>
      <w:r w:rsidR="00062ED2">
        <w:t>The purpose of an i</w:t>
      </w:r>
      <w:r>
        <w:t xml:space="preserve">nductive argument, on the other hand, </w:t>
      </w:r>
      <w:r w:rsidR="00062ED2">
        <w:t>is</w:t>
      </w:r>
      <w:r>
        <w:t xml:space="preserve"> to show that the premises lend a measure of probability to the conclusion.  </w:t>
      </w:r>
      <w:r w:rsidR="005C1288">
        <w:t>Its</w:t>
      </w:r>
      <w:r>
        <w:t xml:space="preserve"> purpose is not to show that the conclusion is guaranteed by the premises, as is the case with deductive arguments, but rather</w:t>
      </w:r>
      <w:r w:rsidR="00843B03">
        <w:t xml:space="preserve"> </w:t>
      </w:r>
      <w:r w:rsidR="009A3EBB">
        <w:t xml:space="preserve">to </w:t>
      </w:r>
      <w:r>
        <w:t>shore up sufficient data points to render probabl</w:t>
      </w:r>
      <w:r w:rsidR="009C4BA7">
        <w:t>e</w:t>
      </w:r>
      <w:r>
        <w:t xml:space="preserve"> the truth of the conclusion.   The ones that supply lots of relevant data points are </w:t>
      </w:r>
      <w:r w:rsidRPr="000E5251">
        <w:rPr>
          <w:i/>
        </w:rPr>
        <w:t>strong</w:t>
      </w:r>
      <w:r>
        <w:t xml:space="preserve">; the ones that don’t are </w:t>
      </w:r>
      <w:r w:rsidRPr="000E5251">
        <w:rPr>
          <w:i/>
        </w:rPr>
        <w:t>weak</w:t>
      </w:r>
      <w:r>
        <w:t>.  Unlike validity, which is a binary affair, inductive strength comes in degrees.</w:t>
      </w:r>
    </w:p>
    <w:p w14:paraId="17CE01C5" w14:textId="77777777" w:rsidR="001810B9" w:rsidRDefault="001810B9">
      <w:pPr>
        <w:pStyle w:val="FootnoteText"/>
      </w:pPr>
    </w:p>
  </w:footnote>
  <w:footnote w:id="3">
    <w:p w14:paraId="7142A23E" w14:textId="5ECFA8E7" w:rsidR="009B3650" w:rsidRDefault="009B3650">
      <w:pPr>
        <w:pStyle w:val="FootnoteText"/>
      </w:pPr>
      <w:r>
        <w:rPr>
          <w:rStyle w:val="FootnoteReference"/>
        </w:rPr>
        <w:footnoteRef/>
      </w:r>
      <w:r>
        <w:t xml:space="preserve"> Deductive and inductive arguments are evaluated in terms of two </w:t>
      </w:r>
      <w:r w:rsidR="00E32124">
        <w:t xml:space="preserve">separate </w:t>
      </w:r>
      <w:r>
        <w:t>considerations.  One is the truth or accuracy of the premises.</w:t>
      </w:r>
      <w:r w:rsidR="00E37136">
        <w:t xml:space="preserve">  The other is </w:t>
      </w:r>
      <w:r w:rsidR="00E37136">
        <w:t xml:space="preserve">their structure – validity and invalidity, in the case of deduction, and strength or weakness, in the case of induction.  </w:t>
      </w:r>
      <w:r w:rsidR="008018B1">
        <w:t xml:space="preserve"> </w:t>
      </w:r>
      <w:r>
        <w:t>Deductive arguments</w:t>
      </w:r>
      <w:r w:rsidR="008018B1">
        <w:t xml:space="preserve"> that</w:t>
      </w:r>
      <w:r>
        <w:t xml:space="preserve"> are both valid and have true premises are </w:t>
      </w:r>
      <w:proofErr w:type="gramStart"/>
      <w:r w:rsidRPr="004A54C6">
        <w:rPr>
          <w:i/>
        </w:rPr>
        <w:t>sound</w:t>
      </w:r>
      <w:r>
        <w:t xml:space="preserve">;  </w:t>
      </w:r>
      <w:r w:rsidR="002F2D32">
        <w:t>ones</w:t>
      </w:r>
      <w:proofErr w:type="gramEnd"/>
      <w:r w:rsidR="002F2D32">
        <w:t xml:space="preserve"> lacking one of both of these virtues are</w:t>
      </w:r>
      <w:r>
        <w:t xml:space="preserve"> </w:t>
      </w:r>
      <w:r w:rsidRPr="00FC305F">
        <w:rPr>
          <w:i/>
        </w:rPr>
        <w:t>unsound</w:t>
      </w:r>
      <w:r>
        <w:t xml:space="preserve">.   </w:t>
      </w:r>
      <w:r w:rsidR="002F2D32">
        <w:t xml:space="preserve">Inductive arguments that are both strong and have true premises are </w:t>
      </w:r>
      <w:r w:rsidR="002F2D32" w:rsidRPr="001C65AB">
        <w:rPr>
          <w:i/>
        </w:rPr>
        <w:t>cogent</w:t>
      </w:r>
      <w:r w:rsidR="002F2D32">
        <w:t xml:space="preserve">; ones that lack one or both of these virtues are </w:t>
      </w:r>
      <w:proofErr w:type="spellStart"/>
      <w:r w:rsidR="002F2D32" w:rsidRPr="001C65AB">
        <w:rPr>
          <w:i/>
        </w:rPr>
        <w:t>uncogent</w:t>
      </w:r>
      <w:proofErr w:type="spellEnd"/>
      <w:r w:rsidR="002F2D3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1165"/>
    <w:multiLevelType w:val="hybridMultilevel"/>
    <w:tmpl w:val="D216323A"/>
    <w:lvl w:ilvl="0" w:tplc="68FAC6B6">
      <w:start w:val="20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426F53"/>
    <w:multiLevelType w:val="hybridMultilevel"/>
    <w:tmpl w:val="3B408B9A"/>
    <w:lvl w:ilvl="0" w:tplc="1C7E5E2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178EB"/>
    <w:multiLevelType w:val="hybridMultilevel"/>
    <w:tmpl w:val="25C0A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B4200"/>
    <w:multiLevelType w:val="multilevel"/>
    <w:tmpl w:val="25C0A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B2F2FDA"/>
    <w:multiLevelType w:val="multilevel"/>
    <w:tmpl w:val="FE40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B8"/>
    <w:rsid w:val="000069FF"/>
    <w:rsid w:val="00007E3B"/>
    <w:rsid w:val="000145D0"/>
    <w:rsid w:val="00016BEA"/>
    <w:rsid w:val="00024DE1"/>
    <w:rsid w:val="00043F12"/>
    <w:rsid w:val="00047B1C"/>
    <w:rsid w:val="0006166F"/>
    <w:rsid w:val="00062ED2"/>
    <w:rsid w:val="00091580"/>
    <w:rsid w:val="000A3CEB"/>
    <w:rsid w:val="000A4692"/>
    <w:rsid w:val="000C7D3C"/>
    <w:rsid w:val="000D20E6"/>
    <w:rsid w:val="000D2635"/>
    <w:rsid w:val="000D26E1"/>
    <w:rsid w:val="000D5166"/>
    <w:rsid w:val="000E5251"/>
    <w:rsid w:val="000F526B"/>
    <w:rsid w:val="00101C3A"/>
    <w:rsid w:val="00122E28"/>
    <w:rsid w:val="00141331"/>
    <w:rsid w:val="00171E32"/>
    <w:rsid w:val="001810B9"/>
    <w:rsid w:val="00182A31"/>
    <w:rsid w:val="001952D5"/>
    <w:rsid w:val="001A2499"/>
    <w:rsid w:val="001A54F0"/>
    <w:rsid w:val="001C65AB"/>
    <w:rsid w:val="001D0122"/>
    <w:rsid w:val="001E2C47"/>
    <w:rsid w:val="001E3EDB"/>
    <w:rsid w:val="001F1D09"/>
    <w:rsid w:val="00203E05"/>
    <w:rsid w:val="0020668D"/>
    <w:rsid w:val="002110F6"/>
    <w:rsid w:val="00212C12"/>
    <w:rsid w:val="00216D01"/>
    <w:rsid w:val="00221C40"/>
    <w:rsid w:val="00222EFA"/>
    <w:rsid w:val="00235AF7"/>
    <w:rsid w:val="002449B4"/>
    <w:rsid w:val="0025616A"/>
    <w:rsid w:val="00267648"/>
    <w:rsid w:val="002776AF"/>
    <w:rsid w:val="002934EF"/>
    <w:rsid w:val="002A63E4"/>
    <w:rsid w:val="002C43A5"/>
    <w:rsid w:val="002D0120"/>
    <w:rsid w:val="002D2704"/>
    <w:rsid w:val="002D2819"/>
    <w:rsid w:val="002D6183"/>
    <w:rsid w:val="002F2D32"/>
    <w:rsid w:val="002F3DF1"/>
    <w:rsid w:val="00303345"/>
    <w:rsid w:val="00305E30"/>
    <w:rsid w:val="00307AA8"/>
    <w:rsid w:val="00315D78"/>
    <w:rsid w:val="003162EC"/>
    <w:rsid w:val="00333E47"/>
    <w:rsid w:val="00350CD3"/>
    <w:rsid w:val="00352B86"/>
    <w:rsid w:val="00356815"/>
    <w:rsid w:val="00357E5B"/>
    <w:rsid w:val="0037155C"/>
    <w:rsid w:val="00382DE6"/>
    <w:rsid w:val="00384088"/>
    <w:rsid w:val="003978A9"/>
    <w:rsid w:val="003A237E"/>
    <w:rsid w:val="003B1AF8"/>
    <w:rsid w:val="003C1179"/>
    <w:rsid w:val="003C731F"/>
    <w:rsid w:val="003D79D6"/>
    <w:rsid w:val="003E7DAD"/>
    <w:rsid w:val="003F6DFD"/>
    <w:rsid w:val="003F7066"/>
    <w:rsid w:val="00401627"/>
    <w:rsid w:val="004276BB"/>
    <w:rsid w:val="004317E3"/>
    <w:rsid w:val="00431AE4"/>
    <w:rsid w:val="00432F77"/>
    <w:rsid w:val="00441073"/>
    <w:rsid w:val="00445947"/>
    <w:rsid w:val="004662A7"/>
    <w:rsid w:val="00473B38"/>
    <w:rsid w:val="0049083B"/>
    <w:rsid w:val="0049343A"/>
    <w:rsid w:val="004A275E"/>
    <w:rsid w:val="004A4F61"/>
    <w:rsid w:val="004A54C6"/>
    <w:rsid w:val="004B3DF8"/>
    <w:rsid w:val="004B4AA2"/>
    <w:rsid w:val="004C1FCA"/>
    <w:rsid w:val="004D6C91"/>
    <w:rsid w:val="00534B04"/>
    <w:rsid w:val="005508B8"/>
    <w:rsid w:val="005545D2"/>
    <w:rsid w:val="00565BC5"/>
    <w:rsid w:val="005758F4"/>
    <w:rsid w:val="00590FBF"/>
    <w:rsid w:val="005914DB"/>
    <w:rsid w:val="005A3404"/>
    <w:rsid w:val="005C035F"/>
    <w:rsid w:val="005C1288"/>
    <w:rsid w:val="005D4808"/>
    <w:rsid w:val="005D5DEC"/>
    <w:rsid w:val="005E2BB6"/>
    <w:rsid w:val="00600B3A"/>
    <w:rsid w:val="00600CAE"/>
    <w:rsid w:val="00601ADD"/>
    <w:rsid w:val="0060745D"/>
    <w:rsid w:val="006155D8"/>
    <w:rsid w:val="00621E65"/>
    <w:rsid w:val="006224CA"/>
    <w:rsid w:val="00632E30"/>
    <w:rsid w:val="00640D58"/>
    <w:rsid w:val="00641B70"/>
    <w:rsid w:val="00642B03"/>
    <w:rsid w:val="00656B66"/>
    <w:rsid w:val="00682B71"/>
    <w:rsid w:val="006937FE"/>
    <w:rsid w:val="006944B1"/>
    <w:rsid w:val="006A4B17"/>
    <w:rsid w:val="006A720E"/>
    <w:rsid w:val="006A7303"/>
    <w:rsid w:val="006B66FB"/>
    <w:rsid w:val="006D7922"/>
    <w:rsid w:val="006F630F"/>
    <w:rsid w:val="006F6F4A"/>
    <w:rsid w:val="00706589"/>
    <w:rsid w:val="00711C6D"/>
    <w:rsid w:val="007221E1"/>
    <w:rsid w:val="00753E7D"/>
    <w:rsid w:val="00755336"/>
    <w:rsid w:val="00757121"/>
    <w:rsid w:val="007622CD"/>
    <w:rsid w:val="007653BE"/>
    <w:rsid w:val="00765E92"/>
    <w:rsid w:val="00795A50"/>
    <w:rsid w:val="007A4E25"/>
    <w:rsid w:val="007A53E8"/>
    <w:rsid w:val="007B7F71"/>
    <w:rsid w:val="007D0E84"/>
    <w:rsid w:val="007E4335"/>
    <w:rsid w:val="007E5235"/>
    <w:rsid w:val="007E6A60"/>
    <w:rsid w:val="007F2CBC"/>
    <w:rsid w:val="007F6244"/>
    <w:rsid w:val="007F72CA"/>
    <w:rsid w:val="008018B1"/>
    <w:rsid w:val="008043E1"/>
    <w:rsid w:val="0081729F"/>
    <w:rsid w:val="0082016A"/>
    <w:rsid w:val="00821129"/>
    <w:rsid w:val="0082324C"/>
    <w:rsid w:val="00823964"/>
    <w:rsid w:val="00835F83"/>
    <w:rsid w:val="00842EAF"/>
    <w:rsid w:val="00843B03"/>
    <w:rsid w:val="008539A9"/>
    <w:rsid w:val="00870CFD"/>
    <w:rsid w:val="00880F56"/>
    <w:rsid w:val="00893467"/>
    <w:rsid w:val="008A3A98"/>
    <w:rsid w:val="008A7618"/>
    <w:rsid w:val="008C2B84"/>
    <w:rsid w:val="008C5806"/>
    <w:rsid w:val="008D1F22"/>
    <w:rsid w:val="008D40EC"/>
    <w:rsid w:val="008F77B0"/>
    <w:rsid w:val="00914048"/>
    <w:rsid w:val="00916698"/>
    <w:rsid w:val="009330D9"/>
    <w:rsid w:val="009363ED"/>
    <w:rsid w:val="009556C0"/>
    <w:rsid w:val="00955BE3"/>
    <w:rsid w:val="0096595C"/>
    <w:rsid w:val="0096796B"/>
    <w:rsid w:val="0097303E"/>
    <w:rsid w:val="00980827"/>
    <w:rsid w:val="00984F3F"/>
    <w:rsid w:val="00986837"/>
    <w:rsid w:val="009A1F79"/>
    <w:rsid w:val="009A292B"/>
    <w:rsid w:val="009A3EBB"/>
    <w:rsid w:val="009B1D6F"/>
    <w:rsid w:val="009B3650"/>
    <w:rsid w:val="009C119B"/>
    <w:rsid w:val="009C267A"/>
    <w:rsid w:val="009C4BA7"/>
    <w:rsid w:val="009F2759"/>
    <w:rsid w:val="00A039E0"/>
    <w:rsid w:val="00A15AD8"/>
    <w:rsid w:val="00A16F25"/>
    <w:rsid w:val="00A575F4"/>
    <w:rsid w:val="00A678C5"/>
    <w:rsid w:val="00A67F82"/>
    <w:rsid w:val="00A7478D"/>
    <w:rsid w:val="00A74EE7"/>
    <w:rsid w:val="00A80C4C"/>
    <w:rsid w:val="00A80EF3"/>
    <w:rsid w:val="00A84948"/>
    <w:rsid w:val="00A86CCC"/>
    <w:rsid w:val="00A92E8E"/>
    <w:rsid w:val="00AA12A3"/>
    <w:rsid w:val="00AC385A"/>
    <w:rsid w:val="00AE4863"/>
    <w:rsid w:val="00AE7B96"/>
    <w:rsid w:val="00AF653F"/>
    <w:rsid w:val="00B07172"/>
    <w:rsid w:val="00B13D6F"/>
    <w:rsid w:val="00B20CD2"/>
    <w:rsid w:val="00B23FFD"/>
    <w:rsid w:val="00B3007F"/>
    <w:rsid w:val="00B525B6"/>
    <w:rsid w:val="00B61315"/>
    <w:rsid w:val="00B6443E"/>
    <w:rsid w:val="00B7425D"/>
    <w:rsid w:val="00B76CBA"/>
    <w:rsid w:val="00B82471"/>
    <w:rsid w:val="00B9152B"/>
    <w:rsid w:val="00B94F26"/>
    <w:rsid w:val="00BB2EF4"/>
    <w:rsid w:val="00BD334F"/>
    <w:rsid w:val="00BE3D9B"/>
    <w:rsid w:val="00BF7344"/>
    <w:rsid w:val="00C10FDF"/>
    <w:rsid w:val="00C252FB"/>
    <w:rsid w:val="00C27B86"/>
    <w:rsid w:val="00C27BB0"/>
    <w:rsid w:val="00C568EB"/>
    <w:rsid w:val="00C73C96"/>
    <w:rsid w:val="00C766C9"/>
    <w:rsid w:val="00C84B94"/>
    <w:rsid w:val="00CA7B21"/>
    <w:rsid w:val="00CB6875"/>
    <w:rsid w:val="00D56269"/>
    <w:rsid w:val="00D57A77"/>
    <w:rsid w:val="00D62F3A"/>
    <w:rsid w:val="00D9249F"/>
    <w:rsid w:val="00DA120D"/>
    <w:rsid w:val="00DB05C1"/>
    <w:rsid w:val="00DD615F"/>
    <w:rsid w:val="00E01B75"/>
    <w:rsid w:val="00E02C07"/>
    <w:rsid w:val="00E038AA"/>
    <w:rsid w:val="00E32124"/>
    <w:rsid w:val="00E339F2"/>
    <w:rsid w:val="00E37136"/>
    <w:rsid w:val="00E42373"/>
    <w:rsid w:val="00E52885"/>
    <w:rsid w:val="00E533FE"/>
    <w:rsid w:val="00E7534E"/>
    <w:rsid w:val="00E766B9"/>
    <w:rsid w:val="00E80B4C"/>
    <w:rsid w:val="00E81B4A"/>
    <w:rsid w:val="00ED228B"/>
    <w:rsid w:val="00ED2DD5"/>
    <w:rsid w:val="00ED31A6"/>
    <w:rsid w:val="00EE5653"/>
    <w:rsid w:val="00EE6781"/>
    <w:rsid w:val="00EF0EEE"/>
    <w:rsid w:val="00F053CA"/>
    <w:rsid w:val="00F0709F"/>
    <w:rsid w:val="00F0783F"/>
    <w:rsid w:val="00F308C1"/>
    <w:rsid w:val="00F550FD"/>
    <w:rsid w:val="00F57606"/>
    <w:rsid w:val="00F63E78"/>
    <w:rsid w:val="00F73683"/>
    <w:rsid w:val="00F8169D"/>
    <w:rsid w:val="00F9299C"/>
    <w:rsid w:val="00FA7AB5"/>
    <w:rsid w:val="00FB1345"/>
    <w:rsid w:val="00FB79E5"/>
    <w:rsid w:val="00FC305F"/>
    <w:rsid w:val="00FC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78D88"/>
  <w14:defaultImageDpi w14:val="32767"/>
  <w15:chartTrackingRefBased/>
  <w15:docId w15:val="{FCC7409B-80FA-9540-B4B8-7C8A0C0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99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99C"/>
    <w:pPr>
      <w:spacing w:before="100" w:beforeAutospacing="1" w:after="100" w:afterAutospacing="1"/>
    </w:pPr>
  </w:style>
  <w:style w:type="paragraph" w:styleId="FootnoteText">
    <w:name w:val="footnote text"/>
    <w:basedOn w:val="Normal"/>
    <w:link w:val="FootnoteTextChar"/>
    <w:uiPriority w:val="99"/>
    <w:semiHidden/>
    <w:unhideWhenUsed/>
    <w:rsid w:val="00642B03"/>
    <w:rPr>
      <w:sz w:val="20"/>
      <w:szCs w:val="20"/>
    </w:rPr>
  </w:style>
  <w:style w:type="character" w:customStyle="1" w:styleId="FootnoteTextChar">
    <w:name w:val="Footnote Text Char"/>
    <w:basedOn w:val="DefaultParagraphFont"/>
    <w:link w:val="FootnoteText"/>
    <w:uiPriority w:val="99"/>
    <w:semiHidden/>
    <w:rsid w:val="00642B03"/>
    <w:rPr>
      <w:rFonts w:eastAsia="Times New Roman" w:cs="Times New Roman"/>
      <w:sz w:val="20"/>
      <w:szCs w:val="20"/>
    </w:rPr>
  </w:style>
  <w:style w:type="character" w:styleId="FootnoteReference">
    <w:name w:val="footnote reference"/>
    <w:basedOn w:val="DefaultParagraphFont"/>
    <w:uiPriority w:val="99"/>
    <w:semiHidden/>
    <w:unhideWhenUsed/>
    <w:rsid w:val="00642B03"/>
    <w:rPr>
      <w:vertAlign w:val="superscript"/>
    </w:rPr>
  </w:style>
  <w:style w:type="table" w:styleId="TableGrid">
    <w:name w:val="Table Grid"/>
    <w:basedOn w:val="TableNormal"/>
    <w:uiPriority w:val="39"/>
    <w:rsid w:val="00AE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4F0"/>
    <w:pPr>
      <w:ind w:left="720"/>
      <w:contextualSpacing/>
    </w:pPr>
  </w:style>
  <w:style w:type="character" w:customStyle="1" w:styleId="apple-converted-space">
    <w:name w:val="apple-converted-space"/>
    <w:basedOn w:val="DefaultParagraphFont"/>
    <w:rsid w:val="001D0122"/>
  </w:style>
  <w:style w:type="paragraph" w:styleId="Header">
    <w:name w:val="header"/>
    <w:basedOn w:val="Normal"/>
    <w:link w:val="HeaderChar"/>
    <w:uiPriority w:val="99"/>
    <w:unhideWhenUsed/>
    <w:rsid w:val="00C84B94"/>
    <w:pPr>
      <w:tabs>
        <w:tab w:val="center" w:pos="4680"/>
        <w:tab w:val="right" w:pos="9360"/>
      </w:tabs>
    </w:pPr>
  </w:style>
  <w:style w:type="character" w:customStyle="1" w:styleId="HeaderChar">
    <w:name w:val="Header Char"/>
    <w:basedOn w:val="DefaultParagraphFont"/>
    <w:link w:val="Header"/>
    <w:uiPriority w:val="99"/>
    <w:rsid w:val="00C84B94"/>
    <w:rPr>
      <w:rFonts w:eastAsia="Times New Roman" w:cs="Times New Roman"/>
    </w:rPr>
  </w:style>
  <w:style w:type="paragraph" w:styleId="Footer">
    <w:name w:val="footer"/>
    <w:basedOn w:val="Normal"/>
    <w:link w:val="FooterChar"/>
    <w:uiPriority w:val="99"/>
    <w:unhideWhenUsed/>
    <w:rsid w:val="00C84B94"/>
    <w:pPr>
      <w:tabs>
        <w:tab w:val="center" w:pos="4680"/>
        <w:tab w:val="right" w:pos="9360"/>
      </w:tabs>
    </w:pPr>
  </w:style>
  <w:style w:type="character" w:customStyle="1" w:styleId="FooterChar">
    <w:name w:val="Footer Char"/>
    <w:basedOn w:val="DefaultParagraphFont"/>
    <w:link w:val="Footer"/>
    <w:uiPriority w:val="99"/>
    <w:rsid w:val="00C84B9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975">
      <w:bodyDiv w:val="1"/>
      <w:marLeft w:val="0"/>
      <w:marRight w:val="0"/>
      <w:marTop w:val="0"/>
      <w:marBottom w:val="0"/>
      <w:divBdr>
        <w:top w:val="none" w:sz="0" w:space="0" w:color="auto"/>
        <w:left w:val="none" w:sz="0" w:space="0" w:color="auto"/>
        <w:bottom w:val="none" w:sz="0" w:space="0" w:color="auto"/>
        <w:right w:val="none" w:sz="0" w:space="0" w:color="auto"/>
      </w:divBdr>
    </w:div>
    <w:div w:id="534002822">
      <w:bodyDiv w:val="1"/>
      <w:marLeft w:val="0"/>
      <w:marRight w:val="0"/>
      <w:marTop w:val="0"/>
      <w:marBottom w:val="0"/>
      <w:divBdr>
        <w:top w:val="none" w:sz="0" w:space="0" w:color="auto"/>
        <w:left w:val="none" w:sz="0" w:space="0" w:color="auto"/>
        <w:bottom w:val="none" w:sz="0" w:space="0" w:color="auto"/>
        <w:right w:val="none" w:sz="0" w:space="0" w:color="auto"/>
      </w:divBdr>
    </w:div>
    <w:div w:id="592057098">
      <w:bodyDiv w:val="1"/>
      <w:marLeft w:val="0"/>
      <w:marRight w:val="0"/>
      <w:marTop w:val="0"/>
      <w:marBottom w:val="0"/>
      <w:divBdr>
        <w:top w:val="none" w:sz="0" w:space="0" w:color="auto"/>
        <w:left w:val="none" w:sz="0" w:space="0" w:color="auto"/>
        <w:bottom w:val="none" w:sz="0" w:space="0" w:color="auto"/>
        <w:right w:val="none" w:sz="0" w:space="0" w:color="auto"/>
      </w:divBdr>
    </w:div>
    <w:div w:id="10173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Julie</dc:creator>
  <cp:keywords/>
  <dc:description/>
  <cp:lastModifiedBy>Julie Yoo</cp:lastModifiedBy>
  <cp:revision>242</cp:revision>
  <cp:lastPrinted>2019-10-03T20:41:00Z</cp:lastPrinted>
  <dcterms:created xsi:type="dcterms:W3CDTF">2019-10-01T20:14:00Z</dcterms:created>
  <dcterms:modified xsi:type="dcterms:W3CDTF">2019-10-04T18:27:00Z</dcterms:modified>
</cp:coreProperties>
</file>