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CC8F" w14:textId="77777777" w:rsidR="00281389" w:rsidRPr="0071569A" w:rsidRDefault="00B11847" w:rsidP="00281389">
      <w:pPr>
        <w:jc w:val="center"/>
        <w:rPr>
          <w:rFonts w:ascii="Times New Roman" w:hAnsi="Times New Roman"/>
          <w:b/>
          <w:sz w:val="20"/>
          <w:szCs w:val="20"/>
        </w:rPr>
      </w:pPr>
      <w:r w:rsidRPr="0071569A">
        <w:rPr>
          <w:rFonts w:ascii="Times New Roman" w:hAnsi="Times New Roman"/>
          <w:b/>
          <w:sz w:val="20"/>
          <w:szCs w:val="20"/>
        </w:rPr>
        <w:t>2</w:t>
      </w:r>
      <w:r w:rsidR="00707029" w:rsidRPr="0071569A">
        <w:rPr>
          <w:rFonts w:ascii="Times New Roman" w:hAnsi="Times New Roman"/>
          <w:b/>
          <w:sz w:val="20"/>
          <w:szCs w:val="20"/>
        </w:rPr>
        <w:t>019-2020</w:t>
      </w:r>
      <w:r w:rsidR="00281389" w:rsidRPr="0071569A">
        <w:rPr>
          <w:rFonts w:ascii="Times New Roman" w:hAnsi="Times New Roman"/>
          <w:b/>
          <w:sz w:val="20"/>
          <w:szCs w:val="20"/>
        </w:rPr>
        <w:t xml:space="preserve"> Annual Program Assessment Report</w:t>
      </w:r>
      <w:r w:rsidR="008B421D" w:rsidRPr="0071569A">
        <w:rPr>
          <w:rFonts w:ascii="Times New Roman" w:hAnsi="Times New Roman"/>
          <w:b/>
          <w:sz w:val="20"/>
          <w:szCs w:val="20"/>
        </w:rPr>
        <w:t xml:space="preserve"> Guide</w:t>
      </w:r>
    </w:p>
    <w:p w14:paraId="5A254A16" w14:textId="6BD6A784" w:rsidR="00281389" w:rsidRPr="0071569A" w:rsidRDefault="00281389" w:rsidP="00281389">
      <w:pPr>
        <w:rPr>
          <w:rFonts w:ascii="Times New Roman" w:hAnsi="Times New Roman"/>
          <w:sz w:val="20"/>
          <w:szCs w:val="20"/>
        </w:rPr>
      </w:pPr>
      <w:r w:rsidRPr="0071569A">
        <w:rPr>
          <w:rFonts w:ascii="Times New Roman" w:hAnsi="Times New Roman"/>
          <w:sz w:val="20"/>
          <w:szCs w:val="20"/>
        </w:rPr>
        <w:t xml:space="preserve">Please submit </w:t>
      </w:r>
      <w:r w:rsidR="00602010" w:rsidRPr="0071569A">
        <w:rPr>
          <w:rFonts w:ascii="Times New Roman" w:hAnsi="Times New Roman"/>
          <w:sz w:val="20"/>
          <w:szCs w:val="20"/>
        </w:rPr>
        <w:t xml:space="preserve">your </w:t>
      </w:r>
      <w:r w:rsidRPr="0071569A">
        <w:rPr>
          <w:rFonts w:ascii="Times New Roman" w:hAnsi="Times New Roman"/>
          <w:sz w:val="20"/>
          <w:szCs w:val="20"/>
        </w:rPr>
        <w:t xml:space="preserve">report to your department chair or program coordinator, the Associate Dean </w:t>
      </w:r>
      <w:r w:rsidR="00707029" w:rsidRPr="0071569A">
        <w:rPr>
          <w:rFonts w:ascii="Times New Roman" w:hAnsi="Times New Roman"/>
          <w:sz w:val="20"/>
          <w:szCs w:val="20"/>
        </w:rPr>
        <w:t xml:space="preserve">and Dean </w:t>
      </w:r>
      <w:r w:rsidRPr="0071569A">
        <w:rPr>
          <w:rFonts w:ascii="Times New Roman" w:hAnsi="Times New Roman"/>
          <w:sz w:val="20"/>
          <w:szCs w:val="20"/>
        </w:rPr>
        <w:t xml:space="preserve">of your College, and to </w:t>
      </w:r>
      <w:hyperlink r:id="rId8" w:history="1">
        <w:r w:rsidRPr="0071569A">
          <w:rPr>
            <w:rStyle w:val="Hyperlink"/>
            <w:rFonts w:ascii="Times New Roman" w:hAnsi="Times New Roman"/>
            <w:sz w:val="20"/>
            <w:szCs w:val="20"/>
          </w:rPr>
          <w:t>james.solomon@csun.edu</w:t>
        </w:r>
      </w:hyperlink>
      <w:r w:rsidRPr="0071569A">
        <w:rPr>
          <w:rFonts w:ascii="Times New Roman" w:hAnsi="Times New Roman"/>
          <w:sz w:val="20"/>
          <w:szCs w:val="20"/>
        </w:rPr>
        <w:t xml:space="preserve">, Director of the Office of Academic Assessment and Program Review, by </w:t>
      </w:r>
      <w:r w:rsidRPr="0071569A">
        <w:rPr>
          <w:rFonts w:ascii="Times New Roman" w:hAnsi="Times New Roman"/>
          <w:b/>
          <w:sz w:val="20"/>
          <w:szCs w:val="20"/>
        </w:rPr>
        <w:t xml:space="preserve">September </w:t>
      </w:r>
      <w:r w:rsidR="009471A9" w:rsidRPr="0071569A">
        <w:rPr>
          <w:rFonts w:ascii="Times New Roman" w:hAnsi="Times New Roman"/>
          <w:b/>
          <w:sz w:val="20"/>
          <w:szCs w:val="20"/>
        </w:rPr>
        <w:t>30</w:t>
      </w:r>
      <w:r w:rsidRPr="0071569A">
        <w:rPr>
          <w:rFonts w:ascii="Times New Roman" w:hAnsi="Times New Roman"/>
          <w:b/>
          <w:sz w:val="20"/>
          <w:szCs w:val="20"/>
        </w:rPr>
        <w:t>, 20</w:t>
      </w:r>
      <w:r w:rsidR="00707029" w:rsidRPr="0071569A">
        <w:rPr>
          <w:rFonts w:ascii="Times New Roman" w:hAnsi="Times New Roman"/>
          <w:b/>
          <w:sz w:val="20"/>
          <w:szCs w:val="20"/>
        </w:rPr>
        <w:t>20</w:t>
      </w:r>
      <w:r w:rsidRPr="0071569A">
        <w:rPr>
          <w:rFonts w:ascii="Times New Roman" w:hAnsi="Times New Roman"/>
          <w:sz w:val="20"/>
          <w:szCs w:val="20"/>
        </w:rPr>
        <w:t xml:space="preserve">. You may, but are not required to, submit a separate report for each program, including graduate degree programs, which conducted assessment activities, or you may combine programs in a single report.  </w:t>
      </w:r>
      <w:r w:rsidRPr="0071569A">
        <w:rPr>
          <w:rFonts w:ascii="Times New Roman" w:hAnsi="Times New Roman"/>
          <w:b/>
          <w:sz w:val="20"/>
          <w:szCs w:val="20"/>
        </w:rPr>
        <w:t xml:space="preserve">Please </w:t>
      </w:r>
      <w:r w:rsidR="009471A9" w:rsidRPr="0071569A">
        <w:rPr>
          <w:rFonts w:ascii="Times New Roman" w:hAnsi="Times New Roman"/>
          <w:b/>
          <w:sz w:val="20"/>
          <w:szCs w:val="20"/>
        </w:rPr>
        <w:t xml:space="preserve">include this form with your report in the same file and </w:t>
      </w:r>
      <w:r w:rsidRPr="0071569A">
        <w:rPr>
          <w:rFonts w:ascii="Times New Roman" w:hAnsi="Times New Roman"/>
          <w:b/>
          <w:sz w:val="20"/>
          <w:szCs w:val="20"/>
        </w:rPr>
        <w:t xml:space="preserve">identify your department/program </w:t>
      </w:r>
      <w:r w:rsidR="009471A9" w:rsidRPr="0071569A">
        <w:rPr>
          <w:rFonts w:ascii="Times New Roman" w:hAnsi="Times New Roman"/>
          <w:b/>
          <w:sz w:val="20"/>
          <w:szCs w:val="20"/>
        </w:rPr>
        <w:t>in the file name</w:t>
      </w:r>
      <w:r w:rsidRPr="0071569A">
        <w:rPr>
          <w:rFonts w:ascii="Times New Roman" w:hAnsi="Times New Roman"/>
          <w:b/>
          <w:sz w:val="20"/>
          <w:szCs w:val="20"/>
        </w:rPr>
        <w:t>.</w:t>
      </w:r>
      <w:r w:rsidR="00602010" w:rsidRPr="0071569A">
        <w:rPr>
          <w:rFonts w:ascii="Times New Roman" w:hAnsi="Times New Roman"/>
          <w:b/>
          <w:sz w:val="20"/>
          <w:szCs w:val="20"/>
        </w:rPr>
        <w:t xml:space="preserve">  Please do not change the date on the </w:t>
      </w:r>
      <w:r w:rsidR="001B6464" w:rsidRPr="0071569A">
        <w:rPr>
          <w:rFonts w:ascii="Times New Roman" w:hAnsi="Times New Roman"/>
          <w:b/>
          <w:sz w:val="20"/>
          <w:szCs w:val="20"/>
        </w:rPr>
        <w:t>form and</w:t>
      </w:r>
      <w:r w:rsidR="00602010" w:rsidRPr="0071569A">
        <w:rPr>
          <w:rFonts w:ascii="Times New Roman" w:hAnsi="Times New Roman"/>
          <w:b/>
          <w:sz w:val="20"/>
          <w:szCs w:val="20"/>
        </w:rPr>
        <w:t xml:space="preserve"> be sure to check that your report is ADA accessible.</w:t>
      </w:r>
    </w:p>
    <w:p w14:paraId="63981A69" w14:textId="77777777" w:rsidR="00281389" w:rsidRPr="0071569A" w:rsidRDefault="00281389" w:rsidP="00281389">
      <w:pPr>
        <w:rPr>
          <w:rFonts w:ascii="Times New Roman" w:hAnsi="Times New Roman"/>
          <w:b/>
          <w:sz w:val="20"/>
          <w:szCs w:val="20"/>
        </w:rPr>
      </w:pPr>
      <w:r w:rsidRPr="0071569A">
        <w:rPr>
          <w:rFonts w:ascii="Times New Roman" w:hAnsi="Times New Roman"/>
          <w:b/>
          <w:sz w:val="20"/>
          <w:szCs w:val="20"/>
        </w:rPr>
        <w:t xml:space="preserve">College: </w:t>
      </w:r>
      <w:r w:rsidR="008E5C80" w:rsidRPr="0071569A">
        <w:rPr>
          <w:b/>
          <w:sz w:val="24"/>
          <w:szCs w:val="24"/>
        </w:rPr>
        <w:t>Social and Behavioral Sciences</w:t>
      </w:r>
    </w:p>
    <w:p w14:paraId="5D3A27FA" w14:textId="77777777" w:rsidR="00281389" w:rsidRPr="0071569A" w:rsidRDefault="00281389" w:rsidP="00281389">
      <w:pPr>
        <w:rPr>
          <w:rFonts w:ascii="Times New Roman" w:hAnsi="Times New Roman"/>
          <w:b/>
          <w:sz w:val="20"/>
          <w:szCs w:val="20"/>
        </w:rPr>
      </w:pPr>
      <w:r w:rsidRPr="0071569A">
        <w:rPr>
          <w:rFonts w:ascii="Times New Roman" w:hAnsi="Times New Roman"/>
          <w:b/>
          <w:sz w:val="20"/>
          <w:szCs w:val="20"/>
        </w:rPr>
        <w:t xml:space="preserve">Department: </w:t>
      </w:r>
      <w:r w:rsidR="008E5C80" w:rsidRPr="0071569A">
        <w:rPr>
          <w:b/>
          <w:sz w:val="24"/>
          <w:szCs w:val="24"/>
        </w:rPr>
        <w:t>Criminology and Justice Studies</w:t>
      </w:r>
    </w:p>
    <w:p w14:paraId="30C07D0C" w14:textId="42F84C25" w:rsidR="00281389" w:rsidRPr="0071569A" w:rsidRDefault="00281389" w:rsidP="00281389">
      <w:pPr>
        <w:rPr>
          <w:b/>
          <w:sz w:val="24"/>
          <w:szCs w:val="24"/>
        </w:rPr>
      </w:pPr>
      <w:r w:rsidRPr="0071569A">
        <w:rPr>
          <w:rFonts w:ascii="Times New Roman" w:hAnsi="Times New Roman"/>
          <w:b/>
          <w:sz w:val="20"/>
          <w:szCs w:val="20"/>
        </w:rPr>
        <w:t xml:space="preserve">Assessment liaison: </w:t>
      </w:r>
      <w:r w:rsidR="00064372" w:rsidRPr="0071569A">
        <w:rPr>
          <w:b/>
          <w:sz w:val="24"/>
          <w:szCs w:val="24"/>
        </w:rPr>
        <w:t>Nayan G. Ramirez</w:t>
      </w:r>
    </w:p>
    <w:p w14:paraId="638A0A1A" w14:textId="77777777" w:rsidR="00281389" w:rsidRPr="0071569A" w:rsidRDefault="00281389" w:rsidP="00281389">
      <w:pPr>
        <w:pStyle w:val="MediumGrid1-Accent21"/>
        <w:numPr>
          <w:ilvl w:val="0"/>
          <w:numId w:val="1"/>
        </w:numPr>
        <w:rPr>
          <w:rFonts w:ascii="Times New Roman" w:hAnsi="Times New Roman"/>
          <w:b/>
          <w:sz w:val="20"/>
          <w:szCs w:val="20"/>
        </w:rPr>
      </w:pPr>
      <w:r w:rsidRPr="0071569A">
        <w:rPr>
          <w:rFonts w:ascii="Times New Roman" w:hAnsi="Times New Roman"/>
          <w:b/>
          <w:sz w:val="20"/>
          <w:szCs w:val="20"/>
        </w:rPr>
        <w:t>Please check off whichever is applicable:</w:t>
      </w:r>
    </w:p>
    <w:p w14:paraId="41B271FE" w14:textId="77777777" w:rsidR="00281389" w:rsidRPr="0071569A" w:rsidRDefault="00281389" w:rsidP="00281389">
      <w:pPr>
        <w:pStyle w:val="MediumGrid1-Accent21"/>
        <w:ind w:left="360"/>
        <w:rPr>
          <w:rFonts w:ascii="Times New Roman" w:hAnsi="Times New Roman"/>
          <w:b/>
          <w:sz w:val="20"/>
          <w:szCs w:val="20"/>
        </w:rPr>
      </w:pPr>
      <w:r w:rsidRPr="0071569A">
        <w:rPr>
          <w:rFonts w:ascii="Times New Roman" w:hAnsi="Times New Roman"/>
          <w:b/>
          <w:sz w:val="20"/>
          <w:szCs w:val="20"/>
        </w:rPr>
        <w:t>A.  ___</w:t>
      </w:r>
      <w:r w:rsidR="008E5C80" w:rsidRPr="0071569A">
        <w:rPr>
          <w:rFonts w:ascii="Times New Roman" w:hAnsi="Times New Roman"/>
          <w:b/>
          <w:sz w:val="20"/>
          <w:szCs w:val="20"/>
        </w:rPr>
        <w:t>X</w:t>
      </w:r>
      <w:r w:rsidRPr="0071569A">
        <w:rPr>
          <w:rFonts w:ascii="Times New Roman" w:hAnsi="Times New Roman"/>
          <w:b/>
          <w:sz w:val="20"/>
          <w:szCs w:val="20"/>
        </w:rPr>
        <w:t>_____  Measured student work within program major/options.</w:t>
      </w:r>
    </w:p>
    <w:p w14:paraId="75CC0259" w14:textId="77777777" w:rsidR="00281389" w:rsidRPr="0071569A" w:rsidRDefault="00281389" w:rsidP="00281389">
      <w:pPr>
        <w:pStyle w:val="MediumGrid1-Accent21"/>
        <w:ind w:left="360"/>
        <w:rPr>
          <w:rFonts w:ascii="Times New Roman" w:hAnsi="Times New Roman"/>
          <w:b/>
          <w:sz w:val="20"/>
          <w:szCs w:val="20"/>
        </w:rPr>
      </w:pPr>
      <w:r w:rsidRPr="0071569A">
        <w:rPr>
          <w:rFonts w:ascii="Times New Roman" w:hAnsi="Times New Roman"/>
          <w:b/>
          <w:sz w:val="20"/>
          <w:szCs w:val="20"/>
        </w:rPr>
        <w:t>B.  ________  Analyzed results of measurement within program major/options.</w:t>
      </w:r>
    </w:p>
    <w:p w14:paraId="2E8311CF" w14:textId="77777777" w:rsidR="000E5D8F" w:rsidRPr="0071569A" w:rsidRDefault="00281389" w:rsidP="000E5D8F">
      <w:pPr>
        <w:pStyle w:val="MediumGrid1-Accent21"/>
        <w:ind w:left="360"/>
        <w:rPr>
          <w:rFonts w:ascii="Times New Roman" w:hAnsi="Times New Roman"/>
          <w:b/>
          <w:sz w:val="20"/>
          <w:szCs w:val="20"/>
        </w:rPr>
      </w:pPr>
      <w:r w:rsidRPr="0071569A">
        <w:rPr>
          <w:rFonts w:ascii="Times New Roman" w:hAnsi="Times New Roman"/>
          <w:b/>
          <w:sz w:val="20"/>
          <w:szCs w:val="20"/>
        </w:rPr>
        <w:t>C.  ________  Applied results of analysis to program review/curriculum/review/revision major/options.</w:t>
      </w:r>
    </w:p>
    <w:p w14:paraId="754F073D" w14:textId="2BA96176" w:rsidR="000E5D8F" w:rsidRPr="0071569A" w:rsidRDefault="00281389" w:rsidP="000E5D8F">
      <w:pPr>
        <w:pStyle w:val="MediumGrid1-Accent21"/>
        <w:ind w:left="360"/>
        <w:rPr>
          <w:rFonts w:ascii="Times New Roman" w:hAnsi="Times New Roman"/>
          <w:b/>
          <w:sz w:val="20"/>
          <w:szCs w:val="20"/>
        </w:rPr>
      </w:pPr>
      <w:r w:rsidRPr="0071569A">
        <w:rPr>
          <w:rFonts w:ascii="Times New Roman" w:hAnsi="Times New Roman"/>
          <w:b/>
          <w:sz w:val="20"/>
          <w:szCs w:val="20"/>
        </w:rPr>
        <w:t xml:space="preserve">D. _________ </w:t>
      </w:r>
      <w:r w:rsidR="00C037E5" w:rsidRPr="0071569A">
        <w:rPr>
          <w:rFonts w:ascii="Times New Roman" w:hAnsi="Times New Roman"/>
          <w:b/>
          <w:sz w:val="20"/>
          <w:szCs w:val="20"/>
        </w:rPr>
        <w:t xml:space="preserve">Participated in the 2019-20 </w:t>
      </w:r>
      <w:r w:rsidR="004D20C5" w:rsidRPr="0071569A">
        <w:rPr>
          <w:rFonts w:ascii="Times New Roman" w:hAnsi="Times New Roman"/>
          <w:b/>
          <w:sz w:val="20"/>
          <w:szCs w:val="20"/>
        </w:rPr>
        <w:t>assessment</w:t>
      </w:r>
      <w:r w:rsidRPr="0071569A">
        <w:rPr>
          <w:rFonts w:ascii="Times New Roman" w:hAnsi="Times New Roman"/>
          <w:b/>
          <w:sz w:val="20"/>
          <w:szCs w:val="20"/>
        </w:rPr>
        <w:t xml:space="preserve"> of </w:t>
      </w:r>
      <w:r w:rsidR="000E5D8F" w:rsidRPr="0071569A">
        <w:rPr>
          <w:rFonts w:ascii="Times New Roman" w:hAnsi="Times New Roman"/>
          <w:b/>
          <w:sz w:val="20"/>
        </w:rPr>
        <w:t xml:space="preserve">General Education Section D: Social Sciences and U.S. History and </w:t>
      </w:r>
      <w:r w:rsidR="000E5D8F" w:rsidRPr="0071569A">
        <w:rPr>
          <w:rFonts w:ascii="Times New Roman" w:hAnsi="Times New Roman"/>
          <w:b/>
          <w:sz w:val="20"/>
        </w:rPr>
        <w:tab/>
      </w:r>
      <w:r w:rsidR="004D20C5" w:rsidRPr="0071569A">
        <w:rPr>
          <w:rFonts w:ascii="Times New Roman" w:hAnsi="Times New Roman"/>
          <w:b/>
          <w:sz w:val="20"/>
        </w:rPr>
        <w:t>Government</w:t>
      </w:r>
      <w:r w:rsidRPr="0071569A">
        <w:rPr>
          <w:rFonts w:ascii="Times New Roman" w:hAnsi="Times New Roman"/>
          <w:b/>
          <w:sz w:val="20"/>
          <w:szCs w:val="20"/>
        </w:rPr>
        <w:t xml:space="preserve"> </w:t>
      </w:r>
      <w:r w:rsidR="008B421D" w:rsidRPr="0071569A">
        <w:rPr>
          <w:rFonts w:ascii="Times New Roman" w:hAnsi="Times New Roman"/>
          <w:b/>
          <w:sz w:val="20"/>
          <w:szCs w:val="20"/>
        </w:rPr>
        <w:t xml:space="preserve">student </w:t>
      </w:r>
      <w:r w:rsidR="00B11847" w:rsidRPr="0071569A">
        <w:rPr>
          <w:rFonts w:ascii="Times New Roman" w:hAnsi="Times New Roman"/>
          <w:b/>
          <w:sz w:val="20"/>
          <w:szCs w:val="20"/>
        </w:rPr>
        <w:t xml:space="preserve">learning </w:t>
      </w:r>
      <w:r w:rsidRPr="0071569A">
        <w:rPr>
          <w:rFonts w:ascii="Times New Roman" w:hAnsi="Times New Roman"/>
          <w:b/>
          <w:sz w:val="20"/>
          <w:szCs w:val="20"/>
        </w:rPr>
        <w:t xml:space="preserve">outcomes    </w:t>
      </w:r>
    </w:p>
    <w:p w14:paraId="73D5B594" w14:textId="77777777" w:rsidR="00281389" w:rsidRPr="0071569A" w:rsidRDefault="00281389" w:rsidP="00281389">
      <w:pPr>
        <w:pStyle w:val="MediumGrid1-Accent21"/>
        <w:numPr>
          <w:ilvl w:val="0"/>
          <w:numId w:val="1"/>
        </w:numPr>
        <w:rPr>
          <w:rFonts w:ascii="Times New Roman" w:hAnsi="Times New Roman"/>
          <w:b/>
          <w:sz w:val="20"/>
          <w:szCs w:val="20"/>
        </w:rPr>
      </w:pPr>
      <w:r w:rsidRPr="0071569A">
        <w:rPr>
          <w:rFonts w:ascii="Times New Roman" w:hAnsi="Times New Roman"/>
          <w:b/>
          <w:sz w:val="20"/>
          <w:szCs w:val="20"/>
        </w:rPr>
        <w:t xml:space="preserve">Overview of Annual Assessment Project(s).  </w:t>
      </w:r>
      <w:r w:rsidRPr="0071569A">
        <w:rPr>
          <w:rFonts w:ascii="Times New Roman" w:hAnsi="Times New Roman"/>
          <w:sz w:val="20"/>
          <w:szCs w:val="20"/>
        </w:rPr>
        <w:t>On a separate sheet,</w:t>
      </w:r>
      <w:r w:rsidRPr="0071569A">
        <w:rPr>
          <w:rFonts w:ascii="Times New Roman" w:hAnsi="Times New Roman"/>
          <w:b/>
          <w:sz w:val="20"/>
          <w:szCs w:val="20"/>
        </w:rPr>
        <w:t xml:space="preserve"> </w:t>
      </w:r>
      <w:r w:rsidRPr="0071569A">
        <w:rPr>
          <w:rFonts w:ascii="Times New Roman" w:hAnsi="Times New Roman"/>
          <w:sz w:val="20"/>
          <w:szCs w:val="20"/>
        </w:rPr>
        <w:t>provide a brief overview of this year’s assessment activities, including:</w:t>
      </w:r>
    </w:p>
    <w:p w14:paraId="68A3E9DF" w14:textId="77777777" w:rsidR="00281389" w:rsidRPr="0071569A" w:rsidRDefault="00281389" w:rsidP="00281389">
      <w:pPr>
        <w:pStyle w:val="MediumGrid1-Accent21"/>
        <w:numPr>
          <w:ilvl w:val="0"/>
          <w:numId w:val="11"/>
        </w:numPr>
        <w:rPr>
          <w:rFonts w:ascii="Times New Roman" w:hAnsi="Times New Roman"/>
          <w:b/>
          <w:sz w:val="20"/>
          <w:szCs w:val="20"/>
        </w:rPr>
      </w:pPr>
      <w:r w:rsidRPr="0071569A">
        <w:rPr>
          <w:rFonts w:ascii="Times New Roman" w:hAnsi="Times New Roman"/>
          <w:sz w:val="20"/>
          <w:szCs w:val="20"/>
        </w:rPr>
        <w:t>an explanation for why your department chose the assessment activities (measurement, analysis, application, or GE assessment) that it enacted</w:t>
      </w:r>
    </w:p>
    <w:p w14:paraId="734FFAA2" w14:textId="77777777" w:rsidR="00281389" w:rsidRPr="0071569A" w:rsidRDefault="00281389" w:rsidP="00281389">
      <w:pPr>
        <w:pStyle w:val="MediumGrid1-Accent21"/>
        <w:numPr>
          <w:ilvl w:val="0"/>
          <w:numId w:val="11"/>
        </w:numPr>
        <w:rPr>
          <w:rFonts w:ascii="Times New Roman" w:hAnsi="Times New Roman"/>
          <w:b/>
          <w:sz w:val="20"/>
          <w:szCs w:val="20"/>
        </w:rPr>
      </w:pPr>
      <w:r w:rsidRPr="0071569A">
        <w:rPr>
          <w:rFonts w:ascii="Times New Roman" w:hAnsi="Times New Roman"/>
          <w:sz w:val="20"/>
          <w:szCs w:val="20"/>
        </w:rPr>
        <w:t xml:space="preserve">if your department implemented assessment </w:t>
      </w:r>
      <w:r w:rsidRPr="0071569A">
        <w:rPr>
          <w:rFonts w:ascii="Times New Roman" w:hAnsi="Times New Roman"/>
          <w:b/>
          <w:sz w:val="20"/>
          <w:szCs w:val="20"/>
        </w:rPr>
        <w:t>option A</w:t>
      </w:r>
      <w:r w:rsidRPr="0071569A">
        <w:rPr>
          <w:rFonts w:ascii="Times New Roman" w:hAnsi="Times New Roman"/>
          <w:sz w:val="20"/>
          <w:szCs w:val="20"/>
        </w:rPr>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p>
    <w:p w14:paraId="5E4F04E6" w14:textId="77777777" w:rsidR="00281389" w:rsidRPr="0071569A" w:rsidRDefault="00281389" w:rsidP="00281389">
      <w:pPr>
        <w:pStyle w:val="MediumGrid1-Accent21"/>
        <w:numPr>
          <w:ilvl w:val="0"/>
          <w:numId w:val="11"/>
        </w:numPr>
        <w:rPr>
          <w:rFonts w:ascii="Times New Roman" w:hAnsi="Times New Roman"/>
          <w:b/>
          <w:sz w:val="20"/>
          <w:szCs w:val="20"/>
        </w:rPr>
      </w:pPr>
      <w:r w:rsidRPr="0071569A">
        <w:rPr>
          <w:rFonts w:ascii="Times New Roman" w:hAnsi="Times New Roman"/>
          <w:sz w:val="20"/>
          <w:szCs w:val="20"/>
        </w:rPr>
        <w:t xml:space="preserve">if your department implemented assessment </w:t>
      </w:r>
      <w:r w:rsidRPr="0071569A">
        <w:rPr>
          <w:rFonts w:ascii="Times New Roman" w:hAnsi="Times New Roman"/>
          <w:b/>
          <w:sz w:val="20"/>
          <w:szCs w:val="20"/>
        </w:rPr>
        <w:t>option B</w:t>
      </w:r>
      <w:r w:rsidRPr="0071569A">
        <w:rPr>
          <w:rFonts w:ascii="Times New Roman" w:hAnsi="Times New Roman"/>
          <w:sz w:val="20"/>
          <w:szCs w:val="20"/>
        </w:rPr>
        <w:t>, identify what conclusions were drawn from the analysis of measured results, what changes to the program were planned in response, and the relation between this year’s analyses and past and future assessment activities</w:t>
      </w:r>
    </w:p>
    <w:p w14:paraId="187BC2B3" w14:textId="77777777" w:rsidR="00281389" w:rsidRPr="0071569A" w:rsidRDefault="00281389" w:rsidP="00281389">
      <w:pPr>
        <w:pStyle w:val="MediumGrid1-Accent21"/>
        <w:numPr>
          <w:ilvl w:val="0"/>
          <w:numId w:val="11"/>
        </w:numPr>
        <w:rPr>
          <w:rFonts w:ascii="Times New Roman" w:hAnsi="Times New Roman"/>
          <w:b/>
          <w:sz w:val="20"/>
          <w:szCs w:val="20"/>
        </w:rPr>
      </w:pPr>
      <w:r w:rsidRPr="0071569A">
        <w:rPr>
          <w:rFonts w:ascii="Times New Roman" w:hAnsi="Times New Roman"/>
          <w:sz w:val="20"/>
          <w:szCs w:val="20"/>
        </w:rPr>
        <w:t xml:space="preserve">if your department implemented </w:t>
      </w:r>
      <w:r w:rsidRPr="0071569A">
        <w:rPr>
          <w:rFonts w:ascii="Times New Roman" w:hAnsi="Times New Roman"/>
          <w:b/>
          <w:sz w:val="20"/>
          <w:szCs w:val="20"/>
        </w:rPr>
        <w:t>option C</w:t>
      </w:r>
      <w:r w:rsidRPr="0071569A">
        <w:rPr>
          <w:rFonts w:ascii="Times New Roman" w:hAnsi="Times New Roman"/>
          <w:sz w:val="20"/>
          <w:szCs w:val="20"/>
        </w:rPr>
        <w:t>, identify the program modifications that were adopted, and the relation between program modifications and past and future assessment activities</w:t>
      </w:r>
    </w:p>
    <w:p w14:paraId="5EE90A04" w14:textId="77777777" w:rsidR="00281389" w:rsidRPr="0071569A" w:rsidRDefault="00281389" w:rsidP="00281389">
      <w:pPr>
        <w:pStyle w:val="MediumGrid1-Accent21"/>
        <w:numPr>
          <w:ilvl w:val="0"/>
          <w:numId w:val="11"/>
        </w:numPr>
        <w:rPr>
          <w:rFonts w:ascii="Times New Roman" w:hAnsi="Times New Roman"/>
          <w:b/>
          <w:sz w:val="20"/>
          <w:szCs w:val="20"/>
        </w:rPr>
      </w:pPr>
      <w:r w:rsidRPr="0071569A">
        <w:rPr>
          <w:rFonts w:ascii="Times New Roman" w:hAnsi="Times New Roman"/>
          <w:sz w:val="20"/>
          <w:szCs w:val="20"/>
        </w:rPr>
        <w:t xml:space="preserve">if your program implemented </w:t>
      </w:r>
      <w:r w:rsidRPr="0071569A">
        <w:rPr>
          <w:rFonts w:ascii="Times New Roman" w:hAnsi="Times New Roman"/>
          <w:b/>
          <w:sz w:val="20"/>
          <w:szCs w:val="20"/>
        </w:rPr>
        <w:t>option D</w:t>
      </w:r>
      <w:r w:rsidRPr="0071569A">
        <w:rPr>
          <w:rFonts w:ascii="Times New Roman" w:hAnsi="Times New Roman"/>
          <w:sz w:val="20"/>
          <w:szCs w:val="20"/>
        </w:rPr>
        <w:t xml:space="preserve">, exclusively or simultaneously with </w:t>
      </w:r>
      <w:r w:rsidRPr="0071569A">
        <w:rPr>
          <w:rFonts w:ascii="Times New Roman" w:hAnsi="Times New Roman"/>
          <w:b/>
          <w:sz w:val="20"/>
          <w:szCs w:val="20"/>
        </w:rPr>
        <w:t>options</w:t>
      </w:r>
      <w:r w:rsidRPr="0071569A">
        <w:rPr>
          <w:rFonts w:ascii="Times New Roman" w:hAnsi="Times New Roman"/>
          <w:sz w:val="20"/>
          <w:szCs w:val="20"/>
        </w:rPr>
        <w:t xml:space="preserve"> </w:t>
      </w:r>
      <w:r w:rsidRPr="0071569A">
        <w:rPr>
          <w:rFonts w:ascii="Times New Roman" w:hAnsi="Times New Roman"/>
          <w:b/>
          <w:sz w:val="20"/>
          <w:szCs w:val="20"/>
        </w:rPr>
        <w:t>A, B, and/or C</w:t>
      </w:r>
      <w:r w:rsidRPr="0071569A">
        <w:rPr>
          <w:rFonts w:ascii="Times New Roman" w:hAnsi="Times New Roman"/>
          <w:sz w:val="20"/>
          <w:szCs w:val="20"/>
        </w:rPr>
        <w:t xml:space="preserve">, identify </w:t>
      </w:r>
      <w:r w:rsidR="0070631D" w:rsidRPr="0071569A">
        <w:rPr>
          <w:rFonts w:ascii="Times New Roman" w:hAnsi="Times New Roman"/>
          <w:sz w:val="20"/>
          <w:szCs w:val="20"/>
        </w:rPr>
        <w:t>the GE l</w:t>
      </w:r>
      <w:r w:rsidRPr="0071569A">
        <w:rPr>
          <w:rFonts w:ascii="Times New Roman" w:hAnsi="Times New Roman"/>
          <w:sz w:val="20"/>
          <w:szCs w:val="20"/>
        </w:rPr>
        <w:t>earning outcomes assessed, the assessment instruments and methodology employed, and the resulting scores</w:t>
      </w:r>
    </w:p>
    <w:p w14:paraId="2D32361D" w14:textId="77777777" w:rsidR="00281389" w:rsidRPr="0071569A" w:rsidRDefault="00281389" w:rsidP="00281389">
      <w:pPr>
        <w:pStyle w:val="MediumGrid1-Accent21"/>
        <w:numPr>
          <w:ilvl w:val="0"/>
          <w:numId w:val="11"/>
        </w:numPr>
        <w:rPr>
          <w:rFonts w:ascii="Times New Roman" w:hAnsi="Times New Roman"/>
          <w:b/>
          <w:sz w:val="20"/>
          <w:szCs w:val="20"/>
        </w:rPr>
      </w:pPr>
      <w:r w:rsidRPr="0071569A">
        <w:rPr>
          <w:rFonts w:ascii="Times New Roman" w:hAnsi="Times New Roman"/>
          <w:sz w:val="20"/>
          <w:szCs w:val="20"/>
        </w:rPr>
        <w:t>in what way(s) your assessment activities may reflect the university’s commitment to diversity in all its dimensions but especially with respect to underrepresented groups</w:t>
      </w:r>
    </w:p>
    <w:p w14:paraId="7A52B745" w14:textId="77777777" w:rsidR="00281389" w:rsidRPr="0071569A" w:rsidRDefault="00281389" w:rsidP="00281389">
      <w:pPr>
        <w:pStyle w:val="MediumGrid1-Accent21"/>
        <w:numPr>
          <w:ilvl w:val="0"/>
          <w:numId w:val="11"/>
        </w:numPr>
        <w:rPr>
          <w:rFonts w:ascii="Times New Roman" w:hAnsi="Times New Roman"/>
          <w:b/>
          <w:sz w:val="20"/>
          <w:szCs w:val="20"/>
        </w:rPr>
      </w:pPr>
      <w:r w:rsidRPr="0071569A">
        <w:rPr>
          <w:rFonts w:ascii="Times New Roman" w:hAnsi="Times New Roman"/>
          <w:sz w:val="20"/>
          <w:szCs w:val="20"/>
        </w:rPr>
        <w:t>any other assessment-related i</w:t>
      </w:r>
      <w:r w:rsidR="0070631D" w:rsidRPr="0071569A">
        <w:rPr>
          <w:rFonts w:ascii="Times New Roman" w:hAnsi="Times New Roman"/>
          <w:sz w:val="20"/>
          <w:szCs w:val="20"/>
        </w:rPr>
        <w:t xml:space="preserve">nformation you wish to include: e.g. </w:t>
      </w:r>
      <w:r w:rsidRPr="0071569A">
        <w:rPr>
          <w:rFonts w:ascii="Times New Roman" w:hAnsi="Times New Roman"/>
          <w:sz w:val="20"/>
          <w:szCs w:val="20"/>
        </w:rPr>
        <w:t>SLO revision (especially to ensure continuing alignment between program course offerings and both program and university stude</w:t>
      </w:r>
      <w:r w:rsidR="0070631D" w:rsidRPr="0071569A">
        <w:rPr>
          <w:rFonts w:ascii="Times New Roman" w:hAnsi="Times New Roman"/>
          <w:sz w:val="20"/>
          <w:szCs w:val="20"/>
        </w:rPr>
        <w:t xml:space="preserve">nt learning outcomes) and the creation or </w:t>
      </w:r>
      <w:r w:rsidRPr="0071569A">
        <w:rPr>
          <w:rFonts w:ascii="Times New Roman" w:hAnsi="Times New Roman"/>
          <w:sz w:val="20"/>
          <w:szCs w:val="20"/>
        </w:rPr>
        <w:t>modification of new assessment instruments</w:t>
      </w:r>
    </w:p>
    <w:p w14:paraId="524DCFDF" w14:textId="77777777" w:rsidR="00281389" w:rsidRPr="0071569A" w:rsidRDefault="00281389" w:rsidP="00281389">
      <w:pPr>
        <w:pStyle w:val="MediumGrid1-Accent21"/>
        <w:ind w:left="0"/>
        <w:rPr>
          <w:rFonts w:ascii="Times New Roman" w:hAnsi="Times New Roman"/>
          <w:b/>
          <w:sz w:val="20"/>
          <w:szCs w:val="20"/>
        </w:rPr>
      </w:pPr>
    </w:p>
    <w:p w14:paraId="0E2C76F4" w14:textId="77777777" w:rsidR="00281389" w:rsidRPr="0071569A" w:rsidRDefault="00281389" w:rsidP="00281389">
      <w:pPr>
        <w:pStyle w:val="MediumGrid1-Accent21"/>
        <w:ind w:left="0"/>
        <w:rPr>
          <w:rFonts w:ascii="Times New Roman" w:hAnsi="Times New Roman"/>
          <w:sz w:val="20"/>
          <w:szCs w:val="20"/>
        </w:rPr>
      </w:pPr>
      <w:r w:rsidRPr="0071569A">
        <w:rPr>
          <w:rFonts w:ascii="Times New Roman" w:hAnsi="Times New Roman"/>
          <w:b/>
          <w:sz w:val="20"/>
          <w:szCs w:val="20"/>
        </w:rPr>
        <w:t>3.     Preview of planned assessment activities for 20</w:t>
      </w:r>
      <w:r w:rsidR="00482856" w:rsidRPr="0071569A">
        <w:rPr>
          <w:rFonts w:ascii="Times New Roman" w:hAnsi="Times New Roman"/>
          <w:b/>
          <w:sz w:val="20"/>
          <w:szCs w:val="20"/>
        </w:rPr>
        <w:t>20-21</w:t>
      </w:r>
      <w:r w:rsidRPr="0071569A">
        <w:rPr>
          <w:rFonts w:ascii="Times New Roman" w:hAnsi="Times New Roman"/>
          <w:b/>
          <w:sz w:val="20"/>
          <w:szCs w:val="20"/>
        </w:rPr>
        <w:t xml:space="preserve">.  </w:t>
      </w:r>
      <w:r w:rsidRPr="0071569A">
        <w:rPr>
          <w:rFonts w:ascii="Times New Roman" w:hAnsi="Times New Roman"/>
          <w:sz w:val="20"/>
          <w:szCs w:val="20"/>
        </w:rPr>
        <w:t>Include a brief description as reflective of a continuous program of ongoing assessment.</w:t>
      </w:r>
    </w:p>
    <w:p w14:paraId="5EE862E9" w14:textId="77777777" w:rsidR="00732FE6" w:rsidRPr="0071569A" w:rsidRDefault="00732FE6">
      <w:pPr>
        <w:spacing w:after="0" w:line="240" w:lineRule="auto"/>
        <w:rPr>
          <w:rFonts w:eastAsiaTheme="majorEastAsia" w:cstheme="majorBidi"/>
          <w:b/>
          <w:sz w:val="26"/>
          <w:szCs w:val="26"/>
        </w:rPr>
      </w:pPr>
      <w:r w:rsidRPr="0071569A">
        <w:br w:type="page"/>
      </w:r>
    </w:p>
    <w:p w14:paraId="4D93A259" w14:textId="4B3D23FE" w:rsidR="008E5C80" w:rsidRPr="0071569A" w:rsidRDefault="00732FE6" w:rsidP="00732FE6">
      <w:pPr>
        <w:pStyle w:val="Heading1"/>
      </w:pPr>
      <w:r w:rsidRPr="0071569A">
        <w:lastRenderedPageBreak/>
        <w:t>Criminology and Justice Studies 2019-20 Annual Program Assessment Report</w:t>
      </w:r>
      <w:r w:rsidR="008E5C80" w:rsidRPr="0071569A">
        <w:t>:</w:t>
      </w:r>
    </w:p>
    <w:p w14:paraId="7C64F032" w14:textId="3BED9A5B" w:rsidR="00732FE6" w:rsidRPr="0071569A" w:rsidRDefault="00732FE6" w:rsidP="00732FE6">
      <w:pPr>
        <w:pStyle w:val="Heading2"/>
        <w:rPr>
          <w:szCs w:val="24"/>
        </w:rPr>
      </w:pPr>
      <w:r w:rsidRPr="0071569A">
        <w:rPr>
          <w:szCs w:val="24"/>
        </w:rPr>
        <w:t>Overview:</w:t>
      </w:r>
    </w:p>
    <w:p w14:paraId="1F90C540" w14:textId="56085AEC" w:rsidR="008E5C80" w:rsidRPr="0071569A" w:rsidRDefault="00732FE6" w:rsidP="00732FE6">
      <w:pPr>
        <w:pStyle w:val="MediumGrid1-Accent21"/>
        <w:ind w:left="0"/>
        <w:contextualSpacing w:val="0"/>
      </w:pPr>
      <w:r w:rsidRPr="0071569A">
        <w:t xml:space="preserve">The </w:t>
      </w:r>
      <w:r w:rsidR="008E5C80" w:rsidRPr="0071569A">
        <w:t xml:space="preserve">Criminology and Justice Studies </w:t>
      </w:r>
      <w:r w:rsidRPr="0071569A">
        <w:t xml:space="preserve">program </w:t>
      </w:r>
      <w:r w:rsidR="008E5C80" w:rsidRPr="0071569A">
        <w:t xml:space="preserve">was </w:t>
      </w:r>
      <w:r w:rsidRPr="0071569A">
        <w:t>established</w:t>
      </w:r>
      <w:r w:rsidR="008E5C80" w:rsidRPr="0071569A">
        <w:t xml:space="preserve"> in 2017. In our first year (2017-18), we developed assessment instruments and procedures. Last year (2018-19), we assessed </w:t>
      </w:r>
      <w:r w:rsidR="00B10BF7" w:rsidRPr="0071569A">
        <w:t>our first</w:t>
      </w:r>
      <w:r w:rsidR="008E5C80" w:rsidRPr="0071569A">
        <w:t xml:space="preserve"> PLO/SLO’s (communication in writing). This year (2019-20), we conducted assessment of student work (</w:t>
      </w:r>
      <w:r w:rsidR="00E66330">
        <w:t>N=</w:t>
      </w:r>
      <w:r w:rsidR="008E5C80" w:rsidRPr="0071569A">
        <w:t>8</w:t>
      </w:r>
      <w:r w:rsidR="00B10BF7" w:rsidRPr="0071569A">
        <w:t>2</w:t>
      </w:r>
      <w:r w:rsidR="008E5C80" w:rsidRPr="0071569A">
        <w:t xml:space="preserve"> class papers), conducted analysis of the results, and are awaiting decision on application of this </w:t>
      </w:r>
      <w:r w:rsidR="00B10BF7" w:rsidRPr="0071569A">
        <w:t>data</w:t>
      </w:r>
      <w:r w:rsidR="008E5C80" w:rsidRPr="0071569A">
        <w:t>, which will be discussed at an upcoming faculty meeting</w:t>
      </w:r>
      <w:r w:rsidR="0071569A">
        <w:t xml:space="preserve">. We will </w:t>
      </w:r>
      <w:r w:rsidR="008E5C80" w:rsidRPr="0071569A">
        <w:t xml:space="preserve">examine how </w:t>
      </w:r>
      <w:r w:rsidR="00B10BF7" w:rsidRPr="0071569A">
        <w:t>results from this year’s assessment</w:t>
      </w:r>
      <w:r w:rsidR="008E5C80" w:rsidRPr="0071569A">
        <w:t xml:space="preserve"> could impact our curriculum and help modify the SLO’s.</w:t>
      </w:r>
    </w:p>
    <w:p w14:paraId="66D4DAAE" w14:textId="77C55B83" w:rsidR="008E5C80" w:rsidRPr="0071569A" w:rsidRDefault="008E5C80" w:rsidP="00732FE6">
      <w:pPr>
        <w:pStyle w:val="MediumGrid1-Accent21"/>
        <w:ind w:left="0"/>
        <w:contextualSpacing w:val="0"/>
      </w:pPr>
      <w:r w:rsidRPr="0071569A">
        <w:t xml:space="preserve">This year, our </w:t>
      </w:r>
      <w:r w:rsidR="00732FE6" w:rsidRPr="0071569A">
        <w:t xml:space="preserve">program </w:t>
      </w:r>
      <w:r w:rsidRPr="0071569A">
        <w:t>assessment focused on:</w:t>
      </w:r>
    </w:p>
    <w:p w14:paraId="49914EF4" w14:textId="77777777" w:rsidR="008E5C80" w:rsidRPr="0071569A" w:rsidRDefault="008E5C80" w:rsidP="00732FE6">
      <w:pPr>
        <w:pStyle w:val="MediumGrid1-Accent21"/>
        <w:contextualSpacing w:val="0"/>
      </w:pPr>
      <w:r w:rsidRPr="0071569A">
        <w:rPr>
          <w:b/>
          <w:bCs/>
        </w:rPr>
        <w:t>CJS Program Learning Objective #2</w:t>
      </w:r>
      <w:r w:rsidRPr="0071569A">
        <w:t>: Criminology and Justice Studies students will demonstrate the ability to apply criminological theory, research methods, and appropriate technology to assess, evaluate, and address issues in the practice of criminology and criminal justice.</w:t>
      </w:r>
    </w:p>
    <w:p w14:paraId="0BAC352E" w14:textId="77777777" w:rsidR="008E5C80" w:rsidRPr="0071569A" w:rsidRDefault="008E5C80" w:rsidP="00732FE6">
      <w:pPr>
        <w:pStyle w:val="MediumGrid1-Accent21"/>
        <w:contextualSpacing w:val="0"/>
      </w:pPr>
      <w:r w:rsidRPr="0071569A">
        <w:rPr>
          <w:b/>
          <w:bCs/>
          <w:i/>
          <w:iCs/>
        </w:rPr>
        <w:t>Student Learning Outcome 2B</w:t>
      </w:r>
      <w:r w:rsidR="00275BF2" w:rsidRPr="0071569A">
        <w:t xml:space="preserve">: </w:t>
      </w:r>
      <w:r w:rsidRPr="0071569A">
        <w:t>Students will apply research findings to hypothetical or real case study situations in the practice of criminology and criminal justice.</w:t>
      </w:r>
    </w:p>
    <w:p w14:paraId="33B9A55C" w14:textId="37426002" w:rsidR="008E5C80" w:rsidRPr="0071569A" w:rsidRDefault="001B6464" w:rsidP="00732FE6">
      <w:pPr>
        <w:pStyle w:val="Heading2"/>
        <w:rPr>
          <w:szCs w:val="24"/>
        </w:rPr>
      </w:pPr>
      <w:r>
        <w:rPr>
          <w:szCs w:val="24"/>
        </w:rPr>
        <w:t>Assessment Results</w:t>
      </w:r>
      <w:r w:rsidR="008E5C80" w:rsidRPr="0071569A">
        <w:rPr>
          <w:szCs w:val="24"/>
        </w:rPr>
        <w:t>:</w:t>
      </w:r>
    </w:p>
    <w:p w14:paraId="036B79D2" w14:textId="0A5B15FE" w:rsidR="00B10BF7" w:rsidRDefault="00147803" w:rsidP="00732FE6">
      <w:pPr>
        <w:pStyle w:val="MediumGrid1-Accent21"/>
        <w:ind w:left="0"/>
        <w:contextualSpacing w:val="0"/>
      </w:pPr>
      <w:r w:rsidRPr="0071569A">
        <w:t xml:space="preserve">Overall, we measured the work of 82 students across all four </w:t>
      </w:r>
      <w:r w:rsidR="00064372" w:rsidRPr="0071569A">
        <w:t>academic</w:t>
      </w:r>
      <w:r w:rsidRPr="0071569A">
        <w:t xml:space="preserve"> levels. Students’ work was assessed across six domains associated with the PLO/SLOs stated above. </w:t>
      </w:r>
      <w:r w:rsidR="00B10BF7" w:rsidRPr="0071569A">
        <w:t xml:space="preserve">The </w:t>
      </w:r>
      <w:r w:rsidR="00B10BF7" w:rsidRPr="0071569A">
        <w:rPr>
          <w:b/>
          <w:bCs/>
        </w:rPr>
        <w:t>overall</w:t>
      </w:r>
      <w:r w:rsidR="00B10BF7" w:rsidRPr="0071569A">
        <w:t xml:space="preserve"> score represents the percentage of points achieved by students in that </w:t>
      </w:r>
      <w:r w:rsidR="002C0B93" w:rsidRPr="0071569A">
        <w:t>academic level</w:t>
      </w:r>
      <w:r w:rsidR="00B10BF7" w:rsidRPr="0071569A">
        <w:t xml:space="preserve"> out of the total number of points. As demonstrated in the table below, we see growth from freshmen status to senior status, with juniors and seniors having similar overall scores to each other</w:t>
      </w:r>
      <w:r w:rsidR="0071569A">
        <w:t xml:space="preserve"> </w:t>
      </w:r>
      <w:r w:rsidR="00B10BF7" w:rsidRPr="0071569A">
        <w:t xml:space="preserve">but substantially higher </w:t>
      </w:r>
      <w:r w:rsidR="0071569A">
        <w:t xml:space="preserve">overall scores </w:t>
      </w:r>
      <w:r w:rsidR="00B10BF7" w:rsidRPr="0071569A">
        <w:t>than freshmen and sophomore.</w:t>
      </w:r>
    </w:p>
    <w:tbl>
      <w:tblPr>
        <w:tblStyle w:val="TableGrid"/>
        <w:tblW w:w="7840" w:type="dxa"/>
        <w:jc w:val="center"/>
        <w:tblLook w:val="04A0" w:firstRow="1" w:lastRow="0" w:firstColumn="1" w:lastColumn="0" w:noHBand="0" w:noVBand="1"/>
      </w:tblPr>
      <w:tblGrid>
        <w:gridCol w:w="1598"/>
        <w:gridCol w:w="1210"/>
        <w:gridCol w:w="1180"/>
        <w:gridCol w:w="1952"/>
        <w:gridCol w:w="1900"/>
      </w:tblGrid>
      <w:tr w:rsidR="0071569A" w:rsidRPr="0071569A" w14:paraId="1E3F6D99" w14:textId="77777777" w:rsidTr="00DC5FE6">
        <w:trPr>
          <w:trHeight w:val="290"/>
          <w:jc w:val="center"/>
        </w:trPr>
        <w:tc>
          <w:tcPr>
            <w:tcW w:w="1598" w:type="dxa"/>
            <w:noWrap/>
            <w:vAlign w:val="bottom"/>
            <w:hideMark/>
          </w:tcPr>
          <w:p w14:paraId="69A6A5BA" w14:textId="77777777" w:rsidR="0071569A" w:rsidRPr="0071569A" w:rsidRDefault="0071569A" w:rsidP="00DC5FE6">
            <w:pPr>
              <w:spacing w:after="0"/>
              <w:jc w:val="center"/>
              <w:rPr>
                <w:rFonts w:cs="Calibri"/>
                <w:b/>
                <w:bCs/>
                <w:color w:val="000000"/>
                <w:sz w:val="20"/>
                <w:szCs w:val="20"/>
              </w:rPr>
            </w:pPr>
            <w:r w:rsidRPr="0071569A">
              <w:rPr>
                <w:rFonts w:cs="Calibri"/>
                <w:b/>
                <w:bCs/>
                <w:color w:val="000000"/>
                <w:sz w:val="20"/>
                <w:szCs w:val="20"/>
              </w:rPr>
              <w:t>Academic Level</w:t>
            </w:r>
          </w:p>
        </w:tc>
        <w:tc>
          <w:tcPr>
            <w:tcW w:w="1210" w:type="dxa"/>
            <w:noWrap/>
            <w:vAlign w:val="bottom"/>
            <w:hideMark/>
          </w:tcPr>
          <w:p w14:paraId="3930C130" w14:textId="77777777" w:rsidR="0071569A" w:rsidRPr="0071569A" w:rsidRDefault="0071569A" w:rsidP="00DC5FE6">
            <w:pPr>
              <w:spacing w:after="0"/>
              <w:jc w:val="center"/>
              <w:rPr>
                <w:rFonts w:cs="Calibri"/>
                <w:b/>
                <w:bCs/>
                <w:color w:val="000000"/>
                <w:sz w:val="20"/>
                <w:szCs w:val="20"/>
              </w:rPr>
            </w:pPr>
            <w:r w:rsidRPr="0071569A">
              <w:rPr>
                <w:rFonts w:cs="Calibri"/>
                <w:b/>
                <w:bCs/>
                <w:color w:val="000000"/>
                <w:sz w:val="20"/>
                <w:szCs w:val="20"/>
              </w:rPr>
              <w:t>Sample</w:t>
            </w:r>
          </w:p>
        </w:tc>
        <w:tc>
          <w:tcPr>
            <w:tcW w:w="1180" w:type="dxa"/>
            <w:noWrap/>
            <w:vAlign w:val="bottom"/>
            <w:hideMark/>
          </w:tcPr>
          <w:p w14:paraId="1E702881" w14:textId="77777777" w:rsidR="0071569A" w:rsidRPr="0071569A" w:rsidRDefault="0071569A" w:rsidP="00DC5FE6">
            <w:pPr>
              <w:spacing w:after="0"/>
              <w:jc w:val="center"/>
              <w:rPr>
                <w:rFonts w:cs="Calibri"/>
                <w:b/>
                <w:bCs/>
                <w:color w:val="000000"/>
                <w:sz w:val="20"/>
                <w:szCs w:val="20"/>
              </w:rPr>
            </w:pPr>
            <w:r w:rsidRPr="0071569A">
              <w:rPr>
                <w:rFonts w:cs="Calibri"/>
                <w:b/>
                <w:bCs/>
                <w:color w:val="000000"/>
                <w:sz w:val="20"/>
                <w:szCs w:val="20"/>
              </w:rPr>
              <w:t>Overall</w:t>
            </w:r>
          </w:p>
        </w:tc>
        <w:tc>
          <w:tcPr>
            <w:tcW w:w="1952" w:type="dxa"/>
            <w:noWrap/>
            <w:vAlign w:val="bottom"/>
            <w:hideMark/>
          </w:tcPr>
          <w:p w14:paraId="4FCE9D14" w14:textId="77777777" w:rsidR="0071569A" w:rsidRPr="0071569A" w:rsidRDefault="0071569A" w:rsidP="00DC5FE6">
            <w:pPr>
              <w:spacing w:after="0"/>
              <w:jc w:val="center"/>
              <w:rPr>
                <w:rFonts w:cs="Calibri"/>
                <w:b/>
                <w:bCs/>
                <w:color w:val="000000"/>
                <w:sz w:val="20"/>
                <w:szCs w:val="20"/>
              </w:rPr>
            </w:pPr>
            <w:r w:rsidRPr="0071569A">
              <w:rPr>
                <w:rFonts w:cs="Calibri"/>
                <w:b/>
                <w:bCs/>
                <w:color w:val="000000"/>
                <w:sz w:val="20"/>
                <w:szCs w:val="20"/>
              </w:rPr>
              <w:t>Organization</w:t>
            </w:r>
          </w:p>
        </w:tc>
        <w:tc>
          <w:tcPr>
            <w:tcW w:w="1900" w:type="dxa"/>
            <w:noWrap/>
            <w:vAlign w:val="bottom"/>
            <w:hideMark/>
          </w:tcPr>
          <w:p w14:paraId="446CD54B" w14:textId="77777777" w:rsidR="0071569A" w:rsidRPr="0071569A" w:rsidRDefault="0071569A" w:rsidP="00DC5FE6">
            <w:pPr>
              <w:spacing w:after="0"/>
              <w:jc w:val="center"/>
              <w:rPr>
                <w:rFonts w:cs="Calibri"/>
                <w:b/>
                <w:bCs/>
                <w:color w:val="000000"/>
                <w:sz w:val="20"/>
                <w:szCs w:val="20"/>
              </w:rPr>
            </w:pPr>
            <w:r w:rsidRPr="0071569A">
              <w:rPr>
                <w:rFonts w:cs="Calibri"/>
                <w:b/>
                <w:bCs/>
                <w:color w:val="000000"/>
                <w:sz w:val="20"/>
                <w:szCs w:val="20"/>
              </w:rPr>
              <w:t>Engagement</w:t>
            </w:r>
          </w:p>
        </w:tc>
      </w:tr>
      <w:tr w:rsidR="0071569A" w:rsidRPr="0071569A" w14:paraId="0C1D8935" w14:textId="77777777" w:rsidTr="00DC5FE6">
        <w:trPr>
          <w:trHeight w:val="290"/>
          <w:jc w:val="center"/>
        </w:trPr>
        <w:tc>
          <w:tcPr>
            <w:tcW w:w="1598" w:type="dxa"/>
            <w:noWrap/>
            <w:hideMark/>
          </w:tcPr>
          <w:p w14:paraId="025C47C6" w14:textId="77777777" w:rsidR="0071569A" w:rsidRPr="0071569A" w:rsidRDefault="0071569A" w:rsidP="00DC5FE6">
            <w:pPr>
              <w:spacing w:after="0"/>
              <w:rPr>
                <w:rFonts w:cs="Calibri"/>
                <w:color w:val="000000"/>
                <w:sz w:val="20"/>
                <w:szCs w:val="20"/>
              </w:rPr>
            </w:pPr>
            <w:r w:rsidRPr="0071569A">
              <w:rPr>
                <w:rFonts w:cs="Calibri"/>
                <w:color w:val="000000"/>
                <w:sz w:val="20"/>
                <w:szCs w:val="20"/>
              </w:rPr>
              <w:t>Freshmen</w:t>
            </w:r>
          </w:p>
        </w:tc>
        <w:tc>
          <w:tcPr>
            <w:tcW w:w="1210" w:type="dxa"/>
            <w:noWrap/>
            <w:hideMark/>
          </w:tcPr>
          <w:p w14:paraId="293A2B75"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26</w:t>
            </w:r>
          </w:p>
        </w:tc>
        <w:tc>
          <w:tcPr>
            <w:tcW w:w="1180" w:type="dxa"/>
            <w:noWrap/>
            <w:hideMark/>
          </w:tcPr>
          <w:p w14:paraId="37A1E7A5"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63%</w:t>
            </w:r>
          </w:p>
        </w:tc>
        <w:tc>
          <w:tcPr>
            <w:tcW w:w="1952" w:type="dxa"/>
            <w:noWrap/>
            <w:hideMark/>
          </w:tcPr>
          <w:p w14:paraId="59408200"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77%</w:t>
            </w:r>
          </w:p>
        </w:tc>
        <w:tc>
          <w:tcPr>
            <w:tcW w:w="1900" w:type="dxa"/>
            <w:noWrap/>
            <w:hideMark/>
          </w:tcPr>
          <w:p w14:paraId="1AC82AC5"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73%</w:t>
            </w:r>
          </w:p>
        </w:tc>
      </w:tr>
      <w:tr w:rsidR="0071569A" w:rsidRPr="0071569A" w14:paraId="5DB5D983" w14:textId="77777777" w:rsidTr="00DC5FE6">
        <w:trPr>
          <w:trHeight w:val="290"/>
          <w:jc w:val="center"/>
        </w:trPr>
        <w:tc>
          <w:tcPr>
            <w:tcW w:w="1598" w:type="dxa"/>
            <w:noWrap/>
            <w:hideMark/>
          </w:tcPr>
          <w:p w14:paraId="64256E39" w14:textId="77777777" w:rsidR="0071569A" w:rsidRPr="0071569A" w:rsidRDefault="0071569A" w:rsidP="00DC5FE6">
            <w:pPr>
              <w:spacing w:after="0"/>
              <w:rPr>
                <w:rFonts w:cs="Calibri"/>
                <w:color w:val="000000"/>
                <w:sz w:val="20"/>
                <w:szCs w:val="20"/>
              </w:rPr>
            </w:pPr>
            <w:r w:rsidRPr="0071569A">
              <w:rPr>
                <w:rFonts w:cs="Calibri"/>
                <w:color w:val="000000"/>
                <w:sz w:val="20"/>
                <w:szCs w:val="20"/>
              </w:rPr>
              <w:t>Sophomore</w:t>
            </w:r>
          </w:p>
        </w:tc>
        <w:tc>
          <w:tcPr>
            <w:tcW w:w="1210" w:type="dxa"/>
            <w:noWrap/>
            <w:hideMark/>
          </w:tcPr>
          <w:p w14:paraId="0B0274D9"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9</w:t>
            </w:r>
          </w:p>
        </w:tc>
        <w:tc>
          <w:tcPr>
            <w:tcW w:w="1180" w:type="dxa"/>
            <w:noWrap/>
            <w:hideMark/>
          </w:tcPr>
          <w:p w14:paraId="78497122"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67%</w:t>
            </w:r>
          </w:p>
        </w:tc>
        <w:tc>
          <w:tcPr>
            <w:tcW w:w="1952" w:type="dxa"/>
            <w:noWrap/>
            <w:hideMark/>
          </w:tcPr>
          <w:p w14:paraId="3486306B"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72%</w:t>
            </w:r>
          </w:p>
        </w:tc>
        <w:tc>
          <w:tcPr>
            <w:tcW w:w="1900" w:type="dxa"/>
            <w:noWrap/>
            <w:hideMark/>
          </w:tcPr>
          <w:p w14:paraId="1AFC5782"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67%</w:t>
            </w:r>
          </w:p>
        </w:tc>
      </w:tr>
      <w:tr w:rsidR="0071569A" w:rsidRPr="0071569A" w14:paraId="33145B6A" w14:textId="77777777" w:rsidTr="00DC5FE6">
        <w:trPr>
          <w:trHeight w:val="290"/>
          <w:jc w:val="center"/>
        </w:trPr>
        <w:tc>
          <w:tcPr>
            <w:tcW w:w="1598" w:type="dxa"/>
            <w:noWrap/>
            <w:hideMark/>
          </w:tcPr>
          <w:p w14:paraId="246654C7" w14:textId="77777777" w:rsidR="0071569A" w:rsidRPr="0071569A" w:rsidRDefault="0071569A" w:rsidP="00DC5FE6">
            <w:pPr>
              <w:spacing w:after="0"/>
              <w:rPr>
                <w:rFonts w:cs="Calibri"/>
                <w:color w:val="000000"/>
                <w:sz w:val="20"/>
                <w:szCs w:val="20"/>
              </w:rPr>
            </w:pPr>
            <w:r w:rsidRPr="0071569A">
              <w:rPr>
                <w:rFonts w:cs="Calibri"/>
                <w:color w:val="000000"/>
                <w:sz w:val="20"/>
                <w:szCs w:val="20"/>
              </w:rPr>
              <w:t>Junior</w:t>
            </w:r>
          </w:p>
        </w:tc>
        <w:tc>
          <w:tcPr>
            <w:tcW w:w="1210" w:type="dxa"/>
            <w:noWrap/>
            <w:hideMark/>
          </w:tcPr>
          <w:p w14:paraId="04CF1623"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23</w:t>
            </w:r>
          </w:p>
        </w:tc>
        <w:tc>
          <w:tcPr>
            <w:tcW w:w="1180" w:type="dxa"/>
            <w:noWrap/>
            <w:hideMark/>
          </w:tcPr>
          <w:p w14:paraId="1790E6E7"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79%</w:t>
            </w:r>
          </w:p>
        </w:tc>
        <w:tc>
          <w:tcPr>
            <w:tcW w:w="1952" w:type="dxa"/>
            <w:noWrap/>
            <w:hideMark/>
          </w:tcPr>
          <w:p w14:paraId="2CF6E983"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96%</w:t>
            </w:r>
          </w:p>
        </w:tc>
        <w:tc>
          <w:tcPr>
            <w:tcW w:w="1900" w:type="dxa"/>
            <w:noWrap/>
            <w:hideMark/>
          </w:tcPr>
          <w:p w14:paraId="176905E8"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76%</w:t>
            </w:r>
          </w:p>
        </w:tc>
      </w:tr>
      <w:tr w:rsidR="0071569A" w:rsidRPr="0071569A" w14:paraId="3FE4A9A7" w14:textId="77777777" w:rsidTr="00DC5FE6">
        <w:trPr>
          <w:trHeight w:val="290"/>
          <w:jc w:val="center"/>
        </w:trPr>
        <w:tc>
          <w:tcPr>
            <w:tcW w:w="1598" w:type="dxa"/>
            <w:noWrap/>
            <w:hideMark/>
          </w:tcPr>
          <w:p w14:paraId="2F03CBF3" w14:textId="77777777" w:rsidR="0071569A" w:rsidRPr="0071569A" w:rsidRDefault="0071569A" w:rsidP="00DC5FE6">
            <w:pPr>
              <w:spacing w:after="0"/>
              <w:rPr>
                <w:rFonts w:cs="Calibri"/>
                <w:color w:val="000000"/>
                <w:sz w:val="20"/>
                <w:szCs w:val="20"/>
              </w:rPr>
            </w:pPr>
            <w:r w:rsidRPr="0071569A">
              <w:rPr>
                <w:rFonts w:cs="Calibri"/>
                <w:color w:val="000000"/>
                <w:sz w:val="20"/>
                <w:szCs w:val="20"/>
              </w:rPr>
              <w:t>Senior</w:t>
            </w:r>
          </w:p>
        </w:tc>
        <w:tc>
          <w:tcPr>
            <w:tcW w:w="1210" w:type="dxa"/>
            <w:noWrap/>
            <w:hideMark/>
          </w:tcPr>
          <w:p w14:paraId="3FB3E5F8"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24</w:t>
            </w:r>
          </w:p>
        </w:tc>
        <w:tc>
          <w:tcPr>
            <w:tcW w:w="1180" w:type="dxa"/>
            <w:noWrap/>
            <w:hideMark/>
          </w:tcPr>
          <w:p w14:paraId="738A39E0"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78%</w:t>
            </w:r>
          </w:p>
        </w:tc>
        <w:tc>
          <w:tcPr>
            <w:tcW w:w="1952" w:type="dxa"/>
            <w:noWrap/>
            <w:hideMark/>
          </w:tcPr>
          <w:p w14:paraId="18DB3DF7"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92%</w:t>
            </w:r>
          </w:p>
        </w:tc>
        <w:tc>
          <w:tcPr>
            <w:tcW w:w="1900" w:type="dxa"/>
            <w:noWrap/>
            <w:hideMark/>
          </w:tcPr>
          <w:p w14:paraId="2DE4DC50" w14:textId="77777777" w:rsidR="0071569A" w:rsidRPr="0071569A" w:rsidRDefault="0071569A" w:rsidP="00DC5FE6">
            <w:pPr>
              <w:spacing w:after="0"/>
              <w:jc w:val="center"/>
              <w:rPr>
                <w:rFonts w:cs="Calibri"/>
                <w:color w:val="000000"/>
                <w:sz w:val="20"/>
                <w:szCs w:val="20"/>
              </w:rPr>
            </w:pPr>
            <w:r w:rsidRPr="0071569A">
              <w:rPr>
                <w:rFonts w:cs="Calibri"/>
                <w:color w:val="000000"/>
                <w:sz w:val="20"/>
                <w:szCs w:val="20"/>
              </w:rPr>
              <w:t>81%</w:t>
            </w:r>
          </w:p>
        </w:tc>
      </w:tr>
    </w:tbl>
    <w:p w14:paraId="0F76D74F" w14:textId="6A3191AF" w:rsidR="00147803" w:rsidRPr="0071569A" w:rsidRDefault="00B10BF7" w:rsidP="0071569A">
      <w:pPr>
        <w:pStyle w:val="MediumGrid1-Accent21"/>
        <w:spacing w:before="240"/>
        <w:ind w:left="0"/>
        <w:contextualSpacing w:val="0"/>
      </w:pPr>
      <w:r w:rsidRPr="0071569A">
        <w:rPr>
          <w:b/>
          <w:bCs/>
        </w:rPr>
        <w:t>Organization</w:t>
      </w:r>
      <w:r w:rsidRPr="0071569A">
        <w:t xml:space="preserve"> examined whether the students successfully organized their assignments</w:t>
      </w:r>
      <w:r w:rsidR="0071569A">
        <w:t xml:space="preserve"> in a coherent, logical manner.</w:t>
      </w:r>
      <w:r w:rsidRPr="0071569A">
        <w:t xml:space="preserve"> </w:t>
      </w:r>
      <w:r w:rsidR="0071569A">
        <w:t>T</w:t>
      </w:r>
      <w:r w:rsidRPr="0071569A">
        <w:t>he result</w:t>
      </w:r>
      <w:r w:rsidR="0071569A">
        <w:t>s</w:t>
      </w:r>
      <w:r w:rsidRPr="0071569A">
        <w:t xml:space="preserve"> show that freshmen and sophomores received scores in the 70</w:t>
      </w:r>
      <w:bookmarkStart w:id="0" w:name="_GoBack"/>
      <w:bookmarkEnd w:id="0"/>
      <w:r w:rsidRPr="0071569A">
        <w:t xml:space="preserve">s compared with scores in the 90s for juniors </w:t>
      </w:r>
      <w:r w:rsidRPr="0071569A">
        <w:lastRenderedPageBreak/>
        <w:t>and seniors</w:t>
      </w:r>
      <w:r w:rsidR="0071569A">
        <w:t xml:space="preserve">. This pattern demonstrates growth across the academic levels. </w:t>
      </w:r>
      <w:r w:rsidRPr="0071569A">
        <w:rPr>
          <w:b/>
          <w:bCs/>
        </w:rPr>
        <w:t>Engagement</w:t>
      </w:r>
      <w:r w:rsidRPr="0071569A">
        <w:t xml:space="preserve"> measured the depth of students’ engagement with </w:t>
      </w:r>
      <w:r w:rsidR="0071569A">
        <w:t xml:space="preserve">the </w:t>
      </w:r>
      <w:r w:rsidRPr="0071569A">
        <w:t>quantitative and qualitative</w:t>
      </w:r>
      <w:r w:rsidR="0071569A">
        <w:t xml:space="preserve"> components of the assignment</w:t>
      </w:r>
      <w:r w:rsidRPr="0071569A">
        <w:t xml:space="preserve">. For engagement, we </w:t>
      </w:r>
      <w:r w:rsidR="0071569A">
        <w:t>observe</w:t>
      </w:r>
      <w:r w:rsidRPr="0071569A">
        <w:t xml:space="preserve"> growth as students progress</w:t>
      </w:r>
      <w:r w:rsidR="00732FE6" w:rsidRPr="0071569A">
        <w:t>ed</w:t>
      </w:r>
      <w:r w:rsidRPr="0071569A">
        <w:t xml:space="preserve"> through the program</w:t>
      </w:r>
      <w:r w:rsidR="00732FE6" w:rsidRPr="0071569A">
        <w:t xml:space="preserve"> from freshmen to senior status</w:t>
      </w:r>
      <w:r w:rsidRPr="0071569A">
        <w:t>; however, sophomores had slightly lower</w:t>
      </w:r>
      <w:r w:rsidR="001B6464">
        <w:t xml:space="preserve"> scores</w:t>
      </w:r>
      <w:r w:rsidRPr="0071569A">
        <w:t xml:space="preserve"> than anticipated</w:t>
      </w:r>
      <w:r w:rsidR="001B6464">
        <w:t xml:space="preserve"> based on academic level.</w:t>
      </w:r>
    </w:p>
    <w:p w14:paraId="62E58FEF" w14:textId="231031E2" w:rsidR="00732FE6" w:rsidRPr="0071569A" w:rsidRDefault="00B10BF7" w:rsidP="00732FE6">
      <w:pPr>
        <w:pStyle w:val="MediumGrid1-Accent21"/>
        <w:spacing w:before="240"/>
        <w:ind w:left="0"/>
        <w:contextualSpacing w:val="0"/>
      </w:pPr>
      <w:r w:rsidRPr="0071569A">
        <w:t xml:space="preserve">We also separately examined students’ ability to analyze </w:t>
      </w:r>
      <w:r w:rsidRPr="0071569A">
        <w:rPr>
          <w:b/>
          <w:bCs/>
        </w:rPr>
        <w:t>quantitative</w:t>
      </w:r>
      <w:r w:rsidRPr="0071569A">
        <w:t xml:space="preserve"> and </w:t>
      </w:r>
      <w:r w:rsidRPr="0071569A">
        <w:rPr>
          <w:b/>
          <w:bCs/>
        </w:rPr>
        <w:t>qualitative</w:t>
      </w:r>
      <w:r w:rsidRPr="0071569A">
        <w:t xml:space="preserve"> </w:t>
      </w:r>
      <w:r w:rsidRPr="0071569A">
        <w:rPr>
          <w:b/>
          <w:bCs/>
        </w:rPr>
        <w:t>data</w:t>
      </w:r>
      <w:r w:rsidRPr="0071569A">
        <w:t xml:space="preserve">. Students demonstrated growth for quantitative data analysis from freshmen to senior status. Students’ performance with qualitative data analysis was lower for all four </w:t>
      </w:r>
      <w:r w:rsidR="00064372" w:rsidRPr="0071569A">
        <w:t>academic levels</w:t>
      </w:r>
      <w:r w:rsidRPr="0071569A">
        <w:t xml:space="preserve"> compared with their quantitative data analysis skills. </w:t>
      </w:r>
      <w:r w:rsidR="001B6464" w:rsidRPr="0071569A">
        <w:t>Despite</w:t>
      </w:r>
      <w:r w:rsidRPr="0071569A">
        <w:t xml:space="preserve"> students’ lower performance with qualitative data, students still demonstrated </w:t>
      </w:r>
      <w:r w:rsidR="001B6464">
        <w:t>growth</w:t>
      </w:r>
      <w:r w:rsidRPr="0071569A">
        <w:t xml:space="preserve"> </w:t>
      </w:r>
      <w:r w:rsidR="001B6464">
        <w:t>across</w:t>
      </w:r>
      <w:r w:rsidRPr="0071569A">
        <w:t xml:space="preserve"> </w:t>
      </w:r>
      <w:r w:rsidR="00064372" w:rsidRPr="0071569A">
        <w:t>academic level</w:t>
      </w:r>
      <w:r w:rsidR="001B6464">
        <w:t>s</w:t>
      </w:r>
      <w:r w:rsidRPr="0071569A">
        <w:t>.</w:t>
      </w:r>
    </w:p>
    <w:tbl>
      <w:tblPr>
        <w:tblStyle w:val="TableGrid"/>
        <w:tblW w:w="9810" w:type="dxa"/>
        <w:jc w:val="center"/>
        <w:tblLook w:val="04A0" w:firstRow="1" w:lastRow="0" w:firstColumn="1" w:lastColumn="0" w:noHBand="0" w:noVBand="1"/>
      </w:tblPr>
      <w:tblGrid>
        <w:gridCol w:w="1440"/>
        <w:gridCol w:w="1080"/>
        <w:gridCol w:w="1620"/>
        <w:gridCol w:w="1446"/>
        <w:gridCol w:w="1520"/>
        <w:gridCol w:w="1302"/>
        <w:gridCol w:w="1402"/>
      </w:tblGrid>
      <w:tr w:rsidR="00732FE6" w:rsidRPr="0071569A" w14:paraId="2C154EB5" w14:textId="77777777" w:rsidTr="001B6464">
        <w:trPr>
          <w:trHeight w:val="290"/>
          <w:jc w:val="center"/>
        </w:trPr>
        <w:tc>
          <w:tcPr>
            <w:tcW w:w="1440" w:type="dxa"/>
            <w:noWrap/>
            <w:vAlign w:val="bottom"/>
            <w:hideMark/>
          </w:tcPr>
          <w:p w14:paraId="1BCFA8E8" w14:textId="77777777" w:rsidR="00732FE6" w:rsidRPr="0071569A" w:rsidRDefault="00732FE6" w:rsidP="000956E9">
            <w:pPr>
              <w:spacing w:after="0"/>
              <w:jc w:val="center"/>
              <w:rPr>
                <w:rFonts w:cs="Calibri"/>
                <w:b/>
                <w:bCs/>
                <w:color w:val="000000"/>
                <w:sz w:val="20"/>
                <w:szCs w:val="20"/>
              </w:rPr>
            </w:pPr>
            <w:r w:rsidRPr="0071569A">
              <w:rPr>
                <w:rFonts w:cs="Calibri"/>
                <w:b/>
                <w:bCs/>
                <w:color w:val="000000"/>
                <w:sz w:val="20"/>
                <w:szCs w:val="20"/>
              </w:rPr>
              <w:t>Academic Level</w:t>
            </w:r>
          </w:p>
        </w:tc>
        <w:tc>
          <w:tcPr>
            <w:tcW w:w="1080" w:type="dxa"/>
            <w:noWrap/>
            <w:vAlign w:val="bottom"/>
            <w:hideMark/>
          </w:tcPr>
          <w:p w14:paraId="088F8109" w14:textId="77777777" w:rsidR="00732FE6" w:rsidRPr="0071569A" w:rsidRDefault="00732FE6" w:rsidP="000956E9">
            <w:pPr>
              <w:spacing w:after="0"/>
              <w:jc w:val="center"/>
              <w:rPr>
                <w:rFonts w:cs="Calibri"/>
                <w:b/>
                <w:bCs/>
                <w:color w:val="000000"/>
                <w:sz w:val="20"/>
                <w:szCs w:val="20"/>
              </w:rPr>
            </w:pPr>
            <w:r w:rsidRPr="0071569A">
              <w:rPr>
                <w:rFonts w:cs="Calibri"/>
                <w:b/>
                <w:bCs/>
                <w:color w:val="000000"/>
                <w:sz w:val="20"/>
                <w:szCs w:val="20"/>
              </w:rPr>
              <w:t>Sample</w:t>
            </w:r>
          </w:p>
        </w:tc>
        <w:tc>
          <w:tcPr>
            <w:tcW w:w="1620" w:type="dxa"/>
            <w:noWrap/>
            <w:vAlign w:val="bottom"/>
            <w:hideMark/>
          </w:tcPr>
          <w:p w14:paraId="0455E4F4" w14:textId="77777777" w:rsidR="00732FE6" w:rsidRPr="0071569A" w:rsidRDefault="00732FE6" w:rsidP="000956E9">
            <w:pPr>
              <w:spacing w:after="0"/>
              <w:jc w:val="center"/>
              <w:rPr>
                <w:rFonts w:cs="Calibri"/>
                <w:b/>
                <w:bCs/>
                <w:color w:val="000000"/>
                <w:sz w:val="20"/>
                <w:szCs w:val="20"/>
              </w:rPr>
            </w:pPr>
            <w:r w:rsidRPr="0071569A">
              <w:rPr>
                <w:rFonts w:cs="Calibri"/>
                <w:b/>
                <w:bCs/>
                <w:color w:val="000000"/>
                <w:sz w:val="20"/>
                <w:szCs w:val="20"/>
              </w:rPr>
              <w:t>Quantitative Data Analysis</w:t>
            </w:r>
          </w:p>
        </w:tc>
        <w:tc>
          <w:tcPr>
            <w:tcW w:w="1446" w:type="dxa"/>
            <w:noWrap/>
            <w:vAlign w:val="bottom"/>
            <w:hideMark/>
          </w:tcPr>
          <w:p w14:paraId="6E3D1E55" w14:textId="77777777" w:rsidR="00732FE6" w:rsidRPr="0071569A" w:rsidRDefault="00732FE6" w:rsidP="000956E9">
            <w:pPr>
              <w:spacing w:after="0"/>
              <w:jc w:val="center"/>
              <w:rPr>
                <w:rFonts w:cs="Calibri"/>
                <w:b/>
                <w:bCs/>
                <w:color w:val="000000"/>
                <w:sz w:val="20"/>
                <w:szCs w:val="20"/>
              </w:rPr>
            </w:pPr>
            <w:r w:rsidRPr="0071569A">
              <w:rPr>
                <w:rFonts w:cs="Calibri"/>
                <w:b/>
                <w:bCs/>
                <w:color w:val="000000"/>
                <w:sz w:val="20"/>
                <w:szCs w:val="20"/>
              </w:rPr>
              <w:t>Qualitative Data Analysis</w:t>
            </w:r>
          </w:p>
        </w:tc>
        <w:tc>
          <w:tcPr>
            <w:tcW w:w="1520" w:type="dxa"/>
            <w:noWrap/>
            <w:vAlign w:val="bottom"/>
          </w:tcPr>
          <w:p w14:paraId="39C19DD6" w14:textId="77777777" w:rsidR="00732FE6" w:rsidRPr="0071569A" w:rsidRDefault="00732FE6" w:rsidP="000956E9">
            <w:pPr>
              <w:spacing w:after="0"/>
              <w:jc w:val="center"/>
              <w:rPr>
                <w:rFonts w:cs="Calibri"/>
                <w:b/>
                <w:bCs/>
                <w:color w:val="000000"/>
                <w:sz w:val="20"/>
                <w:szCs w:val="20"/>
              </w:rPr>
            </w:pPr>
            <w:r w:rsidRPr="0071569A">
              <w:rPr>
                <w:rFonts w:cs="Calibri"/>
                <w:b/>
                <w:bCs/>
                <w:color w:val="000000"/>
                <w:sz w:val="20"/>
                <w:szCs w:val="20"/>
              </w:rPr>
              <w:t>Below Grade Level Data Analysis</w:t>
            </w:r>
          </w:p>
        </w:tc>
        <w:tc>
          <w:tcPr>
            <w:tcW w:w="1302" w:type="dxa"/>
            <w:vAlign w:val="bottom"/>
          </w:tcPr>
          <w:p w14:paraId="53D0F76D" w14:textId="77777777" w:rsidR="00732FE6" w:rsidRPr="0071569A" w:rsidRDefault="00732FE6" w:rsidP="000956E9">
            <w:pPr>
              <w:spacing w:after="0"/>
              <w:jc w:val="center"/>
              <w:rPr>
                <w:rFonts w:cs="Calibri"/>
                <w:b/>
                <w:bCs/>
                <w:color w:val="000000"/>
                <w:sz w:val="20"/>
                <w:szCs w:val="20"/>
              </w:rPr>
            </w:pPr>
            <w:r w:rsidRPr="0071569A">
              <w:rPr>
                <w:rFonts w:cs="Calibri"/>
                <w:b/>
                <w:bCs/>
                <w:color w:val="000000"/>
                <w:sz w:val="20"/>
                <w:szCs w:val="20"/>
              </w:rPr>
              <w:t>At Grade Level Data Analysis</w:t>
            </w:r>
          </w:p>
        </w:tc>
        <w:tc>
          <w:tcPr>
            <w:tcW w:w="1402" w:type="dxa"/>
            <w:vAlign w:val="bottom"/>
          </w:tcPr>
          <w:p w14:paraId="12B104E4" w14:textId="77777777" w:rsidR="00732FE6" w:rsidRPr="0071569A" w:rsidRDefault="00732FE6" w:rsidP="000956E9">
            <w:pPr>
              <w:spacing w:after="0"/>
              <w:jc w:val="center"/>
              <w:rPr>
                <w:rFonts w:cs="Calibri"/>
                <w:b/>
                <w:bCs/>
                <w:color w:val="000000"/>
                <w:sz w:val="20"/>
                <w:szCs w:val="20"/>
              </w:rPr>
            </w:pPr>
            <w:r w:rsidRPr="0071569A">
              <w:rPr>
                <w:rFonts w:cs="Calibri"/>
                <w:b/>
                <w:bCs/>
                <w:color w:val="000000"/>
                <w:sz w:val="20"/>
                <w:szCs w:val="20"/>
              </w:rPr>
              <w:t>Above Grade Level Data Analysis</w:t>
            </w:r>
          </w:p>
        </w:tc>
      </w:tr>
      <w:tr w:rsidR="00732FE6" w:rsidRPr="0071569A" w14:paraId="22984CB0" w14:textId="77777777" w:rsidTr="001B6464">
        <w:trPr>
          <w:trHeight w:val="290"/>
          <w:jc w:val="center"/>
        </w:trPr>
        <w:tc>
          <w:tcPr>
            <w:tcW w:w="1440" w:type="dxa"/>
            <w:noWrap/>
            <w:hideMark/>
          </w:tcPr>
          <w:p w14:paraId="48795237" w14:textId="77777777" w:rsidR="00732FE6" w:rsidRPr="0071569A" w:rsidRDefault="00732FE6" w:rsidP="000956E9">
            <w:pPr>
              <w:spacing w:after="0"/>
              <w:rPr>
                <w:rFonts w:cs="Calibri"/>
                <w:color w:val="000000"/>
                <w:sz w:val="20"/>
                <w:szCs w:val="20"/>
              </w:rPr>
            </w:pPr>
            <w:r w:rsidRPr="0071569A">
              <w:rPr>
                <w:rFonts w:cs="Calibri"/>
                <w:color w:val="000000"/>
                <w:sz w:val="20"/>
                <w:szCs w:val="20"/>
              </w:rPr>
              <w:t>Freshmen</w:t>
            </w:r>
          </w:p>
        </w:tc>
        <w:tc>
          <w:tcPr>
            <w:tcW w:w="1080" w:type="dxa"/>
            <w:noWrap/>
            <w:hideMark/>
          </w:tcPr>
          <w:p w14:paraId="7153E75D"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26</w:t>
            </w:r>
          </w:p>
        </w:tc>
        <w:tc>
          <w:tcPr>
            <w:tcW w:w="1620" w:type="dxa"/>
            <w:noWrap/>
            <w:hideMark/>
          </w:tcPr>
          <w:p w14:paraId="3ADFBD64"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75%</w:t>
            </w:r>
          </w:p>
        </w:tc>
        <w:tc>
          <w:tcPr>
            <w:tcW w:w="1446" w:type="dxa"/>
            <w:noWrap/>
            <w:hideMark/>
          </w:tcPr>
          <w:p w14:paraId="347180AB"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50%</w:t>
            </w:r>
          </w:p>
        </w:tc>
        <w:tc>
          <w:tcPr>
            <w:tcW w:w="1520" w:type="dxa"/>
            <w:noWrap/>
          </w:tcPr>
          <w:p w14:paraId="0161E3B6"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8%</w:t>
            </w:r>
          </w:p>
        </w:tc>
        <w:tc>
          <w:tcPr>
            <w:tcW w:w="1302" w:type="dxa"/>
          </w:tcPr>
          <w:p w14:paraId="23696A73"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85%</w:t>
            </w:r>
          </w:p>
        </w:tc>
        <w:tc>
          <w:tcPr>
            <w:tcW w:w="1402" w:type="dxa"/>
          </w:tcPr>
          <w:p w14:paraId="1E259380"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8%</w:t>
            </w:r>
          </w:p>
        </w:tc>
      </w:tr>
      <w:tr w:rsidR="00732FE6" w:rsidRPr="0071569A" w14:paraId="0903FE08" w14:textId="77777777" w:rsidTr="001B6464">
        <w:trPr>
          <w:trHeight w:val="290"/>
          <w:jc w:val="center"/>
        </w:trPr>
        <w:tc>
          <w:tcPr>
            <w:tcW w:w="1440" w:type="dxa"/>
            <w:noWrap/>
            <w:hideMark/>
          </w:tcPr>
          <w:p w14:paraId="47C2BA17" w14:textId="77777777" w:rsidR="00732FE6" w:rsidRPr="0071569A" w:rsidRDefault="00732FE6" w:rsidP="000956E9">
            <w:pPr>
              <w:spacing w:after="0"/>
              <w:rPr>
                <w:rFonts w:cs="Calibri"/>
                <w:color w:val="000000"/>
                <w:sz w:val="20"/>
                <w:szCs w:val="20"/>
              </w:rPr>
            </w:pPr>
            <w:r w:rsidRPr="0071569A">
              <w:rPr>
                <w:rFonts w:cs="Calibri"/>
                <w:color w:val="000000"/>
                <w:sz w:val="20"/>
                <w:szCs w:val="20"/>
              </w:rPr>
              <w:t>Sophomore</w:t>
            </w:r>
          </w:p>
        </w:tc>
        <w:tc>
          <w:tcPr>
            <w:tcW w:w="1080" w:type="dxa"/>
            <w:noWrap/>
            <w:hideMark/>
          </w:tcPr>
          <w:p w14:paraId="1469E4C1"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9</w:t>
            </w:r>
          </w:p>
        </w:tc>
        <w:tc>
          <w:tcPr>
            <w:tcW w:w="1620" w:type="dxa"/>
            <w:noWrap/>
            <w:hideMark/>
          </w:tcPr>
          <w:p w14:paraId="3D797A8F"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89%</w:t>
            </w:r>
          </w:p>
        </w:tc>
        <w:tc>
          <w:tcPr>
            <w:tcW w:w="1446" w:type="dxa"/>
            <w:noWrap/>
            <w:hideMark/>
          </w:tcPr>
          <w:p w14:paraId="785F8D7F"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72%</w:t>
            </w:r>
          </w:p>
        </w:tc>
        <w:tc>
          <w:tcPr>
            <w:tcW w:w="1520" w:type="dxa"/>
            <w:noWrap/>
          </w:tcPr>
          <w:p w14:paraId="04C44145"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11%</w:t>
            </w:r>
          </w:p>
        </w:tc>
        <w:tc>
          <w:tcPr>
            <w:tcW w:w="1302" w:type="dxa"/>
          </w:tcPr>
          <w:p w14:paraId="7808988E"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78%</w:t>
            </w:r>
          </w:p>
        </w:tc>
        <w:tc>
          <w:tcPr>
            <w:tcW w:w="1402" w:type="dxa"/>
          </w:tcPr>
          <w:p w14:paraId="7CD16B08"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11%</w:t>
            </w:r>
          </w:p>
        </w:tc>
      </w:tr>
      <w:tr w:rsidR="00732FE6" w:rsidRPr="0071569A" w14:paraId="133968F4" w14:textId="77777777" w:rsidTr="001B6464">
        <w:trPr>
          <w:trHeight w:val="290"/>
          <w:jc w:val="center"/>
        </w:trPr>
        <w:tc>
          <w:tcPr>
            <w:tcW w:w="1440" w:type="dxa"/>
            <w:noWrap/>
            <w:hideMark/>
          </w:tcPr>
          <w:p w14:paraId="79353093" w14:textId="77777777" w:rsidR="00732FE6" w:rsidRPr="0071569A" w:rsidRDefault="00732FE6" w:rsidP="000956E9">
            <w:pPr>
              <w:spacing w:after="0"/>
              <w:rPr>
                <w:rFonts w:cs="Calibri"/>
                <w:color w:val="000000"/>
                <w:sz w:val="20"/>
                <w:szCs w:val="20"/>
              </w:rPr>
            </w:pPr>
            <w:r w:rsidRPr="0071569A">
              <w:rPr>
                <w:rFonts w:cs="Calibri"/>
                <w:color w:val="000000"/>
                <w:sz w:val="20"/>
                <w:szCs w:val="20"/>
              </w:rPr>
              <w:t>Junior</w:t>
            </w:r>
          </w:p>
        </w:tc>
        <w:tc>
          <w:tcPr>
            <w:tcW w:w="1080" w:type="dxa"/>
            <w:noWrap/>
            <w:hideMark/>
          </w:tcPr>
          <w:p w14:paraId="08957609"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23</w:t>
            </w:r>
          </w:p>
        </w:tc>
        <w:tc>
          <w:tcPr>
            <w:tcW w:w="1620" w:type="dxa"/>
            <w:noWrap/>
            <w:hideMark/>
          </w:tcPr>
          <w:p w14:paraId="68DDE9D8"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93%</w:t>
            </w:r>
          </w:p>
        </w:tc>
        <w:tc>
          <w:tcPr>
            <w:tcW w:w="1446" w:type="dxa"/>
            <w:noWrap/>
            <w:hideMark/>
          </w:tcPr>
          <w:p w14:paraId="2460F49D"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80%</w:t>
            </w:r>
          </w:p>
        </w:tc>
        <w:tc>
          <w:tcPr>
            <w:tcW w:w="1520" w:type="dxa"/>
            <w:noWrap/>
          </w:tcPr>
          <w:p w14:paraId="3694E927"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0%</w:t>
            </w:r>
          </w:p>
        </w:tc>
        <w:tc>
          <w:tcPr>
            <w:tcW w:w="1302" w:type="dxa"/>
          </w:tcPr>
          <w:p w14:paraId="09C146E7"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83%</w:t>
            </w:r>
          </w:p>
        </w:tc>
        <w:tc>
          <w:tcPr>
            <w:tcW w:w="1402" w:type="dxa"/>
          </w:tcPr>
          <w:p w14:paraId="56C9B534"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17%</w:t>
            </w:r>
          </w:p>
        </w:tc>
      </w:tr>
      <w:tr w:rsidR="00732FE6" w:rsidRPr="0071569A" w14:paraId="0D972057" w14:textId="77777777" w:rsidTr="001B6464">
        <w:trPr>
          <w:trHeight w:val="290"/>
          <w:jc w:val="center"/>
        </w:trPr>
        <w:tc>
          <w:tcPr>
            <w:tcW w:w="1440" w:type="dxa"/>
            <w:noWrap/>
            <w:hideMark/>
          </w:tcPr>
          <w:p w14:paraId="1C7C230C" w14:textId="77777777" w:rsidR="00732FE6" w:rsidRPr="0071569A" w:rsidRDefault="00732FE6" w:rsidP="000956E9">
            <w:pPr>
              <w:spacing w:after="0"/>
              <w:rPr>
                <w:rFonts w:cs="Calibri"/>
                <w:color w:val="000000"/>
                <w:sz w:val="20"/>
                <w:szCs w:val="20"/>
              </w:rPr>
            </w:pPr>
            <w:r w:rsidRPr="0071569A">
              <w:rPr>
                <w:rFonts w:cs="Calibri"/>
                <w:color w:val="000000"/>
                <w:sz w:val="20"/>
                <w:szCs w:val="20"/>
              </w:rPr>
              <w:t>Senior</w:t>
            </w:r>
          </w:p>
        </w:tc>
        <w:tc>
          <w:tcPr>
            <w:tcW w:w="1080" w:type="dxa"/>
            <w:noWrap/>
            <w:hideMark/>
          </w:tcPr>
          <w:p w14:paraId="615944FF"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24</w:t>
            </w:r>
          </w:p>
        </w:tc>
        <w:tc>
          <w:tcPr>
            <w:tcW w:w="1620" w:type="dxa"/>
            <w:noWrap/>
            <w:hideMark/>
          </w:tcPr>
          <w:p w14:paraId="38B8C8F9"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98%</w:t>
            </w:r>
          </w:p>
        </w:tc>
        <w:tc>
          <w:tcPr>
            <w:tcW w:w="1446" w:type="dxa"/>
            <w:noWrap/>
            <w:hideMark/>
          </w:tcPr>
          <w:p w14:paraId="2402C63C"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79%</w:t>
            </w:r>
          </w:p>
        </w:tc>
        <w:tc>
          <w:tcPr>
            <w:tcW w:w="1520" w:type="dxa"/>
            <w:noWrap/>
          </w:tcPr>
          <w:p w14:paraId="197BB41B"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8%</w:t>
            </w:r>
          </w:p>
        </w:tc>
        <w:tc>
          <w:tcPr>
            <w:tcW w:w="1302" w:type="dxa"/>
          </w:tcPr>
          <w:p w14:paraId="39B92E26"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79%</w:t>
            </w:r>
          </w:p>
        </w:tc>
        <w:tc>
          <w:tcPr>
            <w:tcW w:w="1402" w:type="dxa"/>
          </w:tcPr>
          <w:p w14:paraId="102C4671" w14:textId="77777777" w:rsidR="00732FE6" w:rsidRPr="0071569A" w:rsidRDefault="00732FE6" w:rsidP="000956E9">
            <w:pPr>
              <w:spacing w:after="0"/>
              <w:jc w:val="center"/>
              <w:rPr>
                <w:rFonts w:cs="Calibri"/>
                <w:color w:val="000000"/>
                <w:sz w:val="20"/>
                <w:szCs w:val="20"/>
              </w:rPr>
            </w:pPr>
            <w:r w:rsidRPr="0071569A">
              <w:rPr>
                <w:rFonts w:cs="Calibri"/>
                <w:color w:val="000000"/>
                <w:sz w:val="20"/>
                <w:szCs w:val="20"/>
              </w:rPr>
              <w:t>13%</w:t>
            </w:r>
          </w:p>
        </w:tc>
      </w:tr>
    </w:tbl>
    <w:p w14:paraId="492DCECE" w14:textId="316DF4C1" w:rsidR="00B10BF7" w:rsidRPr="0071569A" w:rsidRDefault="00B10BF7" w:rsidP="00732FE6">
      <w:pPr>
        <w:pStyle w:val="MediumGrid1-Accent21"/>
        <w:spacing w:before="240"/>
        <w:ind w:left="0"/>
        <w:contextualSpacing w:val="0"/>
      </w:pPr>
      <w:r w:rsidRPr="0071569A">
        <w:t xml:space="preserve">Last, </w:t>
      </w:r>
      <w:r w:rsidR="00732FE6" w:rsidRPr="0071569A">
        <w:t xml:space="preserve">from the table above, </w:t>
      </w:r>
      <w:r w:rsidRPr="0071569A">
        <w:t xml:space="preserve">we examined </w:t>
      </w:r>
      <w:r w:rsidR="001B6464">
        <w:t>the</w:t>
      </w:r>
      <w:r w:rsidRPr="0071569A">
        <w:t xml:space="preserve"> percentage of students</w:t>
      </w:r>
      <w:r w:rsidR="001B6464">
        <w:t xml:space="preserve"> that</w:t>
      </w:r>
      <w:r w:rsidRPr="0071569A">
        <w:t xml:space="preserve"> were </w:t>
      </w:r>
      <w:r w:rsidRPr="0071569A">
        <w:rPr>
          <w:b/>
          <w:bCs/>
        </w:rPr>
        <w:t>below, at, and above their grade level</w:t>
      </w:r>
      <w:r w:rsidRPr="0071569A">
        <w:t xml:space="preserve"> for overall data analysis</w:t>
      </w:r>
      <w:r w:rsidR="001B6464">
        <w:t xml:space="preserve"> (both quantitative and qualitative)</w:t>
      </w:r>
      <w:r w:rsidRPr="0071569A">
        <w:t>. As shown in the table below, a vast majority of student performed at or above grade level. Only 8% of freshmen, 11% of sophomores, and 8% of seniors performed below their grade level.</w:t>
      </w:r>
    </w:p>
    <w:p w14:paraId="4BD67E38" w14:textId="65091F48" w:rsidR="008E5C80" w:rsidRPr="0071569A" w:rsidRDefault="00732FE6" w:rsidP="00732FE6">
      <w:pPr>
        <w:pStyle w:val="MediumGrid1-Accent21"/>
        <w:ind w:left="0"/>
        <w:contextualSpacing w:val="0"/>
      </w:pPr>
      <w:r w:rsidRPr="0071569A">
        <w:t>Last</w:t>
      </w:r>
      <w:r w:rsidR="00064372" w:rsidRPr="0071569A">
        <w:t xml:space="preserve">, </w:t>
      </w:r>
      <w:r w:rsidR="001B6464">
        <w:t xml:space="preserve">below </w:t>
      </w:r>
      <w:r w:rsidR="00064372" w:rsidRPr="0071569A">
        <w:t>we present the student demographic information of CJS students (Spring 2020), which we examine to help us better understand and address student success within our student population. A</w:t>
      </w:r>
      <w:r w:rsidRPr="0071569A">
        <w:t>s shown below, a</w:t>
      </w:r>
      <w:r w:rsidR="00064372" w:rsidRPr="0071569A">
        <w:t xml:space="preserve"> </w:t>
      </w:r>
      <w:r w:rsidR="001B6464">
        <w:t xml:space="preserve">large </w:t>
      </w:r>
      <w:r w:rsidR="00064372" w:rsidRPr="0071569A">
        <w:t>majority of our students are female (62%)</w:t>
      </w:r>
      <w:r w:rsidRPr="0071569A">
        <w:t xml:space="preserve"> and Hispanic/Latino (79%) representing the increasing diversity within criminology and criminal justice</w:t>
      </w:r>
      <w:r w:rsidR="001B6464">
        <w:t xml:space="preserve"> and a need to hire additional faculty that represent our student population.</w:t>
      </w:r>
    </w:p>
    <w:tbl>
      <w:tblPr>
        <w:tblW w:w="7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932"/>
        <w:gridCol w:w="881"/>
      </w:tblGrid>
      <w:tr w:rsidR="00064372" w:rsidRPr="0071569A" w14:paraId="1EDCF159" w14:textId="77777777" w:rsidTr="001B6464">
        <w:trPr>
          <w:trHeight w:val="255"/>
          <w:tblHeader/>
          <w:jc w:val="center"/>
        </w:trPr>
        <w:tc>
          <w:tcPr>
            <w:tcW w:w="7671" w:type="dxa"/>
            <w:gridSpan w:val="3"/>
            <w:shd w:val="clear" w:color="auto" w:fill="auto"/>
            <w:noWrap/>
            <w:vAlign w:val="bottom"/>
            <w:hideMark/>
          </w:tcPr>
          <w:p w14:paraId="265B7D26" w14:textId="77777777" w:rsidR="00064372" w:rsidRPr="0071569A" w:rsidRDefault="00064372" w:rsidP="00732FE6">
            <w:pPr>
              <w:spacing w:after="0"/>
              <w:jc w:val="center"/>
              <w:rPr>
                <w:rFonts w:cs="Calibri"/>
                <w:b/>
                <w:bCs/>
                <w:color w:val="000000"/>
                <w:sz w:val="20"/>
                <w:szCs w:val="20"/>
              </w:rPr>
            </w:pPr>
            <w:r w:rsidRPr="0071569A">
              <w:rPr>
                <w:rFonts w:cs="Calibri"/>
                <w:b/>
                <w:bCs/>
                <w:color w:val="000000"/>
                <w:sz w:val="20"/>
                <w:szCs w:val="20"/>
              </w:rPr>
              <w:t>CJS Student Demographic Information (N=1,468)</w:t>
            </w:r>
          </w:p>
        </w:tc>
      </w:tr>
      <w:tr w:rsidR="00064372" w:rsidRPr="0071569A" w14:paraId="74A1682B" w14:textId="77777777" w:rsidTr="00064372">
        <w:trPr>
          <w:trHeight w:val="255"/>
          <w:jc w:val="center"/>
        </w:trPr>
        <w:tc>
          <w:tcPr>
            <w:tcW w:w="5858" w:type="dxa"/>
            <w:shd w:val="clear" w:color="auto" w:fill="auto"/>
            <w:noWrap/>
            <w:vAlign w:val="bottom"/>
            <w:hideMark/>
          </w:tcPr>
          <w:p w14:paraId="1D23B54E" w14:textId="77777777" w:rsidR="00064372" w:rsidRPr="0071569A" w:rsidRDefault="00064372" w:rsidP="00732FE6">
            <w:pPr>
              <w:spacing w:after="0"/>
              <w:rPr>
                <w:rFonts w:cs="Calibri"/>
                <w:b/>
                <w:bCs/>
                <w:color w:val="000000"/>
                <w:sz w:val="20"/>
                <w:szCs w:val="20"/>
              </w:rPr>
            </w:pPr>
            <w:r w:rsidRPr="0071569A">
              <w:rPr>
                <w:rFonts w:cs="Calibri"/>
                <w:b/>
                <w:bCs/>
                <w:color w:val="000000"/>
                <w:sz w:val="20"/>
                <w:szCs w:val="20"/>
              </w:rPr>
              <w:t>Sex</w:t>
            </w:r>
          </w:p>
        </w:tc>
        <w:tc>
          <w:tcPr>
            <w:tcW w:w="932" w:type="dxa"/>
            <w:shd w:val="clear" w:color="auto" w:fill="auto"/>
            <w:noWrap/>
            <w:vAlign w:val="bottom"/>
            <w:hideMark/>
          </w:tcPr>
          <w:p w14:paraId="7DEF403B" w14:textId="77777777" w:rsidR="00064372" w:rsidRPr="0071569A" w:rsidRDefault="00064372" w:rsidP="00732FE6">
            <w:pPr>
              <w:spacing w:after="0"/>
              <w:jc w:val="center"/>
              <w:rPr>
                <w:rFonts w:cs="Calibri"/>
                <w:b/>
                <w:bCs/>
                <w:color w:val="000000"/>
                <w:sz w:val="20"/>
                <w:szCs w:val="20"/>
              </w:rPr>
            </w:pPr>
            <w:r w:rsidRPr="0071569A">
              <w:rPr>
                <w:rFonts w:cs="Calibri"/>
                <w:b/>
                <w:bCs/>
                <w:color w:val="000000"/>
                <w:sz w:val="20"/>
                <w:szCs w:val="20"/>
              </w:rPr>
              <w:t>n</w:t>
            </w:r>
          </w:p>
        </w:tc>
        <w:tc>
          <w:tcPr>
            <w:tcW w:w="881" w:type="dxa"/>
            <w:shd w:val="clear" w:color="auto" w:fill="auto"/>
            <w:noWrap/>
            <w:vAlign w:val="bottom"/>
            <w:hideMark/>
          </w:tcPr>
          <w:p w14:paraId="5E8021E6" w14:textId="77777777" w:rsidR="00064372" w:rsidRPr="0071569A" w:rsidRDefault="00064372" w:rsidP="00732FE6">
            <w:pPr>
              <w:spacing w:after="0"/>
              <w:jc w:val="center"/>
              <w:rPr>
                <w:rFonts w:cs="Calibri"/>
                <w:b/>
                <w:bCs/>
                <w:color w:val="000000"/>
                <w:sz w:val="20"/>
                <w:szCs w:val="20"/>
              </w:rPr>
            </w:pPr>
            <w:r w:rsidRPr="0071569A">
              <w:rPr>
                <w:rFonts w:cs="Calibri"/>
                <w:b/>
                <w:bCs/>
                <w:color w:val="000000"/>
                <w:sz w:val="20"/>
                <w:szCs w:val="20"/>
              </w:rPr>
              <w:t>%</w:t>
            </w:r>
          </w:p>
        </w:tc>
      </w:tr>
      <w:tr w:rsidR="00064372" w:rsidRPr="0071569A" w14:paraId="7A610CBD" w14:textId="77777777" w:rsidTr="00064372">
        <w:trPr>
          <w:trHeight w:val="255"/>
          <w:jc w:val="center"/>
        </w:trPr>
        <w:tc>
          <w:tcPr>
            <w:tcW w:w="5858" w:type="dxa"/>
            <w:shd w:val="clear" w:color="auto" w:fill="auto"/>
            <w:noWrap/>
            <w:vAlign w:val="bottom"/>
            <w:hideMark/>
          </w:tcPr>
          <w:p w14:paraId="6F261DDF"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Females</w:t>
            </w:r>
          </w:p>
        </w:tc>
        <w:tc>
          <w:tcPr>
            <w:tcW w:w="932" w:type="dxa"/>
            <w:shd w:val="clear" w:color="auto" w:fill="auto"/>
            <w:noWrap/>
            <w:vAlign w:val="bottom"/>
            <w:hideMark/>
          </w:tcPr>
          <w:p w14:paraId="2454F5B7"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910</w:t>
            </w:r>
          </w:p>
        </w:tc>
        <w:tc>
          <w:tcPr>
            <w:tcW w:w="881" w:type="dxa"/>
            <w:shd w:val="clear" w:color="auto" w:fill="auto"/>
            <w:noWrap/>
            <w:vAlign w:val="bottom"/>
            <w:hideMark/>
          </w:tcPr>
          <w:p w14:paraId="6A633123"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62%</w:t>
            </w:r>
          </w:p>
        </w:tc>
      </w:tr>
      <w:tr w:rsidR="00064372" w:rsidRPr="0071569A" w14:paraId="476D2160" w14:textId="77777777" w:rsidTr="00064372">
        <w:trPr>
          <w:trHeight w:val="255"/>
          <w:jc w:val="center"/>
        </w:trPr>
        <w:tc>
          <w:tcPr>
            <w:tcW w:w="5858" w:type="dxa"/>
            <w:shd w:val="clear" w:color="auto" w:fill="auto"/>
            <w:noWrap/>
            <w:vAlign w:val="bottom"/>
            <w:hideMark/>
          </w:tcPr>
          <w:p w14:paraId="7832A69E"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Males</w:t>
            </w:r>
          </w:p>
        </w:tc>
        <w:tc>
          <w:tcPr>
            <w:tcW w:w="932" w:type="dxa"/>
            <w:shd w:val="clear" w:color="auto" w:fill="auto"/>
            <w:noWrap/>
            <w:vAlign w:val="bottom"/>
            <w:hideMark/>
          </w:tcPr>
          <w:p w14:paraId="4A2EF442"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558</w:t>
            </w:r>
          </w:p>
        </w:tc>
        <w:tc>
          <w:tcPr>
            <w:tcW w:w="881" w:type="dxa"/>
            <w:shd w:val="clear" w:color="auto" w:fill="auto"/>
            <w:noWrap/>
            <w:vAlign w:val="bottom"/>
            <w:hideMark/>
          </w:tcPr>
          <w:p w14:paraId="065D615F"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38%</w:t>
            </w:r>
          </w:p>
        </w:tc>
      </w:tr>
      <w:tr w:rsidR="00064372" w:rsidRPr="0071569A" w14:paraId="304D6E0E" w14:textId="77777777" w:rsidTr="00064372">
        <w:trPr>
          <w:trHeight w:val="255"/>
          <w:jc w:val="center"/>
        </w:trPr>
        <w:tc>
          <w:tcPr>
            <w:tcW w:w="5858" w:type="dxa"/>
            <w:shd w:val="clear" w:color="auto" w:fill="auto"/>
            <w:noWrap/>
            <w:vAlign w:val="bottom"/>
            <w:hideMark/>
          </w:tcPr>
          <w:p w14:paraId="40A62BA1" w14:textId="77777777" w:rsidR="00064372" w:rsidRPr="0071569A" w:rsidRDefault="00064372" w:rsidP="00732FE6">
            <w:pPr>
              <w:spacing w:after="0"/>
              <w:rPr>
                <w:rFonts w:cs="Calibri"/>
                <w:b/>
                <w:bCs/>
                <w:color w:val="000000"/>
                <w:sz w:val="20"/>
                <w:szCs w:val="20"/>
              </w:rPr>
            </w:pPr>
            <w:r w:rsidRPr="0071569A">
              <w:rPr>
                <w:rFonts w:cs="Calibri"/>
                <w:b/>
                <w:bCs/>
                <w:color w:val="000000"/>
                <w:sz w:val="20"/>
                <w:szCs w:val="20"/>
              </w:rPr>
              <w:t>Race/Ethnicity</w:t>
            </w:r>
          </w:p>
        </w:tc>
        <w:tc>
          <w:tcPr>
            <w:tcW w:w="932" w:type="dxa"/>
            <w:shd w:val="clear" w:color="auto" w:fill="auto"/>
            <w:noWrap/>
            <w:vAlign w:val="bottom"/>
            <w:hideMark/>
          </w:tcPr>
          <w:p w14:paraId="41E48B77" w14:textId="77777777" w:rsidR="00064372" w:rsidRPr="0071569A" w:rsidRDefault="00064372" w:rsidP="00732FE6">
            <w:pPr>
              <w:spacing w:after="0"/>
              <w:rPr>
                <w:rFonts w:cs="Calibri"/>
                <w:b/>
                <w:bCs/>
                <w:color w:val="000000"/>
                <w:sz w:val="20"/>
                <w:szCs w:val="20"/>
              </w:rPr>
            </w:pPr>
          </w:p>
        </w:tc>
        <w:tc>
          <w:tcPr>
            <w:tcW w:w="881" w:type="dxa"/>
            <w:shd w:val="clear" w:color="auto" w:fill="auto"/>
            <w:noWrap/>
            <w:vAlign w:val="bottom"/>
            <w:hideMark/>
          </w:tcPr>
          <w:p w14:paraId="77C7351C" w14:textId="77777777" w:rsidR="00064372" w:rsidRPr="0071569A" w:rsidRDefault="00064372" w:rsidP="00732FE6">
            <w:pPr>
              <w:spacing w:after="0"/>
              <w:rPr>
                <w:rFonts w:cs="Calibri"/>
                <w:color w:val="000000"/>
                <w:sz w:val="20"/>
                <w:szCs w:val="20"/>
              </w:rPr>
            </w:pPr>
            <w:r w:rsidRPr="0071569A">
              <w:rPr>
                <w:rFonts w:cs="Calibri"/>
                <w:color w:val="000000"/>
                <w:sz w:val="20"/>
                <w:szCs w:val="20"/>
              </w:rPr>
              <w:t> </w:t>
            </w:r>
          </w:p>
        </w:tc>
      </w:tr>
      <w:tr w:rsidR="00064372" w:rsidRPr="0071569A" w14:paraId="7E5F64DF" w14:textId="77777777" w:rsidTr="00064372">
        <w:trPr>
          <w:trHeight w:val="255"/>
          <w:jc w:val="center"/>
        </w:trPr>
        <w:tc>
          <w:tcPr>
            <w:tcW w:w="5858" w:type="dxa"/>
            <w:shd w:val="clear" w:color="auto" w:fill="auto"/>
            <w:noWrap/>
            <w:vAlign w:val="bottom"/>
            <w:hideMark/>
          </w:tcPr>
          <w:p w14:paraId="2583E4BB"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American Indian/Alaska Native</w:t>
            </w:r>
          </w:p>
        </w:tc>
        <w:tc>
          <w:tcPr>
            <w:tcW w:w="932" w:type="dxa"/>
            <w:shd w:val="clear" w:color="auto" w:fill="auto"/>
            <w:noWrap/>
            <w:vAlign w:val="bottom"/>
            <w:hideMark/>
          </w:tcPr>
          <w:p w14:paraId="4FEAA503"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2</w:t>
            </w:r>
          </w:p>
        </w:tc>
        <w:tc>
          <w:tcPr>
            <w:tcW w:w="881" w:type="dxa"/>
            <w:shd w:val="clear" w:color="auto" w:fill="auto"/>
            <w:noWrap/>
            <w:vAlign w:val="bottom"/>
            <w:hideMark/>
          </w:tcPr>
          <w:p w14:paraId="77C93E13"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0%</w:t>
            </w:r>
          </w:p>
        </w:tc>
      </w:tr>
      <w:tr w:rsidR="00064372" w:rsidRPr="0071569A" w14:paraId="10FC020C" w14:textId="77777777" w:rsidTr="00064372">
        <w:trPr>
          <w:trHeight w:val="255"/>
          <w:jc w:val="center"/>
        </w:trPr>
        <w:tc>
          <w:tcPr>
            <w:tcW w:w="5858" w:type="dxa"/>
            <w:shd w:val="clear" w:color="auto" w:fill="auto"/>
            <w:noWrap/>
            <w:vAlign w:val="bottom"/>
            <w:hideMark/>
          </w:tcPr>
          <w:p w14:paraId="2CADB686"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Asian</w:t>
            </w:r>
          </w:p>
        </w:tc>
        <w:tc>
          <w:tcPr>
            <w:tcW w:w="932" w:type="dxa"/>
            <w:shd w:val="clear" w:color="auto" w:fill="auto"/>
            <w:noWrap/>
            <w:vAlign w:val="bottom"/>
            <w:hideMark/>
          </w:tcPr>
          <w:p w14:paraId="1F4001BB"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50</w:t>
            </w:r>
          </w:p>
        </w:tc>
        <w:tc>
          <w:tcPr>
            <w:tcW w:w="881" w:type="dxa"/>
            <w:shd w:val="clear" w:color="auto" w:fill="auto"/>
            <w:noWrap/>
            <w:vAlign w:val="bottom"/>
            <w:hideMark/>
          </w:tcPr>
          <w:p w14:paraId="758F2E9C"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3%</w:t>
            </w:r>
          </w:p>
        </w:tc>
      </w:tr>
      <w:tr w:rsidR="00064372" w:rsidRPr="0071569A" w14:paraId="07F98B46" w14:textId="77777777" w:rsidTr="00064372">
        <w:trPr>
          <w:trHeight w:val="255"/>
          <w:jc w:val="center"/>
        </w:trPr>
        <w:tc>
          <w:tcPr>
            <w:tcW w:w="5858" w:type="dxa"/>
            <w:shd w:val="clear" w:color="auto" w:fill="auto"/>
            <w:noWrap/>
            <w:vAlign w:val="bottom"/>
            <w:hideMark/>
          </w:tcPr>
          <w:p w14:paraId="2EE74513"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Black/African American</w:t>
            </w:r>
          </w:p>
        </w:tc>
        <w:tc>
          <w:tcPr>
            <w:tcW w:w="932" w:type="dxa"/>
            <w:shd w:val="clear" w:color="auto" w:fill="auto"/>
            <w:noWrap/>
            <w:vAlign w:val="bottom"/>
            <w:hideMark/>
          </w:tcPr>
          <w:p w14:paraId="7951C503"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71</w:t>
            </w:r>
          </w:p>
        </w:tc>
        <w:tc>
          <w:tcPr>
            <w:tcW w:w="881" w:type="dxa"/>
            <w:shd w:val="clear" w:color="auto" w:fill="auto"/>
            <w:noWrap/>
            <w:vAlign w:val="bottom"/>
            <w:hideMark/>
          </w:tcPr>
          <w:p w14:paraId="50FFFF7F"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5%</w:t>
            </w:r>
          </w:p>
        </w:tc>
      </w:tr>
      <w:tr w:rsidR="00064372" w:rsidRPr="0071569A" w14:paraId="40911FCC" w14:textId="77777777" w:rsidTr="00064372">
        <w:trPr>
          <w:trHeight w:val="255"/>
          <w:jc w:val="center"/>
        </w:trPr>
        <w:tc>
          <w:tcPr>
            <w:tcW w:w="5858" w:type="dxa"/>
            <w:shd w:val="clear" w:color="auto" w:fill="auto"/>
            <w:noWrap/>
            <w:vAlign w:val="bottom"/>
            <w:hideMark/>
          </w:tcPr>
          <w:p w14:paraId="0B60B1A2"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lastRenderedPageBreak/>
              <w:t>Hispanic/Latino</w:t>
            </w:r>
          </w:p>
        </w:tc>
        <w:tc>
          <w:tcPr>
            <w:tcW w:w="932" w:type="dxa"/>
            <w:shd w:val="clear" w:color="auto" w:fill="auto"/>
            <w:noWrap/>
            <w:vAlign w:val="bottom"/>
            <w:hideMark/>
          </w:tcPr>
          <w:p w14:paraId="178B45FB"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1161</w:t>
            </w:r>
          </w:p>
        </w:tc>
        <w:tc>
          <w:tcPr>
            <w:tcW w:w="881" w:type="dxa"/>
            <w:shd w:val="clear" w:color="auto" w:fill="auto"/>
            <w:noWrap/>
            <w:vAlign w:val="bottom"/>
            <w:hideMark/>
          </w:tcPr>
          <w:p w14:paraId="55087584"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79%</w:t>
            </w:r>
          </w:p>
        </w:tc>
      </w:tr>
      <w:tr w:rsidR="00064372" w:rsidRPr="0071569A" w14:paraId="798FBCAA" w14:textId="77777777" w:rsidTr="00064372">
        <w:trPr>
          <w:trHeight w:val="255"/>
          <w:jc w:val="center"/>
        </w:trPr>
        <w:tc>
          <w:tcPr>
            <w:tcW w:w="5858" w:type="dxa"/>
            <w:shd w:val="clear" w:color="auto" w:fill="auto"/>
            <w:noWrap/>
            <w:vAlign w:val="bottom"/>
            <w:hideMark/>
          </w:tcPr>
          <w:p w14:paraId="1A7D9C98" w14:textId="0B89DD80"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Native Hawaiian/Oth</w:t>
            </w:r>
            <w:r w:rsidR="001B6464">
              <w:rPr>
                <w:rFonts w:cs="Calibri"/>
                <w:color w:val="000000"/>
                <w:sz w:val="20"/>
                <w:szCs w:val="20"/>
              </w:rPr>
              <w:t>er</w:t>
            </w:r>
            <w:r w:rsidRPr="0071569A">
              <w:rPr>
                <w:rFonts w:cs="Calibri"/>
                <w:color w:val="000000"/>
                <w:sz w:val="20"/>
                <w:szCs w:val="20"/>
              </w:rPr>
              <w:t xml:space="preserve"> Pac</w:t>
            </w:r>
            <w:r w:rsidR="001B6464">
              <w:rPr>
                <w:rFonts w:cs="Calibri"/>
                <w:color w:val="000000"/>
                <w:sz w:val="20"/>
                <w:szCs w:val="20"/>
              </w:rPr>
              <w:t>ific</w:t>
            </w:r>
            <w:r w:rsidRPr="0071569A">
              <w:rPr>
                <w:rFonts w:cs="Calibri"/>
                <w:color w:val="000000"/>
                <w:sz w:val="20"/>
                <w:szCs w:val="20"/>
              </w:rPr>
              <w:t xml:space="preserve"> Island</w:t>
            </w:r>
            <w:r w:rsidR="001B6464">
              <w:rPr>
                <w:rFonts w:cs="Calibri"/>
                <w:color w:val="000000"/>
                <w:sz w:val="20"/>
                <w:szCs w:val="20"/>
              </w:rPr>
              <w:t>er</w:t>
            </w:r>
          </w:p>
        </w:tc>
        <w:tc>
          <w:tcPr>
            <w:tcW w:w="932" w:type="dxa"/>
            <w:shd w:val="clear" w:color="auto" w:fill="auto"/>
            <w:noWrap/>
            <w:vAlign w:val="bottom"/>
            <w:hideMark/>
          </w:tcPr>
          <w:p w14:paraId="5FED31A2"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1</w:t>
            </w:r>
          </w:p>
        </w:tc>
        <w:tc>
          <w:tcPr>
            <w:tcW w:w="881" w:type="dxa"/>
            <w:shd w:val="clear" w:color="auto" w:fill="auto"/>
            <w:noWrap/>
            <w:vAlign w:val="bottom"/>
            <w:hideMark/>
          </w:tcPr>
          <w:p w14:paraId="2995F975"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0%</w:t>
            </w:r>
          </w:p>
        </w:tc>
      </w:tr>
      <w:tr w:rsidR="00064372" w:rsidRPr="0071569A" w14:paraId="3A48D9F7" w14:textId="77777777" w:rsidTr="00064372">
        <w:trPr>
          <w:trHeight w:val="255"/>
          <w:jc w:val="center"/>
        </w:trPr>
        <w:tc>
          <w:tcPr>
            <w:tcW w:w="5858" w:type="dxa"/>
            <w:shd w:val="clear" w:color="auto" w:fill="auto"/>
            <w:noWrap/>
            <w:vAlign w:val="bottom"/>
            <w:hideMark/>
          </w:tcPr>
          <w:p w14:paraId="1A45CAAF"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White</w:t>
            </w:r>
          </w:p>
        </w:tc>
        <w:tc>
          <w:tcPr>
            <w:tcW w:w="932" w:type="dxa"/>
            <w:shd w:val="clear" w:color="auto" w:fill="auto"/>
            <w:noWrap/>
            <w:vAlign w:val="bottom"/>
            <w:hideMark/>
          </w:tcPr>
          <w:p w14:paraId="027D580C"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126</w:t>
            </w:r>
          </w:p>
        </w:tc>
        <w:tc>
          <w:tcPr>
            <w:tcW w:w="881" w:type="dxa"/>
            <w:shd w:val="clear" w:color="auto" w:fill="auto"/>
            <w:noWrap/>
            <w:vAlign w:val="bottom"/>
            <w:hideMark/>
          </w:tcPr>
          <w:p w14:paraId="1DA767E1"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9%</w:t>
            </w:r>
          </w:p>
        </w:tc>
      </w:tr>
      <w:tr w:rsidR="00064372" w:rsidRPr="0071569A" w14:paraId="4E49914C" w14:textId="77777777" w:rsidTr="00064372">
        <w:trPr>
          <w:trHeight w:val="255"/>
          <w:jc w:val="center"/>
        </w:trPr>
        <w:tc>
          <w:tcPr>
            <w:tcW w:w="5858" w:type="dxa"/>
            <w:shd w:val="clear" w:color="auto" w:fill="auto"/>
            <w:noWrap/>
            <w:vAlign w:val="bottom"/>
            <w:hideMark/>
          </w:tcPr>
          <w:p w14:paraId="17DE9E31"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Two or More Ethnicities/Race</w:t>
            </w:r>
          </w:p>
        </w:tc>
        <w:tc>
          <w:tcPr>
            <w:tcW w:w="932" w:type="dxa"/>
            <w:shd w:val="clear" w:color="auto" w:fill="auto"/>
            <w:noWrap/>
            <w:vAlign w:val="bottom"/>
            <w:hideMark/>
          </w:tcPr>
          <w:p w14:paraId="52677FE3"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26</w:t>
            </w:r>
          </w:p>
        </w:tc>
        <w:tc>
          <w:tcPr>
            <w:tcW w:w="881" w:type="dxa"/>
            <w:shd w:val="clear" w:color="auto" w:fill="auto"/>
            <w:noWrap/>
            <w:vAlign w:val="bottom"/>
            <w:hideMark/>
          </w:tcPr>
          <w:p w14:paraId="67A2093F"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2%</w:t>
            </w:r>
          </w:p>
        </w:tc>
      </w:tr>
      <w:tr w:rsidR="00064372" w:rsidRPr="0071569A" w14:paraId="72ADE609" w14:textId="77777777" w:rsidTr="00064372">
        <w:trPr>
          <w:trHeight w:val="255"/>
          <w:jc w:val="center"/>
        </w:trPr>
        <w:tc>
          <w:tcPr>
            <w:tcW w:w="5858" w:type="dxa"/>
            <w:shd w:val="clear" w:color="auto" w:fill="auto"/>
            <w:noWrap/>
            <w:vAlign w:val="bottom"/>
            <w:hideMark/>
          </w:tcPr>
          <w:p w14:paraId="77580186"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Not Specified</w:t>
            </w:r>
          </w:p>
        </w:tc>
        <w:tc>
          <w:tcPr>
            <w:tcW w:w="932" w:type="dxa"/>
            <w:shd w:val="clear" w:color="auto" w:fill="auto"/>
            <w:noWrap/>
            <w:vAlign w:val="bottom"/>
            <w:hideMark/>
          </w:tcPr>
          <w:p w14:paraId="063F679F"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31</w:t>
            </w:r>
          </w:p>
        </w:tc>
        <w:tc>
          <w:tcPr>
            <w:tcW w:w="881" w:type="dxa"/>
            <w:shd w:val="clear" w:color="auto" w:fill="auto"/>
            <w:noWrap/>
            <w:vAlign w:val="bottom"/>
            <w:hideMark/>
          </w:tcPr>
          <w:p w14:paraId="4976EEA4"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2%</w:t>
            </w:r>
          </w:p>
        </w:tc>
      </w:tr>
      <w:tr w:rsidR="00064372" w:rsidRPr="0071569A" w14:paraId="37EEE1DC" w14:textId="77777777" w:rsidTr="00064372">
        <w:trPr>
          <w:trHeight w:val="255"/>
          <w:jc w:val="center"/>
        </w:trPr>
        <w:tc>
          <w:tcPr>
            <w:tcW w:w="5858" w:type="dxa"/>
            <w:shd w:val="clear" w:color="auto" w:fill="auto"/>
            <w:noWrap/>
            <w:vAlign w:val="bottom"/>
            <w:hideMark/>
          </w:tcPr>
          <w:p w14:paraId="145EED05" w14:textId="77777777" w:rsidR="00064372" w:rsidRPr="0071569A" w:rsidRDefault="00064372" w:rsidP="00732FE6">
            <w:pPr>
              <w:spacing w:after="0"/>
              <w:rPr>
                <w:rFonts w:cs="Calibri"/>
                <w:b/>
                <w:bCs/>
                <w:color w:val="000000"/>
                <w:sz w:val="20"/>
                <w:szCs w:val="20"/>
              </w:rPr>
            </w:pPr>
            <w:r w:rsidRPr="0071569A">
              <w:rPr>
                <w:rFonts w:cs="Calibri"/>
                <w:b/>
                <w:bCs/>
                <w:color w:val="000000"/>
                <w:sz w:val="20"/>
                <w:szCs w:val="20"/>
              </w:rPr>
              <w:t>Academic Level</w:t>
            </w:r>
          </w:p>
        </w:tc>
        <w:tc>
          <w:tcPr>
            <w:tcW w:w="932" w:type="dxa"/>
            <w:shd w:val="clear" w:color="auto" w:fill="auto"/>
            <w:noWrap/>
            <w:vAlign w:val="bottom"/>
            <w:hideMark/>
          </w:tcPr>
          <w:p w14:paraId="18B79523" w14:textId="77777777" w:rsidR="00064372" w:rsidRPr="0071569A" w:rsidRDefault="00064372" w:rsidP="00732FE6">
            <w:pPr>
              <w:spacing w:after="0"/>
              <w:rPr>
                <w:rFonts w:cs="Calibri"/>
                <w:b/>
                <w:bCs/>
                <w:color w:val="000000"/>
                <w:sz w:val="20"/>
                <w:szCs w:val="20"/>
              </w:rPr>
            </w:pPr>
          </w:p>
        </w:tc>
        <w:tc>
          <w:tcPr>
            <w:tcW w:w="881" w:type="dxa"/>
            <w:shd w:val="clear" w:color="auto" w:fill="auto"/>
            <w:noWrap/>
            <w:vAlign w:val="bottom"/>
            <w:hideMark/>
          </w:tcPr>
          <w:p w14:paraId="55E11BA8" w14:textId="77777777" w:rsidR="00064372" w:rsidRPr="0071569A" w:rsidRDefault="00064372" w:rsidP="00732FE6">
            <w:pPr>
              <w:spacing w:after="0"/>
              <w:rPr>
                <w:rFonts w:cs="Calibri"/>
                <w:color w:val="000000"/>
                <w:sz w:val="20"/>
                <w:szCs w:val="20"/>
              </w:rPr>
            </w:pPr>
            <w:r w:rsidRPr="0071569A">
              <w:rPr>
                <w:rFonts w:cs="Calibri"/>
                <w:color w:val="000000"/>
                <w:sz w:val="20"/>
                <w:szCs w:val="20"/>
              </w:rPr>
              <w:t> </w:t>
            </w:r>
          </w:p>
        </w:tc>
      </w:tr>
      <w:tr w:rsidR="00064372" w:rsidRPr="0071569A" w14:paraId="1A443DCC" w14:textId="77777777" w:rsidTr="00064372">
        <w:trPr>
          <w:trHeight w:val="255"/>
          <w:jc w:val="center"/>
        </w:trPr>
        <w:tc>
          <w:tcPr>
            <w:tcW w:w="5858" w:type="dxa"/>
            <w:shd w:val="clear" w:color="auto" w:fill="auto"/>
            <w:noWrap/>
            <w:vAlign w:val="bottom"/>
            <w:hideMark/>
          </w:tcPr>
          <w:p w14:paraId="625B88FD"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Freshman</w:t>
            </w:r>
          </w:p>
        </w:tc>
        <w:tc>
          <w:tcPr>
            <w:tcW w:w="932" w:type="dxa"/>
            <w:shd w:val="clear" w:color="auto" w:fill="auto"/>
            <w:noWrap/>
            <w:vAlign w:val="bottom"/>
            <w:hideMark/>
          </w:tcPr>
          <w:p w14:paraId="6CA34A78"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316</w:t>
            </w:r>
          </w:p>
        </w:tc>
        <w:tc>
          <w:tcPr>
            <w:tcW w:w="881" w:type="dxa"/>
            <w:shd w:val="clear" w:color="auto" w:fill="auto"/>
            <w:noWrap/>
            <w:vAlign w:val="bottom"/>
            <w:hideMark/>
          </w:tcPr>
          <w:p w14:paraId="4F6CC166"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22%</w:t>
            </w:r>
          </w:p>
        </w:tc>
      </w:tr>
      <w:tr w:rsidR="00064372" w:rsidRPr="0071569A" w14:paraId="354A0D53" w14:textId="77777777" w:rsidTr="00064372">
        <w:trPr>
          <w:trHeight w:val="255"/>
          <w:jc w:val="center"/>
        </w:trPr>
        <w:tc>
          <w:tcPr>
            <w:tcW w:w="5858" w:type="dxa"/>
            <w:shd w:val="clear" w:color="auto" w:fill="auto"/>
            <w:noWrap/>
            <w:vAlign w:val="bottom"/>
            <w:hideMark/>
          </w:tcPr>
          <w:p w14:paraId="4703897C"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Sophomore</w:t>
            </w:r>
          </w:p>
        </w:tc>
        <w:tc>
          <w:tcPr>
            <w:tcW w:w="932" w:type="dxa"/>
            <w:shd w:val="clear" w:color="auto" w:fill="auto"/>
            <w:noWrap/>
            <w:vAlign w:val="bottom"/>
            <w:hideMark/>
          </w:tcPr>
          <w:p w14:paraId="6DBE33BC"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282</w:t>
            </w:r>
          </w:p>
        </w:tc>
        <w:tc>
          <w:tcPr>
            <w:tcW w:w="881" w:type="dxa"/>
            <w:shd w:val="clear" w:color="auto" w:fill="auto"/>
            <w:noWrap/>
            <w:vAlign w:val="bottom"/>
            <w:hideMark/>
          </w:tcPr>
          <w:p w14:paraId="34D39D65"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19%</w:t>
            </w:r>
          </w:p>
        </w:tc>
      </w:tr>
      <w:tr w:rsidR="00064372" w:rsidRPr="0071569A" w14:paraId="5056E8FA" w14:textId="77777777" w:rsidTr="00064372">
        <w:trPr>
          <w:trHeight w:val="255"/>
          <w:jc w:val="center"/>
        </w:trPr>
        <w:tc>
          <w:tcPr>
            <w:tcW w:w="5858" w:type="dxa"/>
            <w:shd w:val="clear" w:color="auto" w:fill="auto"/>
            <w:noWrap/>
            <w:vAlign w:val="bottom"/>
            <w:hideMark/>
          </w:tcPr>
          <w:p w14:paraId="74EDF6A0"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Junior</w:t>
            </w:r>
          </w:p>
        </w:tc>
        <w:tc>
          <w:tcPr>
            <w:tcW w:w="932" w:type="dxa"/>
            <w:shd w:val="clear" w:color="auto" w:fill="auto"/>
            <w:noWrap/>
            <w:vAlign w:val="bottom"/>
            <w:hideMark/>
          </w:tcPr>
          <w:p w14:paraId="681B5148"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441</w:t>
            </w:r>
          </w:p>
        </w:tc>
        <w:tc>
          <w:tcPr>
            <w:tcW w:w="881" w:type="dxa"/>
            <w:shd w:val="clear" w:color="auto" w:fill="auto"/>
            <w:noWrap/>
            <w:vAlign w:val="bottom"/>
            <w:hideMark/>
          </w:tcPr>
          <w:p w14:paraId="7B0A2C6A"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30%</w:t>
            </w:r>
          </w:p>
        </w:tc>
      </w:tr>
      <w:tr w:rsidR="00064372" w:rsidRPr="0071569A" w14:paraId="78AE9CD5" w14:textId="77777777" w:rsidTr="00064372">
        <w:trPr>
          <w:trHeight w:val="255"/>
          <w:jc w:val="center"/>
        </w:trPr>
        <w:tc>
          <w:tcPr>
            <w:tcW w:w="5858" w:type="dxa"/>
            <w:shd w:val="clear" w:color="auto" w:fill="auto"/>
            <w:noWrap/>
            <w:vAlign w:val="bottom"/>
            <w:hideMark/>
          </w:tcPr>
          <w:p w14:paraId="31348C13" w14:textId="77777777" w:rsidR="00064372" w:rsidRPr="0071569A" w:rsidRDefault="00064372" w:rsidP="00732FE6">
            <w:pPr>
              <w:spacing w:after="0"/>
              <w:ind w:firstLineChars="100" w:firstLine="200"/>
              <w:rPr>
                <w:rFonts w:cs="Calibri"/>
                <w:color w:val="000000"/>
                <w:sz w:val="20"/>
                <w:szCs w:val="20"/>
              </w:rPr>
            </w:pPr>
            <w:r w:rsidRPr="0071569A">
              <w:rPr>
                <w:rFonts w:cs="Calibri"/>
                <w:color w:val="000000"/>
                <w:sz w:val="20"/>
                <w:szCs w:val="20"/>
              </w:rPr>
              <w:t>Senior</w:t>
            </w:r>
          </w:p>
        </w:tc>
        <w:tc>
          <w:tcPr>
            <w:tcW w:w="932" w:type="dxa"/>
            <w:shd w:val="clear" w:color="auto" w:fill="auto"/>
            <w:noWrap/>
            <w:vAlign w:val="bottom"/>
            <w:hideMark/>
          </w:tcPr>
          <w:p w14:paraId="47EE72CB"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429</w:t>
            </w:r>
          </w:p>
        </w:tc>
        <w:tc>
          <w:tcPr>
            <w:tcW w:w="881" w:type="dxa"/>
            <w:shd w:val="clear" w:color="auto" w:fill="auto"/>
            <w:noWrap/>
            <w:vAlign w:val="bottom"/>
            <w:hideMark/>
          </w:tcPr>
          <w:p w14:paraId="21B6B0F0" w14:textId="77777777" w:rsidR="00064372" w:rsidRPr="0071569A" w:rsidRDefault="00064372" w:rsidP="00732FE6">
            <w:pPr>
              <w:spacing w:after="0"/>
              <w:jc w:val="right"/>
              <w:rPr>
                <w:rFonts w:cs="Calibri"/>
                <w:color w:val="000000"/>
                <w:sz w:val="20"/>
                <w:szCs w:val="20"/>
              </w:rPr>
            </w:pPr>
            <w:r w:rsidRPr="0071569A">
              <w:rPr>
                <w:rFonts w:cs="Calibri"/>
                <w:color w:val="000000"/>
                <w:sz w:val="20"/>
                <w:szCs w:val="20"/>
              </w:rPr>
              <w:t>29%</w:t>
            </w:r>
          </w:p>
        </w:tc>
      </w:tr>
    </w:tbl>
    <w:p w14:paraId="36F1F508" w14:textId="70FD1F02" w:rsidR="008E5C80" w:rsidRPr="0071569A" w:rsidRDefault="008E5C80" w:rsidP="00732FE6">
      <w:pPr>
        <w:pStyle w:val="Heading2"/>
        <w:rPr>
          <w:szCs w:val="24"/>
        </w:rPr>
      </w:pPr>
      <w:r w:rsidRPr="0071569A">
        <w:rPr>
          <w:szCs w:val="24"/>
        </w:rPr>
        <w:t>Recommendations to Faculty</w:t>
      </w:r>
      <w:r w:rsidR="00147803" w:rsidRPr="0071569A">
        <w:rPr>
          <w:szCs w:val="24"/>
        </w:rPr>
        <w:t>:</w:t>
      </w:r>
    </w:p>
    <w:p w14:paraId="6683DB05" w14:textId="77777777" w:rsidR="001B6464" w:rsidRDefault="00FD41A3" w:rsidP="00732FE6">
      <w:pPr>
        <w:pStyle w:val="MediumGrid1-Accent21"/>
        <w:ind w:left="0"/>
        <w:contextualSpacing w:val="0"/>
      </w:pPr>
      <w:r w:rsidRPr="0071569A">
        <w:t>Based on the results from this year’s assessment, it appears that a greater emphasis should be placed on qualitative data analysis while maintaining or expanding the program’s emphasis on quantitative data analysis. The greatest differences between under- and upperclassmen is visible in students’ organization and engagement skills; however, growth was still demonstrated as students progress</w:t>
      </w:r>
      <w:r w:rsidR="002C0B93" w:rsidRPr="0071569A">
        <w:t xml:space="preserve">ed </w:t>
      </w:r>
      <w:r w:rsidRPr="0071569A">
        <w:t xml:space="preserve">through the program. </w:t>
      </w:r>
    </w:p>
    <w:p w14:paraId="12DB441D" w14:textId="004A5EAE" w:rsidR="008E5C80" w:rsidRPr="0071569A" w:rsidRDefault="001B6464" w:rsidP="00732FE6">
      <w:pPr>
        <w:pStyle w:val="MediumGrid1-Accent21"/>
        <w:ind w:left="0"/>
        <w:contextualSpacing w:val="0"/>
      </w:pPr>
      <w:r>
        <w:t>As a new program, we have a limited number of full-time faculty available to teach courses related to these skills while tremendous growth in our student population over the past 3 years (approximately 400 students in 2017-2018 to</w:t>
      </w:r>
      <w:r w:rsidR="00573730">
        <w:t xml:space="preserve"> approximately 1,500 students in 2019-2020).</w:t>
      </w:r>
      <w:r>
        <w:t xml:space="preserve"> Moreover, greater efforts should occur to recruit, hire, and retain faculty that represent the diversity of our student population in order to increase student success</w:t>
      </w:r>
      <w:r w:rsidR="00573730">
        <w:t xml:space="preserve"> across the program.</w:t>
      </w:r>
    </w:p>
    <w:p w14:paraId="496D4418" w14:textId="07A32A51" w:rsidR="00FD41A3" w:rsidRPr="0071569A" w:rsidRDefault="002C0B93" w:rsidP="00732FE6">
      <w:pPr>
        <w:pStyle w:val="MediumGrid1-Accent21"/>
        <w:ind w:left="0"/>
        <w:contextualSpacing w:val="0"/>
      </w:pPr>
      <w:r w:rsidRPr="0071569A">
        <w:t>Our recommendations include the following:</w:t>
      </w:r>
    </w:p>
    <w:p w14:paraId="22F37DEA" w14:textId="5D762FA8" w:rsidR="00051D24" w:rsidRPr="0071569A" w:rsidRDefault="00051D24" w:rsidP="00732FE6">
      <w:pPr>
        <w:pStyle w:val="MediumGrid1-Accent21"/>
        <w:numPr>
          <w:ilvl w:val="0"/>
          <w:numId w:val="12"/>
        </w:numPr>
        <w:contextualSpacing w:val="0"/>
      </w:pPr>
      <w:r w:rsidRPr="0071569A">
        <w:t xml:space="preserve">Additional </w:t>
      </w:r>
      <w:r w:rsidR="0071569A" w:rsidRPr="0071569A">
        <w:t xml:space="preserve">full-time faculty </w:t>
      </w:r>
      <w:r w:rsidRPr="0071569A">
        <w:t>hires in statistics</w:t>
      </w:r>
      <w:r w:rsidR="001B6464">
        <w:t xml:space="preserve"> and research </w:t>
      </w:r>
      <w:r w:rsidRPr="0071569A">
        <w:t>methods</w:t>
      </w:r>
      <w:r w:rsidR="003225FA" w:rsidRPr="0071569A">
        <w:t xml:space="preserve">, in particularly faculty that can help us serve our large Latinx student population as this would enhance student </w:t>
      </w:r>
      <w:r w:rsidR="0071569A" w:rsidRPr="0071569A">
        <w:t>success in these courses.</w:t>
      </w:r>
    </w:p>
    <w:p w14:paraId="199B25F1" w14:textId="67C7623F" w:rsidR="002C0B93" w:rsidRPr="0071569A" w:rsidRDefault="002C0B93" w:rsidP="00732FE6">
      <w:pPr>
        <w:pStyle w:val="MediumGrid1-Accent21"/>
        <w:numPr>
          <w:ilvl w:val="0"/>
          <w:numId w:val="12"/>
        </w:numPr>
        <w:contextualSpacing w:val="0"/>
      </w:pPr>
      <w:r w:rsidRPr="0071569A">
        <w:t>Design/implement assignments that allow students to analyze quantitative and qualitative differences</w:t>
      </w:r>
      <w:r w:rsidR="001B6464">
        <w:t>.</w:t>
      </w:r>
    </w:p>
    <w:p w14:paraId="7D09C585" w14:textId="671101A5" w:rsidR="002C0B93" w:rsidRPr="0071569A" w:rsidRDefault="002C0B93" w:rsidP="00732FE6">
      <w:pPr>
        <w:pStyle w:val="MediumGrid1-Accent21"/>
        <w:numPr>
          <w:ilvl w:val="0"/>
          <w:numId w:val="12"/>
        </w:numPr>
        <w:contextualSpacing w:val="0"/>
      </w:pPr>
      <w:r w:rsidRPr="0071569A">
        <w:t>Ensure that students are progressing through data analysis/methods classes in a logical manner that builds on prior skills/knowledge</w:t>
      </w:r>
      <w:r w:rsidR="001B6464">
        <w:t>.</w:t>
      </w:r>
    </w:p>
    <w:p w14:paraId="715050AE" w14:textId="12791353" w:rsidR="002C0B93" w:rsidRPr="0071569A" w:rsidRDefault="002C0B93" w:rsidP="00732FE6">
      <w:pPr>
        <w:pStyle w:val="MediumGrid1-Accent21"/>
        <w:numPr>
          <w:ilvl w:val="0"/>
          <w:numId w:val="12"/>
        </w:numPr>
        <w:contextualSpacing w:val="0"/>
      </w:pPr>
      <w:r w:rsidRPr="0071569A">
        <w:t>Examine whether differences in skills vary by whether students started at CSUN or transferred to the program</w:t>
      </w:r>
      <w:r w:rsidR="001B6464">
        <w:t>.</w:t>
      </w:r>
    </w:p>
    <w:p w14:paraId="3193C278" w14:textId="49E71EB5" w:rsidR="002C0B93" w:rsidRPr="0071569A" w:rsidRDefault="002C0B93" w:rsidP="00732FE6">
      <w:pPr>
        <w:pStyle w:val="MediumGrid1-Accent21"/>
        <w:numPr>
          <w:ilvl w:val="0"/>
          <w:numId w:val="12"/>
        </w:numPr>
        <w:contextualSpacing w:val="0"/>
      </w:pPr>
      <w:r w:rsidRPr="0071569A">
        <w:t>Review instrument, SLOs and PLOs as needed based on data</w:t>
      </w:r>
      <w:r w:rsidR="001B6464">
        <w:t>.</w:t>
      </w:r>
    </w:p>
    <w:p w14:paraId="629F8D8E" w14:textId="77777777" w:rsidR="008E5C80" w:rsidRPr="0071569A" w:rsidRDefault="008E5C80" w:rsidP="00732FE6">
      <w:pPr>
        <w:pStyle w:val="Heading2"/>
        <w:rPr>
          <w:szCs w:val="24"/>
        </w:rPr>
      </w:pPr>
      <w:r w:rsidRPr="0071569A">
        <w:rPr>
          <w:szCs w:val="24"/>
        </w:rPr>
        <w:lastRenderedPageBreak/>
        <w:t>Preview of Planned Assessment Activities for 2020-21:</w:t>
      </w:r>
    </w:p>
    <w:p w14:paraId="50E0DD45" w14:textId="3D24D98C" w:rsidR="00275BF2" w:rsidRPr="0071569A" w:rsidRDefault="00275BF2" w:rsidP="00732FE6">
      <w:pPr>
        <w:pStyle w:val="MediumGrid1-Accent21"/>
        <w:ind w:left="0"/>
        <w:contextualSpacing w:val="0"/>
      </w:pPr>
      <w:r w:rsidRPr="0071569A">
        <w:t>Because the department is still relatively new, we are continuing to assess the baseline skills and knowledge of students. We plan on taking the results to the faculty and ask advice on how to best address shortfalls, program changes, and revisiting assessment procedures.</w:t>
      </w:r>
      <w:r w:rsidR="0071569A" w:rsidRPr="0071569A">
        <w:t xml:space="preserve"> </w:t>
      </w:r>
      <w:r w:rsidRPr="0071569A">
        <w:t>This upcoming year, we plan on assessing one of our courses (CJS 340: Ethics in Criminal Justice), which fulfills the GE Section E: Lifelong Learning requirement.</w:t>
      </w:r>
      <w:r w:rsidR="002C0B93" w:rsidRPr="0071569A">
        <w:t xml:space="preserve"> Exact details will be provided in the yearly report for September 2021.</w:t>
      </w:r>
    </w:p>
    <w:sectPr w:rsidR="00275BF2" w:rsidRPr="0071569A" w:rsidSect="0071569A">
      <w:footerReference w:type="even" r:id="rId9"/>
      <w:footerReference w:type="defaul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7D25" w14:textId="77777777" w:rsidR="009548E7" w:rsidRDefault="009548E7" w:rsidP="00281389">
      <w:pPr>
        <w:spacing w:after="0" w:line="240" w:lineRule="auto"/>
      </w:pPr>
      <w:r>
        <w:separator/>
      </w:r>
    </w:p>
    <w:p w14:paraId="73A2BA0D" w14:textId="77777777" w:rsidR="009548E7" w:rsidRDefault="009548E7"/>
    <w:p w14:paraId="44C86BC0" w14:textId="77777777" w:rsidR="009548E7" w:rsidRDefault="009548E7"/>
  </w:endnote>
  <w:endnote w:type="continuationSeparator" w:id="0">
    <w:p w14:paraId="72D2C890" w14:textId="77777777" w:rsidR="009548E7" w:rsidRDefault="009548E7" w:rsidP="00281389">
      <w:pPr>
        <w:spacing w:after="0" w:line="240" w:lineRule="auto"/>
      </w:pPr>
      <w:r>
        <w:continuationSeparator/>
      </w:r>
    </w:p>
    <w:p w14:paraId="1B6521FE" w14:textId="77777777" w:rsidR="009548E7" w:rsidRDefault="009548E7"/>
    <w:p w14:paraId="11D5D37C" w14:textId="77777777" w:rsidR="009548E7" w:rsidRDefault="00954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1D9A"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4F7459DD" w14:textId="77777777" w:rsidR="003F755F" w:rsidRDefault="003F755F" w:rsidP="00281389">
    <w:pPr>
      <w:pStyle w:val="Footer"/>
      <w:ind w:right="360"/>
    </w:pPr>
  </w:p>
  <w:p w14:paraId="63F693C9" w14:textId="77777777" w:rsidR="001D710D" w:rsidRDefault="001D710D"/>
  <w:p w14:paraId="09C914E2" w14:textId="77777777" w:rsidR="001819EC" w:rsidRDefault="001819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9A47"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028E6E" w14:textId="77777777" w:rsidR="003F755F" w:rsidRDefault="003F755F" w:rsidP="00281389">
    <w:pPr>
      <w:pStyle w:val="Footer"/>
      <w:ind w:right="360"/>
    </w:pPr>
  </w:p>
  <w:p w14:paraId="261ED686" w14:textId="77777777" w:rsidR="003F755F" w:rsidRDefault="003F755F">
    <w:pPr>
      <w:pStyle w:val="Footer"/>
    </w:pPr>
  </w:p>
  <w:p w14:paraId="42B99FB4" w14:textId="77777777" w:rsidR="001D710D" w:rsidRDefault="001D710D"/>
  <w:p w14:paraId="6F9093B9" w14:textId="77777777" w:rsidR="001819EC" w:rsidRDefault="00181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B48D" w14:textId="77777777" w:rsidR="009548E7" w:rsidRDefault="009548E7" w:rsidP="00281389">
      <w:pPr>
        <w:spacing w:after="0" w:line="240" w:lineRule="auto"/>
      </w:pPr>
      <w:r>
        <w:separator/>
      </w:r>
    </w:p>
    <w:p w14:paraId="0E8D4417" w14:textId="77777777" w:rsidR="009548E7" w:rsidRDefault="009548E7"/>
    <w:p w14:paraId="5C79E90A" w14:textId="77777777" w:rsidR="009548E7" w:rsidRDefault="009548E7"/>
  </w:footnote>
  <w:footnote w:type="continuationSeparator" w:id="0">
    <w:p w14:paraId="0813CDEC" w14:textId="77777777" w:rsidR="009548E7" w:rsidRDefault="009548E7" w:rsidP="00281389">
      <w:pPr>
        <w:spacing w:after="0" w:line="240" w:lineRule="auto"/>
      </w:pPr>
      <w:r>
        <w:continuationSeparator/>
      </w:r>
    </w:p>
    <w:p w14:paraId="7ACF7DEB" w14:textId="77777777" w:rsidR="009548E7" w:rsidRDefault="009548E7"/>
    <w:p w14:paraId="051EA081" w14:textId="77777777" w:rsidR="009548E7" w:rsidRDefault="009548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E3E90"/>
    <w:multiLevelType w:val="hybridMultilevel"/>
    <w:tmpl w:val="DA50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1"/>
  </w:num>
  <w:num w:numId="3">
    <w:abstractNumId w:val="10"/>
  </w:num>
  <w:num w:numId="4">
    <w:abstractNumId w:val="5"/>
  </w:num>
  <w:num w:numId="5">
    <w:abstractNumId w:val="9"/>
  </w:num>
  <w:num w:numId="6">
    <w:abstractNumId w:val="6"/>
  </w:num>
  <w:num w:numId="7">
    <w:abstractNumId w:val="2"/>
  </w:num>
  <w:num w:numId="8">
    <w:abstractNumId w:val="7"/>
  </w:num>
  <w:num w:numId="9">
    <w:abstractNumId w:val="3"/>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45"/>
    <w:rsid w:val="00051D24"/>
    <w:rsid w:val="000556DF"/>
    <w:rsid w:val="00064372"/>
    <w:rsid w:val="000E5D8F"/>
    <w:rsid w:val="00117A45"/>
    <w:rsid w:val="00147803"/>
    <w:rsid w:val="001819EC"/>
    <w:rsid w:val="001B6464"/>
    <w:rsid w:val="001D710D"/>
    <w:rsid w:val="002161EF"/>
    <w:rsid w:val="00275BF2"/>
    <w:rsid w:val="00281389"/>
    <w:rsid w:val="002C0B93"/>
    <w:rsid w:val="003225FA"/>
    <w:rsid w:val="003A41A4"/>
    <w:rsid w:val="003D0F20"/>
    <w:rsid w:val="003D5616"/>
    <w:rsid w:val="003F755F"/>
    <w:rsid w:val="00482856"/>
    <w:rsid w:val="004D20C5"/>
    <w:rsid w:val="00564226"/>
    <w:rsid w:val="00573730"/>
    <w:rsid w:val="00602010"/>
    <w:rsid w:val="00603128"/>
    <w:rsid w:val="00620B35"/>
    <w:rsid w:val="00676B1D"/>
    <w:rsid w:val="0070631D"/>
    <w:rsid w:val="00707029"/>
    <w:rsid w:val="0071569A"/>
    <w:rsid w:val="00732FE6"/>
    <w:rsid w:val="007E0C7C"/>
    <w:rsid w:val="008B421D"/>
    <w:rsid w:val="008E5C80"/>
    <w:rsid w:val="008F1180"/>
    <w:rsid w:val="009312BC"/>
    <w:rsid w:val="009471A9"/>
    <w:rsid w:val="009548E7"/>
    <w:rsid w:val="009601A7"/>
    <w:rsid w:val="00B10BF7"/>
    <w:rsid w:val="00B11847"/>
    <w:rsid w:val="00C037E5"/>
    <w:rsid w:val="00C361DE"/>
    <w:rsid w:val="00CD5B64"/>
    <w:rsid w:val="00E66330"/>
    <w:rsid w:val="00E73C8E"/>
    <w:rsid w:val="00FD4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5F44"/>
  <w15:docId w15:val="{83297EB7-53E2-43DA-A248-3D67CB52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E6"/>
    <w:pPr>
      <w:spacing w:after="200" w:line="276" w:lineRule="auto"/>
    </w:pPr>
    <w:rPr>
      <w:rFonts w:ascii="Verdana Pro" w:hAnsi="Verdana Pro"/>
      <w:sz w:val="22"/>
      <w:szCs w:val="22"/>
    </w:rPr>
  </w:style>
  <w:style w:type="paragraph" w:styleId="Heading1">
    <w:name w:val="heading 1"/>
    <w:basedOn w:val="Normal"/>
    <w:next w:val="Normal"/>
    <w:link w:val="Heading1Char"/>
    <w:autoRedefine/>
    <w:uiPriority w:val="9"/>
    <w:qFormat/>
    <w:rsid w:val="00732FE6"/>
    <w:pPr>
      <w:keepNext/>
      <w:keepLines/>
      <w:spacing w:before="240" w:after="0"/>
      <w:jc w:val="center"/>
      <w:outlineLvl w:val="0"/>
    </w:pPr>
    <w:rPr>
      <w:rFonts w:eastAsiaTheme="majorEastAsia" w:cstheme="majorBidi"/>
      <w:b/>
      <w:sz w:val="26"/>
      <w:szCs w:val="26"/>
    </w:rPr>
  </w:style>
  <w:style w:type="paragraph" w:styleId="Heading2">
    <w:name w:val="heading 2"/>
    <w:basedOn w:val="Normal"/>
    <w:next w:val="Normal"/>
    <w:link w:val="Heading2Char"/>
    <w:autoRedefine/>
    <w:uiPriority w:val="9"/>
    <w:unhideWhenUsed/>
    <w:qFormat/>
    <w:rsid w:val="00732FE6"/>
    <w:pPr>
      <w:keepNext/>
      <w:keepLines/>
      <w:spacing w:before="120" w:after="120"/>
      <w:outlineLvl w:val="1"/>
    </w:pPr>
    <w:rPr>
      <w:rFonts w:eastAsiaTheme="majorEastAsia" w:cstheme="majorBidi"/>
      <w:b/>
      <w:sz w:val="24"/>
      <w:szCs w:val="26"/>
    </w:rPr>
  </w:style>
  <w:style w:type="paragraph" w:styleId="Heading4">
    <w:name w:val="heading 4"/>
    <w:basedOn w:val="Normal"/>
    <w:link w:val="Heading4Char"/>
    <w:uiPriority w:val="9"/>
    <w:rsid w:val="000E5D8F"/>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 w:type="character" w:customStyle="1" w:styleId="Heading1Char">
    <w:name w:val="Heading 1 Char"/>
    <w:basedOn w:val="DefaultParagraphFont"/>
    <w:link w:val="Heading1"/>
    <w:uiPriority w:val="9"/>
    <w:rsid w:val="00732FE6"/>
    <w:rPr>
      <w:rFonts w:ascii="Verdana Pro" w:eastAsiaTheme="majorEastAsia" w:hAnsi="Verdana Pro" w:cstheme="majorBidi"/>
      <w:b/>
      <w:sz w:val="26"/>
      <w:szCs w:val="26"/>
    </w:rPr>
  </w:style>
  <w:style w:type="character" w:customStyle="1" w:styleId="Heading2Char">
    <w:name w:val="Heading 2 Char"/>
    <w:basedOn w:val="DefaultParagraphFont"/>
    <w:link w:val="Heading2"/>
    <w:uiPriority w:val="9"/>
    <w:rsid w:val="00732FE6"/>
    <w:rPr>
      <w:rFonts w:ascii="Verdana Pro" w:eastAsiaTheme="majorEastAsia" w:hAnsi="Verdana Pro"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92794">
      <w:bodyDiv w:val="1"/>
      <w:marLeft w:val="0"/>
      <w:marRight w:val="0"/>
      <w:marTop w:val="0"/>
      <w:marBottom w:val="0"/>
      <w:divBdr>
        <w:top w:val="none" w:sz="0" w:space="0" w:color="auto"/>
        <w:left w:val="none" w:sz="0" w:space="0" w:color="auto"/>
        <w:bottom w:val="none" w:sz="0" w:space="0" w:color="auto"/>
        <w:right w:val="none" w:sz="0" w:space="0" w:color="auto"/>
      </w:divBdr>
    </w:div>
    <w:div w:id="875384094">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88483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F100-8362-435E-9514-A0B7582D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9835</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Nayan Ramirez</cp:lastModifiedBy>
  <cp:revision>3</cp:revision>
  <cp:lastPrinted>2014-10-20T20:50:00Z</cp:lastPrinted>
  <dcterms:created xsi:type="dcterms:W3CDTF">2020-09-15T22:51:00Z</dcterms:created>
  <dcterms:modified xsi:type="dcterms:W3CDTF">2020-09-28T20:04:00Z</dcterms:modified>
</cp:coreProperties>
</file>