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8E9CD" w14:textId="77777777"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14:paraId="323E39B6" w14:textId="77777777"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14:paraId="1838C599"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A45662">
        <w:rPr>
          <w:rFonts w:ascii="Times New Roman" w:hAnsi="Times New Roman"/>
          <w:b/>
          <w:sz w:val="20"/>
          <w:szCs w:val="20"/>
        </w:rPr>
        <w:t>College of Health and Human Development (CHHD)</w:t>
      </w:r>
    </w:p>
    <w:p w14:paraId="55014730"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A45662">
        <w:rPr>
          <w:rFonts w:ascii="Times New Roman" w:hAnsi="Times New Roman"/>
          <w:b/>
          <w:sz w:val="20"/>
          <w:szCs w:val="20"/>
        </w:rPr>
        <w:t>Child and Adolescent Development (CADV)</w:t>
      </w:r>
    </w:p>
    <w:p w14:paraId="2D14D6A7"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Assessment liaison</w:t>
      </w:r>
      <w:r w:rsidR="00A45662">
        <w:rPr>
          <w:rFonts w:ascii="Times New Roman" w:hAnsi="Times New Roman"/>
          <w:b/>
          <w:sz w:val="20"/>
          <w:szCs w:val="20"/>
        </w:rPr>
        <w:t>s</w:t>
      </w:r>
      <w:r w:rsidRPr="00897D80">
        <w:rPr>
          <w:rFonts w:ascii="Times New Roman" w:hAnsi="Times New Roman"/>
          <w:b/>
          <w:sz w:val="20"/>
          <w:szCs w:val="20"/>
        </w:rPr>
        <w:t xml:space="preserve">: </w:t>
      </w:r>
      <w:r w:rsidR="00A45662">
        <w:rPr>
          <w:rFonts w:ascii="Times New Roman" w:hAnsi="Times New Roman"/>
          <w:b/>
          <w:sz w:val="20"/>
          <w:szCs w:val="20"/>
        </w:rPr>
        <w:t xml:space="preserve">Drs. Nancy </w:t>
      </w:r>
      <w:proofErr w:type="spellStart"/>
      <w:r w:rsidR="00A45662">
        <w:rPr>
          <w:rFonts w:ascii="Times New Roman" w:hAnsi="Times New Roman"/>
          <w:b/>
          <w:sz w:val="20"/>
          <w:szCs w:val="20"/>
        </w:rPr>
        <w:t>Miodrag</w:t>
      </w:r>
      <w:proofErr w:type="spellEnd"/>
      <w:r w:rsidR="00A45662">
        <w:rPr>
          <w:rFonts w:ascii="Times New Roman" w:hAnsi="Times New Roman"/>
          <w:b/>
          <w:sz w:val="20"/>
          <w:szCs w:val="20"/>
        </w:rPr>
        <w:t xml:space="preserve"> and Shu-Sha Angie Guan</w:t>
      </w:r>
    </w:p>
    <w:p w14:paraId="137B92D2"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06BC4714"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 xml:space="preserve">_______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7FFF73FF"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6120483" w14:textId="77777777" w:rsidR="000E5D8F" w:rsidRDefault="00281389" w:rsidP="000E5D8F">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 xml:space="preserve">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7C43C744"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D. ____</w:t>
      </w:r>
      <w:r w:rsidR="00A45662" w:rsidRPr="00A45662">
        <w:rPr>
          <w:rFonts w:ascii="Times New Roman" w:hAnsi="Times New Roman"/>
          <w:b/>
          <w:sz w:val="20"/>
          <w:szCs w:val="20"/>
          <w:u w:val="single"/>
        </w:rPr>
        <w:t>X</w:t>
      </w:r>
      <w:r>
        <w:rPr>
          <w:rFonts w:ascii="Times New Roman" w:hAnsi="Times New Roman"/>
          <w:b/>
          <w:sz w:val="20"/>
          <w:szCs w:val="20"/>
        </w:rPr>
        <w:t xml:space="preserve">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r w:rsidR="004D20C5">
        <w:rPr>
          <w:rFonts w:ascii="Times New Roman" w:hAnsi="Times New Roman"/>
          <w:b/>
          <w:sz w:val="20"/>
        </w:rPr>
        <w:tab/>
        <w:t xml:space="preserve">  Government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p>
    <w:p w14:paraId="4F4065F3"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74940AFE"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6E76ABCE"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9A9EFA7"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675BB035"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4383D997"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14:paraId="343F44C2"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7A3D8437"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14:paraId="25062599" w14:textId="77777777" w:rsidR="00281389" w:rsidRDefault="00281389" w:rsidP="00281389">
      <w:pPr>
        <w:pStyle w:val="MediumGrid1-Accent21"/>
        <w:ind w:left="0"/>
        <w:rPr>
          <w:rFonts w:ascii="Times New Roman" w:hAnsi="Times New Roman"/>
          <w:b/>
          <w:sz w:val="20"/>
          <w:szCs w:val="20"/>
        </w:rPr>
      </w:pPr>
    </w:p>
    <w:p w14:paraId="789D0903" w14:textId="77777777" w:rsidR="00A45662" w:rsidRPr="006914D9" w:rsidRDefault="00A45662" w:rsidP="00A45662">
      <w:pPr>
        <w:pStyle w:val="NormalWeb"/>
        <w:shd w:val="clear" w:color="auto" w:fill="FFFFFF"/>
        <w:spacing w:before="0" w:beforeAutospacing="0" w:after="0" w:afterAutospacing="0"/>
        <w:rPr>
          <w:rFonts w:ascii="Times New Roman" w:hAnsi="Times New Roman"/>
          <w:b/>
          <w:bCs/>
          <w:color w:val="212121"/>
        </w:rPr>
      </w:pPr>
      <w:r>
        <w:rPr>
          <w:rFonts w:ascii="Times New Roman" w:hAnsi="Times New Roman"/>
        </w:rPr>
        <w:br w:type="page"/>
      </w:r>
      <w:r w:rsidRPr="006914D9">
        <w:rPr>
          <w:rFonts w:ascii="Times New Roman" w:hAnsi="Times New Roman"/>
          <w:b/>
          <w:bCs/>
          <w:color w:val="212121"/>
        </w:rPr>
        <w:lastRenderedPageBreak/>
        <w:t>What Student Learning Outcome did CADV assess?</w:t>
      </w:r>
    </w:p>
    <w:p w14:paraId="3B6FB67F" w14:textId="77777777" w:rsidR="00281389" w:rsidRPr="006914D9" w:rsidRDefault="00A45662" w:rsidP="00A45662">
      <w:pPr>
        <w:spacing w:after="0" w:line="240" w:lineRule="auto"/>
        <w:rPr>
          <w:rFonts w:ascii="Times New Roman" w:hAnsi="Times New Roman"/>
          <w:sz w:val="20"/>
          <w:szCs w:val="20"/>
        </w:rPr>
      </w:pPr>
      <w:r w:rsidRPr="006914D9">
        <w:rPr>
          <w:rFonts w:ascii="Times New Roman" w:hAnsi="Times New Roman"/>
          <w:sz w:val="20"/>
          <w:szCs w:val="20"/>
        </w:rPr>
        <w:t>We participated in the 2019-2020 assessment of General Education Section D</w:t>
      </w:r>
      <w:r w:rsidR="003156EE">
        <w:rPr>
          <w:rFonts w:ascii="Times New Roman" w:hAnsi="Times New Roman"/>
          <w:sz w:val="20"/>
          <w:szCs w:val="20"/>
        </w:rPr>
        <w:t>1</w:t>
      </w:r>
      <w:r w:rsidRPr="006914D9">
        <w:rPr>
          <w:rFonts w:ascii="Times New Roman" w:hAnsi="Times New Roman"/>
          <w:sz w:val="20"/>
          <w:szCs w:val="20"/>
        </w:rPr>
        <w:t xml:space="preserve"> </w:t>
      </w:r>
      <w:r w:rsidR="003156EE">
        <w:rPr>
          <w:rFonts w:ascii="Times New Roman" w:hAnsi="Times New Roman"/>
          <w:sz w:val="20"/>
          <w:szCs w:val="20"/>
        </w:rPr>
        <w:t>(</w:t>
      </w:r>
      <w:r w:rsidRPr="006914D9">
        <w:rPr>
          <w:rFonts w:ascii="Times New Roman" w:hAnsi="Times New Roman"/>
          <w:sz w:val="20"/>
          <w:szCs w:val="20"/>
        </w:rPr>
        <w:t>Social Sciences and U.S. History and Government</w:t>
      </w:r>
      <w:r w:rsidR="003156EE">
        <w:rPr>
          <w:rFonts w:ascii="Times New Roman" w:hAnsi="Times New Roman"/>
          <w:sz w:val="20"/>
          <w:szCs w:val="20"/>
        </w:rPr>
        <w:t>) in which the goal is for</w:t>
      </w:r>
      <w:r w:rsidRPr="006914D9">
        <w:rPr>
          <w:rFonts w:ascii="Times New Roman" w:hAnsi="Times New Roman"/>
          <w:sz w:val="20"/>
          <w:szCs w:val="20"/>
        </w:rPr>
        <w:t xml:space="preserve"> </w:t>
      </w:r>
      <w:r w:rsidR="003156EE">
        <w:rPr>
          <w:rFonts w:ascii="Times New Roman" w:hAnsi="Times New Roman"/>
          <w:sz w:val="20"/>
          <w:szCs w:val="20"/>
        </w:rPr>
        <w:t>students to</w:t>
      </w:r>
      <w:r w:rsidR="00B242FB">
        <w:rPr>
          <w:rFonts w:ascii="Times New Roman" w:hAnsi="Times New Roman"/>
          <w:sz w:val="20"/>
          <w:szCs w:val="20"/>
        </w:rPr>
        <w:t xml:space="preserve"> understand the complexities of social relations and human experiences and the ways in which they have changed over time, as well as the nature, scope and the systematic study of human behaviors and societies. We focus</w:t>
      </w:r>
      <w:r w:rsidR="003156EE">
        <w:rPr>
          <w:rFonts w:ascii="Times New Roman" w:hAnsi="Times New Roman"/>
          <w:sz w:val="20"/>
          <w:szCs w:val="20"/>
        </w:rPr>
        <w:t>ed</w:t>
      </w:r>
      <w:r w:rsidR="00B242FB">
        <w:rPr>
          <w:rFonts w:ascii="Times New Roman" w:hAnsi="Times New Roman"/>
          <w:sz w:val="20"/>
          <w:szCs w:val="20"/>
        </w:rPr>
        <w:t xml:space="preserve"> on </w:t>
      </w:r>
      <w:r w:rsidR="003156EE">
        <w:rPr>
          <w:rFonts w:ascii="Times New Roman" w:hAnsi="Times New Roman"/>
          <w:sz w:val="20"/>
          <w:szCs w:val="20"/>
        </w:rPr>
        <w:t xml:space="preserve">Student Learning Outcome </w:t>
      </w:r>
      <w:r w:rsidR="008E3E9B">
        <w:rPr>
          <w:rFonts w:ascii="Times New Roman" w:hAnsi="Times New Roman"/>
          <w:sz w:val="20"/>
          <w:szCs w:val="20"/>
        </w:rPr>
        <w:t xml:space="preserve">(SLO) </w:t>
      </w:r>
      <w:r w:rsidR="00E24423">
        <w:rPr>
          <w:rFonts w:ascii="Times New Roman" w:hAnsi="Times New Roman"/>
          <w:sz w:val="20"/>
          <w:szCs w:val="20"/>
        </w:rPr>
        <w:t>#</w:t>
      </w:r>
      <w:r w:rsidR="003156EE">
        <w:rPr>
          <w:rFonts w:ascii="Times New Roman" w:hAnsi="Times New Roman"/>
          <w:sz w:val="20"/>
          <w:szCs w:val="20"/>
        </w:rPr>
        <w:t>4</w:t>
      </w:r>
      <w:r w:rsidRPr="006914D9">
        <w:rPr>
          <w:rFonts w:ascii="Times New Roman" w:hAnsi="Times New Roman"/>
          <w:sz w:val="20"/>
          <w:szCs w:val="20"/>
        </w:rPr>
        <w:t xml:space="preserve">: Demonstrate an understanding of how social problems </w:t>
      </w:r>
      <w:proofErr w:type="gramStart"/>
      <w:r w:rsidRPr="006914D9">
        <w:rPr>
          <w:rFonts w:ascii="Times New Roman" w:hAnsi="Times New Roman"/>
          <w:sz w:val="20"/>
          <w:szCs w:val="20"/>
        </w:rPr>
        <w:t>impact</w:t>
      </w:r>
      <w:proofErr w:type="gramEnd"/>
      <w:r w:rsidRPr="006914D9">
        <w:rPr>
          <w:rFonts w:ascii="Times New Roman" w:hAnsi="Times New Roman"/>
          <w:sz w:val="20"/>
          <w:szCs w:val="20"/>
        </w:rPr>
        <w:t xml:space="preserve"> individuals, communities, and societies. </w:t>
      </w:r>
    </w:p>
    <w:p w14:paraId="47B8EA19" w14:textId="77777777" w:rsidR="00A45662" w:rsidRPr="006914D9" w:rsidRDefault="00A45662" w:rsidP="00A45662">
      <w:pPr>
        <w:spacing w:after="0" w:line="240" w:lineRule="auto"/>
        <w:rPr>
          <w:rFonts w:ascii="Times New Roman" w:hAnsi="Times New Roman"/>
          <w:sz w:val="20"/>
          <w:szCs w:val="20"/>
        </w:rPr>
      </w:pPr>
    </w:p>
    <w:p w14:paraId="1BF99142" w14:textId="77777777" w:rsidR="00A45662" w:rsidRPr="006914D9" w:rsidRDefault="00A45662" w:rsidP="00A45662">
      <w:pPr>
        <w:spacing w:after="0" w:line="240" w:lineRule="auto"/>
        <w:rPr>
          <w:rFonts w:ascii="Times New Roman" w:hAnsi="Times New Roman"/>
          <w:b/>
          <w:color w:val="212121"/>
          <w:sz w:val="20"/>
          <w:szCs w:val="20"/>
        </w:rPr>
      </w:pPr>
      <w:r w:rsidRPr="006914D9">
        <w:rPr>
          <w:rFonts w:ascii="Times New Roman" w:hAnsi="Times New Roman"/>
          <w:b/>
          <w:color w:val="212121"/>
          <w:sz w:val="20"/>
          <w:szCs w:val="20"/>
        </w:rPr>
        <w:t>Why did our department choose to focus on this particular SLO?</w:t>
      </w:r>
    </w:p>
    <w:p w14:paraId="50465217" w14:textId="4C6C056A" w:rsidR="00A45662" w:rsidRPr="006914D9" w:rsidRDefault="00B242FB" w:rsidP="00A45662">
      <w:pPr>
        <w:spacing w:after="0" w:line="240" w:lineRule="auto"/>
        <w:rPr>
          <w:rFonts w:ascii="Times New Roman" w:hAnsi="Times New Roman"/>
          <w:color w:val="212121"/>
          <w:sz w:val="20"/>
          <w:szCs w:val="20"/>
        </w:rPr>
      </w:pPr>
      <w:r>
        <w:rPr>
          <w:rFonts w:ascii="Times New Roman" w:hAnsi="Times New Roman"/>
          <w:sz w:val="20"/>
          <w:szCs w:val="20"/>
        </w:rPr>
        <w:t>The General Education Section D</w:t>
      </w:r>
      <w:r w:rsidR="00D71D53">
        <w:rPr>
          <w:rFonts w:ascii="Times New Roman" w:hAnsi="Times New Roman"/>
          <w:sz w:val="20"/>
          <w:szCs w:val="20"/>
        </w:rPr>
        <w:t>1</w:t>
      </w:r>
      <w:r>
        <w:rPr>
          <w:rFonts w:ascii="Times New Roman" w:hAnsi="Times New Roman"/>
          <w:sz w:val="20"/>
          <w:szCs w:val="20"/>
        </w:rPr>
        <w:t xml:space="preserve"> SLOs</w:t>
      </w:r>
      <w:r w:rsidR="00E24423">
        <w:rPr>
          <w:rFonts w:ascii="Times New Roman" w:hAnsi="Times New Roman"/>
          <w:sz w:val="20"/>
          <w:szCs w:val="20"/>
        </w:rPr>
        <w:t xml:space="preserve"> </w:t>
      </w:r>
      <w:r>
        <w:rPr>
          <w:rFonts w:ascii="Times New Roman" w:hAnsi="Times New Roman"/>
          <w:sz w:val="20"/>
          <w:szCs w:val="20"/>
        </w:rPr>
        <w:t xml:space="preserve">reflect the mission of CSUN to “help students develop academic competencies, professional skills, critical and creative abilities, and </w:t>
      </w:r>
      <w:r w:rsidRPr="00D71D53">
        <w:rPr>
          <w:rFonts w:ascii="Times New Roman" w:hAnsi="Times New Roman"/>
          <w:sz w:val="20"/>
          <w:szCs w:val="20"/>
        </w:rPr>
        <w:t>ethical values of learned persons who live in a democratic society, an interdependent world</w:t>
      </w:r>
      <w:r>
        <w:rPr>
          <w:rFonts w:ascii="Times New Roman" w:hAnsi="Times New Roman"/>
          <w:sz w:val="20"/>
          <w:szCs w:val="20"/>
        </w:rPr>
        <w:t xml:space="preserve"> and a technological age.”  </w:t>
      </w:r>
      <w:r w:rsidR="003156EE">
        <w:rPr>
          <w:rFonts w:ascii="Times New Roman" w:hAnsi="Times New Roman"/>
          <w:sz w:val="20"/>
          <w:szCs w:val="20"/>
        </w:rPr>
        <w:t xml:space="preserve">This aligns with the mission of the Department of Child and Adolescent Development </w:t>
      </w:r>
      <w:r w:rsidR="008E3E9B">
        <w:rPr>
          <w:rFonts w:ascii="Times New Roman" w:hAnsi="Times New Roman"/>
          <w:sz w:val="20"/>
          <w:szCs w:val="20"/>
        </w:rPr>
        <w:t xml:space="preserve">(CADV) </w:t>
      </w:r>
      <w:r w:rsidR="003156EE">
        <w:rPr>
          <w:rFonts w:ascii="Times New Roman" w:hAnsi="Times New Roman"/>
          <w:sz w:val="20"/>
          <w:szCs w:val="20"/>
        </w:rPr>
        <w:t xml:space="preserve">to </w:t>
      </w:r>
      <w:r w:rsidR="00E24423">
        <w:rPr>
          <w:rFonts w:ascii="Times New Roman" w:hAnsi="Times New Roman"/>
          <w:sz w:val="20"/>
          <w:szCs w:val="20"/>
        </w:rPr>
        <w:t xml:space="preserve">“provide challenging and active learning environments for students to connect theories and research to applied settings in culturally-diverse communities.” </w:t>
      </w:r>
      <w:proofErr w:type="gramStart"/>
      <w:r w:rsidR="00E24423">
        <w:rPr>
          <w:rFonts w:ascii="Times New Roman" w:hAnsi="Times New Roman"/>
          <w:sz w:val="20"/>
          <w:szCs w:val="20"/>
        </w:rPr>
        <w:t xml:space="preserve">As </w:t>
      </w:r>
      <w:r w:rsidR="008E3E9B">
        <w:rPr>
          <w:rFonts w:ascii="Times New Roman" w:hAnsi="Times New Roman"/>
          <w:sz w:val="20"/>
          <w:szCs w:val="20"/>
        </w:rPr>
        <w:t xml:space="preserve">technological advances better empower us to become global citizens and </w:t>
      </w:r>
      <w:r w:rsidR="00E24423">
        <w:rPr>
          <w:rFonts w:ascii="Times New Roman" w:hAnsi="Times New Roman"/>
          <w:sz w:val="20"/>
          <w:szCs w:val="20"/>
        </w:rPr>
        <w:t xml:space="preserve">we enter the greatest public health crisis of this generation caused by the coronavirus </w:t>
      </w:r>
      <w:r w:rsidR="001E6527">
        <w:rPr>
          <w:rFonts w:ascii="Times New Roman" w:hAnsi="Times New Roman"/>
          <w:sz w:val="20"/>
          <w:szCs w:val="20"/>
        </w:rPr>
        <w:t xml:space="preserve">2019 </w:t>
      </w:r>
      <w:r w:rsidR="00E24423">
        <w:rPr>
          <w:rFonts w:ascii="Times New Roman" w:hAnsi="Times New Roman"/>
          <w:sz w:val="20"/>
          <w:szCs w:val="20"/>
        </w:rPr>
        <w:t xml:space="preserve">(COVID-19), it is even more critical for our graduates to </w:t>
      </w:r>
      <w:r w:rsidR="008E3E9B">
        <w:rPr>
          <w:rFonts w:ascii="Times New Roman" w:hAnsi="Times New Roman"/>
          <w:sz w:val="20"/>
          <w:szCs w:val="20"/>
        </w:rPr>
        <w:t>demonstrate knowledge and understanding of what social problems exist, why they exist, and how they affect indivi</w:t>
      </w:r>
      <w:r w:rsidR="00D71D53">
        <w:rPr>
          <w:rFonts w:ascii="Times New Roman" w:hAnsi="Times New Roman"/>
          <w:sz w:val="20"/>
          <w:szCs w:val="20"/>
        </w:rPr>
        <w:t>duals across multiple contexts (</w:t>
      </w:r>
      <w:r w:rsidR="008E3E9B">
        <w:rPr>
          <w:rFonts w:ascii="Times New Roman" w:hAnsi="Times New Roman"/>
          <w:sz w:val="20"/>
          <w:szCs w:val="20"/>
        </w:rPr>
        <w:t>CADV Department Student Learning Outc</w:t>
      </w:r>
      <w:r w:rsidR="00D71D53">
        <w:rPr>
          <w:rFonts w:ascii="Times New Roman" w:hAnsi="Times New Roman"/>
          <w:sz w:val="20"/>
          <w:szCs w:val="20"/>
        </w:rPr>
        <w:t>ome #1).</w:t>
      </w:r>
      <w:proofErr w:type="gramEnd"/>
      <w:r w:rsidR="00D71D53">
        <w:rPr>
          <w:rFonts w:ascii="Times New Roman" w:hAnsi="Times New Roman"/>
          <w:sz w:val="20"/>
          <w:szCs w:val="20"/>
        </w:rPr>
        <w:t xml:space="preserve"> Through this knowledge, students</w:t>
      </w:r>
      <w:r w:rsidR="008E3E9B">
        <w:rPr>
          <w:rFonts w:ascii="Times New Roman" w:hAnsi="Times New Roman"/>
          <w:sz w:val="20"/>
          <w:szCs w:val="20"/>
        </w:rPr>
        <w:t xml:space="preserve"> will be better able to apply the theories and research they have learned to real-world settings</w:t>
      </w:r>
      <w:r w:rsidR="001E6527">
        <w:rPr>
          <w:rFonts w:ascii="Times New Roman" w:hAnsi="Times New Roman"/>
          <w:sz w:val="20"/>
          <w:szCs w:val="20"/>
        </w:rPr>
        <w:t xml:space="preserve"> in the service of diverse, underserved, and underrepresented communities</w:t>
      </w:r>
      <w:r w:rsidR="008E3E9B">
        <w:rPr>
          <w:rFonts w:ascii="Times New Roman" w:hAnsi="Times New Roman"/>
          <w:sz w:val="20"/>
          <w:szCs w:val="20"/>
        </w:rPr>
        <w:t>.</w:t>
      </w:r>
      <w:r w:rsidR="001E6527">
        <w:rPr>
          <w:rFonts w:ascii="Times New Roman" w:hAnsi="Times New Roman"/>
          <w:sz w:val="20"/>
          <w:szCs w:val="20"/>
        </w:rPr>
        <w:t xml:space="preserve"> </w:t>
      </w:r>
      <w:r w:rsidR="008E3E9B">
        <w:rPr>
          <w:rFonts w:ascii="Times New Roman" w:hAnsi="Times New Roman"/>
          <w:sz w:val="20"/>
          <w:szCs w:val="20"/>
        </w:rPr>
        <w:t xml:space="preserve"> </w:t>
      </w:r>
    </w:p>
    <w:p w14:paraId="34C81047" w14:textId="77777777" w:rsidR="00CB23FD" w:rsidRPr="006914D9" w:rsidRDefault="00CB23FD" w:rsidP="00A45662">
      <w:pPr>
        <w:spacing w:after="0" w:line="240" w:lineRule="auto"/>
        <w:rPr>
          <w:rFonts w:ascii="Times New Roman" w:hAnsi="Times New Roman"/>
          <w:b/>
          <w:color w:val="212121"/>
          <w:sz w:val="20"/>
          <w:szCs w:val="20"/>
        </w:rPr>
      </w:pPr>
    </w:p>
    <w:p w14:paraId="7A25380D" w14:textId="77777777" w:rsidR="00A45662" w:rsidRPr="002D5101" w:rsidRDefault="00A45662" w:rsidP="00A45662">
      <w:pPr>
        <w:spacing w:after="0" w:line="240" w:lineRule="auto"/>
        <w:rPr>
          <w:rFonts w:ascii="Times New Roman" w:hAnsi="Times New Roman"/>
          <w:b/>
          <w:bCs/>
          <w:sz w:val="20"/>
          <w:szCs w:val="20"/>
        </w:rPr>
      </w:pPr>
      <w:r w:rsidRPr="002D5101">
        <w:rPr>
          <w:rFonts w:ascii="Times New Roman" w:hAnsi="Times New Roman"/>
          <w:b/>
          <w:bCs/>
          <w:sz w:val="20"/>
          <w:szCs w:val="20"/>
        </w:rPr>
        <w:t>What classes and/or contexts did we assess?</w:t>
      </w:r>
    </w:p>
    <w:p w14:paraId="00E436C6" w14:textId="5509BF2D" w:rsidR="002F59CD" w:rsidRPr="002D5101" w:rsidRDefault="004A7E8E" w:rsidP="00A45662">
      <w:pPr>
        <w:spacing w:after="0" w:line="240" w:lineRule="auto"/>
        <w:rPr>
          <w:rFonts w:ascii="Times New Roman" w:hAnsi="Times New Roman"/>
          <w:bCs/>
          <w:sz w:val="20"/>
          <w:szCs w:val="20"/>
        </w:rPr>
      </w:pPr>
      <w:r w:rsidRPr="002D5101">
        <w:rPr>
          <w:rFonts w:ascii="Times New Roman" w:hAnsi="Times New Roman"/>
          <w:bCs/>
          <w:sz w:val="20"/>
          <w:szCs w:val="20"/>
        </w:rPr>
        <w:t>CADV 150, an introductory course in Child and Adolescent Development, is currently a course in the Section D</w:t>
      </w:r>
      <w:r w:rsidR="00D71D53">
        <w:rPr>
          <w:rFonts w:ascii="Times New Roman" w:hAnsi="Times New Roman"/>
          <w:bCs/>
          <w:sz w:val="20"/>
          <w:szCs w:val="20"/>
        </w:rPr>
        <w:t>1</w:t>
      </w:r>
      <w:r w:rsidRPr="002D5101">
        <w:rPr>
          <w:rFonts w:ascii="Times New Roman" w:hAnsi="Times New Roman"/>
          <w:bCs/>
          <w:sz w:val="20"/>
          <w:szCs w:val="20"/>
        </w:rPr>
        <w:t xml:space="preserve">: General Education Social Sciences Area of the General Education Program. </w:t>
      </w:r>
      <w:r w:rsidR="002F59CD" w:rsidRPr="002D5101">
        <w:rPr>
          <w:rFonts w:ascii="Times New Roman" w:hAnsi="Times New Roman"/>
          <w:bCs/>
          <w:sz w:val="20"/>
          <w:szCs w:val="20"/>
        </w:rPr>
        <w:t>The CADV 150 course requires students to examine development from birth to adolescence through the lens of various theories useful to explaining contemporary issues in the field and addresses all four General Education Section D</w:t>
      </w:r>
      <w:r w:rsidR="00D71D53">
        <w:rPr>
          <w:rFonts w:ascii="Times New Roman" w:hAnsi="Times New Roman"/>
          <w:bCs/>
          <w:sz w:val="20"/>
          <w:szCs w:val="20"/>
        </w:rPr>
        <w:t>1</w:t>
      </w:r>
      <w:r w:rsidR="002F59CD" w:rsidRPr="002D5101">
        <w:rPr>
          <w:rFonts w:ascii="Times New Roman" w:hAnsi="Times New Roman"/>
          <w:bCs/>
          <w:sz w:val="20"/>
          <w:szCs w:val="20"/>
        </w:rPr>
        <w:t xml:space="preserve"> SLOs. The emphasis in the course on how context shapes developmental outcomes (e.g., Genes x Environment interaction, ecological systems frameworks for development) help students understand the complex nature of human and social behavior and </w:t>
      </w:r>
      <w:r w:rsidR="00751BE4" w:rsidRPr="002D5101">
        <w:rPr>
          <w:rFonts w:ascii="Times New Roman" w:hAnsi="Times New Roman"/>
          <w:bCs/>
          <w:sz w:val="20"/>
          <w:szCs w:val="20"/>
        </w:rPr>
        <w:t>directly</w:t>
      </w:r>
      <w:r w:rsidR="002F59CD" w:rsidRPr="002D5101">
        <w:rPr>
          <w:rFonts w:ascii="Times New Roman" w:hAnsi="Times New Roman"/>
          <w:bCs/>
          <w:sz w:val="20"/>
          <w:szCs w:val="20"/>
        </w:rPr>
        <w:t xml:space="preserve"> aligns with General Education </w:t>
      </w:r>
      <w:r w:rsidR="002D5101">
        <w:rPr>
          <w:rFonts w:ascii="Times New Roman" w:hAnsi="Times New Roman"/>
          <w:bCs/>
          <w:sz w:val="20"/>
          <w:szCs w:val="20"/>
        </w:rPr>
        <w:t>SLO Section D</w:t>
      </w:r>
      <w:r w:rsidR="00D71D53">
        <w:rPr>
          <w:rFonts w:ascii="Times New Roman" w:hAnsi="Times New Roman"/>
          <w:bCs/>
          <w:sz w:val="20"/>
          <w:szCs w:val="20"/>
        </w:rPr>
        <w:t>1</w:t>
      </w:r>
      <w:r w:rsidR="002D5101">
        <w:rPr>
          <w:rFonts w:ascii="Times New Roman" w:hAnsi="Times New Roman"/>
          <w:bCs/>
          <w:sz w:val="20"/>
          <w:szCs w:val="20"/>
        </w:rPr>
        <w:t xml:space="preserve"> #</w:t>
      </w:r>
      <w:r w:rsidR="002F59CD" w:rsidRPr="002D5101">
        <w:rPr>
          <w:rFonts w:ascii="Times New Roman" w:hAnsi="Times New Roman"/>
          <w:bCs/>
          <w:sz w:val="20"/>
          <w:szCs w:val="20"/>
        </w:rPr>
        <w:t xml:space="preserve">4. </w:t>
      </w:r>
    </w:p>
    <w:p w14:paraId="4E15FAB5" w14:textId="77777777" w:rsidR="002F59CD" w:rsidRPr="002D5101" w:rsidRDefault="002F59CD" w:rsidP="00A45662">
      <w:pPr>
        <w:spacing w:after="0" w:line="240" w:lineRule="auto"/>
        <w:rPr>
          <w:rFonts w:ascii="Times New Roman" w:hAnsi="Times New Roman"/>
          <w:bCs/>
          <w:sz w:val="20"/>
          <w:szCs w:val="20"/>
        </w:rPr>
      </w:pPr>
    </w:p>
    <w:p w14:paraId="3C3FD51C" w14:textId="5D78BF35" w:rsidR="00A45662" w:rsidRPr="002D5101" w:rsidRDefault="004A7E8E" w:rsidP="00A45662">
      <w:pPr>
        <w:spacing w:after="0" w:line="240" w:lineRule="auto"/>
        <w:rPr>
          <w:rFonts w:ascii="Times New Roman" w:hAnsi="Times New Roman"/>
          <w:bCs/>
          <w:sz w:val="20"/>
          <w:szCs w:val="20"/>
        </w:rPr>
      </w:pPr>
      <w:r w:rsidRPr="002D5101">
        <w:rPr>
          <w:rFonts w:ascii="Times New Roman" w:hAnsi="Times New Roman"/>
          <w:bCs/>
          <w:sz w:val="20"/>
          <w:szCs w:val="20"/>
        </w:rPr>
        <w:t>The CADV Department offers multiple sections of CADV</w:t>
      </w:r>
      <w:r w:rsidR="002F59CD" w:rsidRPr="002D5101">
        <w:rPr>
          <w:rFonts w:ascii="Times New Roman" w:hAnsi="Times New Roman"/>
          <w:bCs/>
          <w:sz w:val="20"/>
          <w:szCs w:val="20"/>
        </w:rPr>
        <w:t xml:space="preserve"> 150 each semester and, historically, approximately 75% of students enrolled are non-majors. It is also </w:t>
      </w:r>
      <w:proofErr w:type="gramStart"/>
      <w:r w:rsidR="002F59CD" w:rsidRPr="002D5101">
        <w:rPr>
          <w:rFonts w:ascii="Times New Roman" w:hAnsi="Times New Roman"/>
          <w:bCs/>
          <w:sz w:val="20"/>
          <w:szCs w:val="20"/>
        </w:rPr>
        <w:t>a</w:t>
      </w:r>
      <w:proofErr w:type="gramEnd"/>
      <w:r w:rsidR="002F59CD" w:rsidRPr="002D5101">
        <w:rPr>
          <w:rFonts w:ascii="Times New Roman" w:hAnsi="Times New Roman"/>
          <w:bCs/>
          <w:sz w:val="20"/>
          <w:szCs w:val="20"/>
        </w:rPr>
        <w:t xml:space="preserve"> course in the CADV Department with one of the highest rates (10%) for non-passing grades (</w:t>
      </w:r>
      <w:r w:rsidR="00BA25AD">
        <w:rPr>
          <w:rFonts w:ascii="Times New Roman" w:hAnsi="Times New Roman"/>
          <w:bCs/>
          <w:sz w:val="20"/>
          <w:szCs w:val="20"/>
        </w:rPr>
        <w:t>D/F/WU</w:t>
      </w:r>
      <w:r w:rsidR="002F59CD" w:rsidRPr="002D5101">
        <w:rPr>
          <w:rFonts w:ascii="Times New Roman" w:hAnsi="Times New Roman"/>
          <w:bCs/>
          <w:sz w:val="20"/>
          <w:szCs w:val="20"/>
        </w:rPr>
        <w:t xml:space="preserve">). We expect course content that </w:t>
      </w:r>
      <w:proofErr w:type="gramStart"/>
      <w:r w:rsidR="00751BE4" w:rsidRPr="002D5101">
        <w:rPr>
          <w:rFonts w:ascii="Times New Roman" w:hAnsi="Times New Roman"/>
          <w:bCs/>
          <w:sz w:val="20"/>
          <w:szCs w:val="20"/>
        </w:rPr>
        <w:t xml:space="preserve">is more </w:t>
      </w:r>
      <w:r w:rsidR="002F59CD" w:rsidRPr="002D5101">
        <w:rPr>
          <w:rFonts w:ascii="Times New Roman" w:hAnsi="Times New Roman"/>
          <w:bCs/>
          <w:sz w:val="20"/>
          <w:szCs w:val="20"/>
        </w:rPr>
        <w:t>closely connect</w:t>
      </w:r>
      <w:r w:rsidR="00751BE4" w:rsidRPr="002D5101">
        <w:rPr>
          <w:rFonts w:ascii="Times New Roman" w:hAnsi="Times New Roman"/>
          <w:bCs/>
          <w:sz w:val="20"/>
          <w:szCs w:val="20"/>
        </w:rPr>
        <w:t>ed</w:t>
      </w:r>
      <w:proofErr w:type="gramEnd"/>
      <w:r w:rsidR="00751BE4" w:rsidRPr="002D5101">
        <w:rPr>
          <w:rFonts w:ascii="Times New Roman" w:hAnsi="Times New Roman"/>
          <w:bCs/>
          <w:sz w:val="20"/>
          <w:szCs w:val="20"/>
        </w:rPr>
        <w:t xml:space="preserve"> to</w:t>
      </w:r>
      <w:r w:rsidR="002F59CD" w:rsidRPr="002D5101">
        <w:rPr>
          <w:rFonts w:ascii="Times New Roman" w:hAnsi="Times New Roman"/>
          <w:bCs/>
          <w:sz w:val="20"/>
          <w:szCs w:val="20"/>
        </w:rPr>
        <w:t xml:space="preserve"> real-world social problems and students’ lived experiences </w:t>
      </w:r>
      <w:r w:rsidR="00751BE4" w:rsidRPr="002D5101">
        <w:rPr>
          <w:rFonts w:ascii="Times New Roman" w:hAnsi="Times New Roman"/>
          <w:bCs/>
          <w:sz w:val="20"/>
          <w:szCs w:val="20"/>
        </w:rPr>
        <w:t xml:space="preserve">will have a positive effect on student engagement and passing grades. </w:t>
      </w:r>
    </w:p>
    <w:p w14:paraId="77DF72ED" w14:textId="77777777" w:rsidR="008E3E9B" w:rsidRPr="002D5101" w:rsidRDefault="008E3E9B" w:rsidP="00A45662">
      <w:pPr>
        <w:spacing w:after="0" w:line="240" w:lineRule="auto"/>
        <w:rPr>
          <w:rFonts w:ascii="Times New Roman" w:hAnsi="Times New Roman"/>
          <w:b/>
          <w:bCs/>
          <w:sz w:val="20"/>
          <w:szCs w:val="20"/>
        </w:rPr>
      </w:pPr>
    </w:p>
    <w:p w14:paraId="5248F38B" w14:textId="77777777" w:rsidR="00A45662" w:rsidRPr="002D5101" w:rsidRDefault="00A45662" w:rsidP="00A45662">
      <w:pPr>
        <w:pStyle w:val="NormalWeb"/>
        <w:shd w:val="clear" w:color="auto" w:fill="FFFFFF"/>
        <w:spacing w:before="0" w:beforeAutospacing="0" w:after="0" w:afterAutospacing="0"/>
        <w:rPr>
          <w:rFonts w:ascii="Times New Roman" w:hAnsi="Times New Roman"/>
          <w:b/>
          <w:bCs/>
        </w:rPr>
      </w:pPr>
      <w:r w:rsidRPr="002D5101">
        <w:rPr>
          <w:rFonts w:ascii="Times New Roman" w:hAnsi="Times New Roman"/>
          <w:b/>
          <w:bCs/>
        </w:rPr>
        <w:t xml:space="preserve">What assessment instruments </w:t>
      </w:r>
      <w:proofErr w:type="gramStart"/>
      <w:r w:rsidRPr="002D5101">
        <w:rPr>
          <w:rFonts w:ascii="Times New Roman" w:hAnsi="Times New Roman"/>
          <w:b/>
          <w:bCs/>
        </w:rPr>
        <w:t>were used</w:t>
      </w:r>
      <w:proofErr w:type="gramEnd"/>
      <w:r w:rsidRPr="002D5101">
        <w:rPr>
          <w:rFonts w:ascii="Times New Roman" w:hAnsi="Times New Roman"/>
          <w:b/>
          <w:bCs/>
        </w:rPr>
        <w:t xml:space="preserve"> and what methodology was employed? </w:t>
      </w:r>
    </w:p>
    <w:p w14:paraId="53B408AA" w14:textId="11E14F41" w:rsidR="00A45662" w:rsidRPr="002D5101" w:rsidRDefault="002D5101" w:rsidP="00A45662">
      <w:pPr>
        <w:spacing w:after="0" w:line="240" w:lineRule="auto"/>
        <w:rPr>
          <w:rFonts w:ascii="Times New Roman" w:hAnsi="Times New Roman"/>
          <w:sz w:val="20"/>
          <w:szCs w:val="20"/>
        </w:rPr>
      </w:pPr>
      <w:r w:rsidRPr="002D5101">
        <w:rPr>
          <w:rFonts w:ascii="Times New Roman" w:hAnsi="Times New Roman"/>
          <w:sz w:val="20"/>
          <w:szCs w:val="20"/>
        </w:rPr>
        <w:t xml:space="preserve">Items from final exams in two large CADV 150 courses </w:t>
      </w:r>
      <w:r w:rsidR="00D71D53">
        <w:rPr>
          <w:rFonts w:ascii="Times New Roman" w:hAnsi="Times New Roman"/>
          <w:sz w:val="20"/>
          <w:szCs w:val="20"/>
        </w:rPr>
        <w:t>in</w:t>
      </w:r>
      <w:r w:rsidRPr="002D5101">
        <w:rPr>
          <w:rFonts w:ascii="Times New Roman" w:hAnsi="Times New Roman"/>
          <w:sz w:val="20"/>
          <w:szCs w:val="20"/>
        </w:rPr>
        <w:t xml:space="preserve"> </w:t>
      </w:r>
      <w:proofErr w:type="gramStart"/>
      <w:r w:rsidRPr="002D5101">
        <w:rPr>
          <w:rFonts w:ascii="Times New Roman" w:hAnsi="Times New Roman"/>
          <w:sz w:val="20"/>
          <w:szCs w:val="20"/>
        </w:rPr>
        <w:t>Spring</w:t>
      </w:r>
      <w:proofErr w:type="gramEnd"/>
      <w:r w:rsidRPr="002D5101">
        <w:rPr>
          <w:rFonts w:ascii="Times New Roman" w:hAnsi="Times New Roman"/>
          <w:sz w:val="20"/>
          <w:szCs w:val="20"/>
        </w:rPr>
        <w:t xml:space="preserve"> </w:t>
      </w:r>
      <w:r>
        <w:rPr>
          <w:rFonts w:ascii="Times New Roman" w:hAnsi="Times New Roman"/>
          <w:sz w:val="20"/>
          <w:szCs w:val="20"/>
        </w:rPr>
        <w:t>2020 were reviewed</w:t>
      </w:r>
      <w:r w:rsidR="002A30AD">
        <w:rPr>
          <w:rFonts w:ascii="Times New Roman" w:hAnsi="Times New Roman"/>
          <w:sz w:val="20"/>
          <w:szCs w:val="20"/>
        </w:rPr>
        <w:t xml:space="preserve"> (Cohort A and Cohort B; please see Table 1 below)</w:t>
      </w:r>
      <w:r>
        <w:rPr>
          <w:rFonts w:ascii="Times New Roman" w:hAnsi="Times New Roman"/>
          <w:sz w:val="20"/>
          <w:szCs w:val="20"/>
        </w:rPr>
        <w:t xml:space="preserve">. </w:t>
      </w:r>
      <w:r w:rsidR="002A30AD">
        <w:rPr>
          <w:rFonts w:ascii="Times New Roman" w:hAnsi="Times New Roman"/>
          <w:sz w:val="20"/>
          <w:szCs w:val="20"/>
        </w:rPr>
        <w:t xml:space="preserve">We selected final exams because they </w:t>
      </w:r>
      <w:proofErr w:type="gramStart"/>
      <w:r w:rsidR="002A30AD">
        <w:rPr>
          <w:rFonts w:ascii="Times New Roman" w:hAnsi="Times New Roman"/>
          <w:sz w:val="20"/>
          <w:szCs w:val="20"/>
        </w:rPr>
        <w:t>were uniformly administered</w:t>
      </w:r>
      <w:proofErr w:type="gramEnd"/>
      <w:r w:rsidR="002A30AD">
        <w:rPr>
          <w:rFonts w:ascii="Times New Roman" w:hAnsi="Times New Roman"/>
          <w:sz w:val="20"/>
          <w:szCs w:val="20"/>
        </w:rPr>
        <w:t xml:space="preserve"> after the transition to virtual instruction (whereas, this may not have been the case for midterm exams). </w:t>
      </w:r>
      <w:r>
        <w:rPr>
          <w:rFonts w:ascii="Times New Roman" w:hAnsi="Times New Roman"/>
          <w:sz w:val="20"/>
          <w:szCs w:val="20"/>
        </w:rPr>
        <w:t>Each of the three members of the CADV Department</w:t>
      </w:r>
      <w:r w:rsidRPr="002D5101">
        <w:rPr>
          <w:rFonts w:ascii="Times New Roman" w:hAnsi="Times New Roman"/>
          <w:sz w:val="20"/>
          <w:szCs w:val="20"/>
        </w:rPr>
        <w:t xml:space="preserve"> Assessment Committee</w:t>
      </w:r>
      <w:r>
        <w:rPr>
          <w:rFonts w:ascii="Times New Roman" w:hAnsi="Times New Roman"/>
          <w:sz w:val="20"/>
          <w:szCs w:val="20"/>
        </w:rPr>
        <w:t xml:space="preserve"> separately identified items a</w:t>
      </w:r>
      <w:r w:rsidRPr="002D5101">
        <w:rPr>
          <w:rFonts w:ascii="Times New Roman" w:hAnsi="Times New Roman"/>
          <w:sz w:val="20"/>
          <w:szCs w:val="20"/>
        </w:rPr>
        <w:t xml:space="preserve">ligned with </w:t>
      </w:r>
      <w:r w:rsidR="00D71D53">
        <w:rPr>
          <w:rFonts w:ascii="Times New Roman" w:hAnsi="Times New Roman"/>
          <w:sz w:val="20"/>
          <w:szCs w:val="20"/>
        </w:rPr>
        <w:t>GE D1 #4</w:t>
      </w:r>
      <w:r>
        <w:rPr>
          <w:rFonts w:ascii="Times New Roman" w:hAnsi="Times New Roman"/>
          <w:sz w:val="20"/>
          <w:szCs w:val="20"/>
        </w:rPr>
        <w:t xml:space="preserve">. We convened as a group in-person and virtually over email to review our selections and reach consensus. </w:t>
      </w:r>
      <w:r w:rsidR="002A30AD">
        <w:rPr>
          <w:rFonts w:ascii="Times New Roman" w:hAnsi="Times New Roman"/>
          <w:sz w:val="20"/>
          <w:szCs w:val="20"/>
        </w:rPr>
        <w:t xml:space="preserve">In the selection process, we </w:t>
      </w:r>
      <w:proofErr w:type="gramStart"/>
      <w:r w:rsidR="002A30AD">
        <w:rPr>
          <w:rFonts w:ascii="Times New Roman" w:hAnsi="Times New Roman"/>
          <w:sz w:val="20"/>
          <w:szCs w:val="20"/>
        </w:rPr>
        <w:t>were guided</w:t>
      </w:r>
      <w:proofErr w:type="gramEnd"/>
      <w:r w:rsidR="002A30AD">
        <w:rPr>
          <w:rFonts w:ascii="Times New Roman" w:hAnsi="Times New Roman"/>
          <w:sz w:val="20"/>
          <w:szCs w:val="20"/>
        </w:rPr>
        <w:t xml:space="preserve"> by questions such as “Does this item reflect a social problem?” and “Does this item reflect an understanding of diverse individuals?” </w:t>
      </w:r>
      <w:r w:rsidR="00C526EA">
        <w:rPr>
          <w:rFonts w:ascii="Times New Roman" w:hAnsi="Times New Roman"/>
          <w:sz w:val="20"/>
          <w:szCs w:val="20"/>
        </w:rPr>
        <w:t>Social issue i</w:t>
      </w:r>
      <w:r w:rsidR="00C532DE">
        <w:rPr>
          <w:rFonts w:ascii="Times New Roman" w:hAnsi="Times New Roman"/>
          <w:sz w:val="20"/>
          <w:szCs w:val="20"/>
        </w:rPr>
        <w:t xml:space="preserve">tems </w:t>
      </w:r>
      <w:r w:rsidR="005B0227">
        <w:rPr>
          <w:rFonts w:ascii="Times New Roman" w:hAnsi="Times New Roman"/>
          <w:sz w:val="20"/>
          <w:szCs w:val="20"/>
        </w:rPr>
        <w:t xml:space="preserve">fell into four categories </w:t>
      </w:r>
      <w:r w:rsidR="00C532DE">
        <w:rPr>
          <w:rFonts w:ascii="Times New Roman" w:hAnsi="Times New Roman"/>
          <w:sz w:val="20"/>
          <w:szCs w:val="20"/>
        </w:rPr>
        <w:t xml:space="preserve">relevant to CADV 150: </w:t>
      </w:r>
      <w:r w:rsidR="005B0227">
        <w:rPr>
          <w:rFonts w:ascii="Times New Roman" w:hAnsi="Times New Roman"/>
          <w:sz w:val="20"/>
          <w:szCs w:val="20"/>
        </w:rPr>
        <w:t xml:space="preserve">issues related to public health (e.g., alcohol abuse, disorders, bullying, mental well-being), economic </w:t>
      </w:r>
      <w:r w:rsidR="002E0F8D">
        <w:rPr>
          <w:rFonts w:ascii="Times New Roman" w:hAnsi="Times New Roman"/>
          <w:sz w:val="20"/>
          <w:szCs w:val="20"/>
        </w:rPr>
        <w:t>and social inequality</w:t>
      </w:r>
      <w:r w:rsidR="005B0227">
        <w:rPr>
          <w:rFonts w:ascii="Times New Roman" w:hAnsi="Times New Roman"/>
          <w:sz w:val="20"/>
          <w:szCs w:val="20"/>
        </w:rPr>
        <w:t xml:space="preserve"> (e.g., pove</w:t>
      </w:r>
      <w:r w:rsidR="00D71D53">
        <w:rPr>
          <w:rFonts w:ascii="Times New Roman" w:hAnsi="Times New Roman"/>
          <w:sz w:val="20"/>
          <w:szCs w:val="20"/>
        </w:rPr>
        <w:t xml:space="preserve">rty, socioeconomic status), </w:t>
      </w:r>
      <w:r w:rsidR="005B0227">
        <w:rPr>
          <w:rFonts w:ascii="Times New Roman" w:hAnsi="Times New Roman"/>
          <w:sz w:val="20"/>
          <w:szCs w:val="20"/>
        </w:rPr>
        <w:t>parents and parenting (e.g., attachment, parenting styles), and education (e.g., growth mindset)</w:t>
      </w:r>
      <w:r w:rsidR="00C532DE">
        <w:rPr>
          <w:rFonts w:ascii="Times New Roman" w:hAnsi="Times New Roman"/>
          <w:sz w:val="20"/>
          <w:szCs w:val="20"/>
        </w:rPr>
        <w:t xml:space="preserve">. </w:t>
      </w:r>
      <w:r w:rsidR="00A434D5">
        <w:rPr>
          <w:rFonts w:ascii="Times New Roman" w:hAnsi="Times New Roman"/>
          <w:sz w:val="20"/>
          <w:szCs w:val="20"/>
        </w:rPr>
        <w:t xml:space="preserve">SLO </w:t>
      </w:r>
      <w:r w:rsidR="0075616F">
        <w:rPr>
          <w:rFonts w:ascii="Times New Roman" w:hAnsi="Times New Roman"/>
          <w:sz w:val="20"/>
          <w:szCs w:val="20"/>
        </w:rPr>
        <w:t>c</w:t>
      </w:r>
      <w:r w:rsidR="00A434D5">
        <w:rPr>
          <w:rFonts w:ascii="Times New Roman" w:hAnsi="Times New Roman"/>
          <w:sz w:val="20"/>
          <w:szCs w:val="20"/>
        </w:rPr>
        <w:t xml:space="preserve">ompetency </w:t>
      </w:r>
      <w:proofErr w:type="gramStart"/>
      <w:r w:rsidR="00A434D5">
        <w:rPr>
          <w:rFonts w:ascii="Times New Roman" w:hAnsi="Times New Roman"/>
          <w:sz w:val="20"/>
          <w:szCs w:val="20"/>
        </w:rPr>
        <w:t>was operationally defined</w:t>
      </w:r>
      <w:proofErr w:type="gramEnd"/>
      <w:r w:rsidR="00A434D5">
        <w:rPr>
          <w:rFonts w:ascii="Times New Roman" w:hAnsi="Times New Roman"/>
          <w:sz w:val="20"/>
          <w:szCs w:val="20"/>
        </w:rPr>
        <w:t xml:space="preserve"> as correct responses to identified </w:t>
      </w:r>
      <w:r w:rsidR="00D71D53">
        <w:rPr>
          <w:rFonts w:ascii="Times New Roman" w:hAnsi="Times New Roman"/>
          <w:sz w:val="20"/>
          <w:szCs w:val="20"/>
        </w:rPr>
        <w:t>final exam items</w:t>
      </w:r>
      <w:r w:rsidR="00A434D5">
        <w:rPr>
          <w:rFonts w:ascii="Times New Roman" w:hAnsi="Times New Roman"/>
          <w:sz w:val="20"/>
          <w:szCs w:val="20"/>
        </w:rPr>
        <w:t xml:space="preserve">. </w:t>
      </w:r>
    </w:p>
    <w:p w14:paraId="3CBD548C" w14:textId="77777777" w:rsidR="00751BE4" w:rsidRPr="006914D9" w:rsidRDefault="00751BE4" w:rsidP="00A45662">
      <w:pPr>
        <w:spacing w:after="0" w:line="240" w:lineRule="auto"/>
        <w:rPr>
          <w:rFonts w:ascii="Times New Roman" w:hAnsi="Times New Roman"/>
          <w:sz w:val="20"/>
          <w:szCs w:val="20"/>
        </w:rPr>
      </w:pPr>
    </w:p>
    <w:p w14:paraId="46616330" w14:textId="77777777" w:rsidR="00A45662" w:rsidRPr="006914D9" w:rsidRDefault="00A45662" w:rsidP="00A45662">
      <w:pPr>
        <w:pStyle w:val="NormalWeb"/>
        <w:shd w:val="clear" w:color="auto" w:fill="FFFFFF"/>
        <w:spacing w:before="0" w:beforeAutospacing="0" w:after="0" w:afterAutospacing="0"/>
        <w:rPr>
          <w:rFonts w:ascii="Times New Roman" w:hAnsi="Times New Roman"/>
          <w:b/>
          <w:bCs/>
          <w:color w:val="212121"/>
        </w:rPr>
      </w:pPr>
      <w:r w:rsidRPr="006914D9">
        <w:rPr>
          <w:rFonts w:ascii="Times New Roman" w:hAnsi="Times New Roman"/>
          <w:b/>
          <w:bCs/>
          <w:color w:val="212121"/>
        </w:rPr>
        <w:t xml:space="preserve">What were the resulting scores? </w:t>
      </w:r>
    </w:p>
    <w:p w14:paraId="21270A99" w14:textId="0E016744" w:rsidR="00E93962" w:rsidRDefault="001446C1" w:rsidP="00A45662">
      <w:pPr>
        <w:spacing w:after="0" w:line="240" w:lineRule="auto"/>
        <w:rPr>
          <w:rFonts w:ascii="Times New Roman" w:hAnsi="Times New Roman"/>
          <w:sz w:val="20"/>
          <w:szCs w:val="20"/>
        </w:rPr>
      </w:pPr>
      <w:r>
        <w:rPr>
          <w:rFonts w:ascii="Times New Roman" w:hAnsi="Times New Roman"/>
          <w:sz w:val="20"/>
          <w:szCs w:val="20"/>
        </w:rPr>
        <w:t>In both Cohorts A and B, a majority of students showed mastery of GE D</w:t>
      </w:r>
      <w:r w:rsidR="00D71D53">
        <w:rPr>
          <w:rFonts w:ascii="Times New Roman" w:hAnsi="Times New Roman"/>
          <w:sz w:val="20"/>
          <w:szCs w:val="20"/>
        </w:rPr>
        <w:t>1 #</w:t>
      </w:r>
      <w:r>
        <w:rPr>
          <w:rFonts w:ascii="Times New Roman" w:hAnsi="Times New Roman"/>
          <w:sz w:val="20"/>
          <w:szCs w:val="20"/>
        </w:rPr>
        <w:t xml:space="preserve">4 content questions (89% and 81%, respectively). </w:t>
      </w:r>
      <w:r w:rsidR="00377106">
        <w:rPr>
          <w:rFonts w:ascii="Times New Roman" w:hAnsi="Times New Roman"/>
          <w:sz w:val="20"/>
          <w:szCs w:val="20"/>
        </w:rPr>
        <w:t xml:space="preserve">Contrary to our hypothesis, </w:t>
      </w:r>
      <w:r w:rsidR="0075616F">
        <w:rPr>
          <w:rFonts w:ascii="Times New Roman" w:hAnsi="Times New Roman"/>
          <w:sz w:val="20"/>
          <w:szCs w:val="20"/>
        </w:rPr>
        <w:t>t-tests</w:t>
      </w:r>
      <w:r w:rsidR="00377106">
        <w:rPr>
          <w:rFonts w:ascii="Times New Roman" w:hAnsi="Times New Roman"/>
          <w:sz w:val="20"/>
          <w:szCs w:val="20"/>
        </w:rPr>
        <w:t xml:space="preserve"> </w:t>
      </w:r>
      <w:r w:rsidR="00E93962">
        <w:rPr>
          <w:rFonts w:ascii="Times New Roman" w:hAnsi="Times New Roman"/>
          <w:sz w:val="20"/>
          <w:szCs w:val="20"/>
        </w:rPr>
        <w:t xml:space="preserve">for data aggregated across both cohorts revealed that students were not more likely to </w:t>
      </w:r>
      <w:r w:rsidR="00D71D53">
        <w:rPr>
          <w:rFonts w:ascii="Times New Roman" w:hAnsi="Times New Roman"/>
          <w:sz w:val="20"/>
          <w:szCs w:val="20"/>
        </w:rPr>
        <w:t>respond correctly to</w:t>
      </w:r>
      <w:r w:rsidR="00E93962">
        <w:rPr>
          <w:rFonts w:ascii="Times New Roman" w:hAnsi="Times New Roman"/>
          <w:sz w:val="20"/>
          <w:szCs w:val="20"/>
        </w:rPr>
        <w:t xml:space="preserve"> items related to GE </w:t>
      </w:r>
      <w:r w:rsidR="00D71D53">
        <w:rPr>
          <w:rFonts w:ascii="Times New Roman" w:hAnsi="Times New Roman"/>
          <w:sz w:val="20"/>
          <w:szCs w:val="20"/>
        </w:rPr>
        <w:t>D1 #4</w:t>
      </w:r>
      <w:r w:rsidR="00E93962">
        <w:rPr>
          <w:rFonts w:ascii="Times New Roman" w:hAnsi="Times New Roman"/>
          <w:sz w:val="20"/>
          <w:szCs w:val="20"/>
        </w:rPr>
        <w:t xml:space="preserve"> (</w:t>
      </w:r>
      <w:r w:rsidR="00E93962" w:rsidRPr="00E93962">
        <w:rPr>
          <w:rFonts w:ascii="Times New Roman" w:hAnsi="Times New Roman"/>
          <w:i/>
          <w:sz w:val="20"/>
          <w:szCs w:val="20"/>
        </w:rPr>
        <w:t xml:space="preserve">M </w:t>
      </w:r>
      <w:r w:rsidR="00E93962">
        <w:rPr>
          <w:rFonts w:ascii="Times New Roman" w:hAnsi="Times New Roman"/>
          <w:sz w:val="20"/>
          <w:szCs w:val="20"/>
        </w:rPr>
        <w:t xml:space="preserve">= </w:t>
      </w:r>
      <w:r w:rsidR="00B8639D">
        <w:rPr>
          <w:rFonts w:ascii="Times New Roman" w:hAnsi="Times New Roman"/>
          <w:sz w:val="20"/>
          <w:szCs w:val="20"/>
        </w:rPr>
        <w:t>86.96</w:t>
      </w:r>
      <w:r w:rsidR="00E93962">
        <w:rPr>
          <w:rFonts w:ascii="Times New Roman" w:hAnsi="Times New Roman"/>
          <w:sz w:val="20"/>
          <w:szCs w:val="20"/>
        </w:rPr>
        <w:t xml:space="preserve">, </w:t>
      </w:r>
      <w:r w:rsidR="00E93962" w:rsidRPr="00E93962">
        <w:rPr>
          <w:rFonts w:ascii="Times New Roman" w:hAnsi="Times New Roman"/>
          <w:i/>
          <w:sz w:val="20"/>
          <w:szCs w:val="20"/>
        </w:rPr>
        <w:t>SD</w:t>
      </w:r>
      <w:r w:rsidR="00E93962">
        <w:rPr>
          <w:rFonts w:ascii="Times New Roman" w:hAnsi="Times New Roman"/>
          <w:sz w:val="20"/>
          <w:szCs w:val="20"/>
        </w:rPr>
        <w:t xml:space="preserve"> = </w:t>
      </w:r>
      <w:r w:rsidR="00B8639D">
        <w:rPr>
          <w:rFonts w:ascii="Times New Roman" w:hAnsi="Times New Roman"/>
          <w:sz w:val="20"/>
          <w:szCs w:val="20"/>
        </w:rPr>
        <w:t>14.70</w:t>
      </w:r>
      <w:r w:rsidR="00E93962">
        <w:rPr>
          <w:rFonts w:ascii="Times New Roman" w:hAnsi="Times New Roman"/>
          <w:sz w:val="20"/>
          <w:szCs w:val="20"/>
        </w:rPr>
        <w:t>) relative to items not related</w:t>
      </w:r>
      <w:r w:rsidR="00377106">
        <w:rPr>
          <w:rFonts w:ascii="Times New Roman" w:hAnsi="Times New Roman"/>
          <w:sz w:val="20"/>
          <w:szCs w:val="20"/>
        </w:rPr>
        <w:t xml:space="preserve"> to GE D</w:t>
      </w:r>
      <w:r w:rsidR="00D71D53">
        <w:rPr>
          <w:rFonts w:ascii="Times New Roman" w:hAnsi="Times New Roman"/>
          <w:sz w:val="20"/>
          <w:szCs w:val="20"/>
        </w:rPr>
        <w:t>1 #</w:t>
      </w:r>
      <w:r w:rsidR="00377106">
        <w:rPr>
          <w:rFonts w:ascii="Times New Roman" w:hAnsi="Times New Roman"/>
          <w:sz w:val="20"/>
          <w:szCs w:val="20"/>
        </w:rPr>
        <w:t>4</w:t>
      </w:r>
      <w:r w:rsidR="00E93962">
        <w:rPr>
          <w:rFonts w:ascii="Times New Roman" w:hAnsi="Times New Roman"/>
          <w:sz w:val="20"/>
          <w:szCs w:val="20"/>
        </w:rPr>
        <w:t xml:space="preserve"> (</w:t>
      </w:r>
      <w:r w:rsidR="00E93962" w:rsidRPr="00E93962">
        <w:rPr>
          <w:rFonts w:ascii="Times New Roman" w:hAnsi="Times New Roman"/>
          <w:i/>
          <w:sz w:val="20"/>
          <w:szCs w:val="20"/>
        </w:rPr>
        <w:t>M</w:t>
      </w:r>
      <w:r w:rsidR="00E93962">
        <w:rPr>
          <w:rFonts w:ascii="Times New Roman" w:hAnsi="Times New Roman"/>
          <w:sz w:val="20"/>
          <w:szCs w:val="20"/>
        </w:rPr>
        <w:t xml:space="preserve"> = </w:t>
      </w:r>
      <w:r w:rsidR="003F1034">
        <w:rPr>
          <w:rFonts w:ascii="Times New Roman" w:hAnsi="Times New Roman"/>
          <w:sz w:val="20"/>
          <w:szCs w:val="20"/>
        </w:rPr>
        <w:t>87.28</w:t>
      </w:r>
      <w:r w:rsidR="00E93962">
        <w:rPr>
          <w:rFonts w:ascii="Times New Roman" w:hAnsi="Times New Roman"/>
          <w:sz w:val="20"/>
          <w:szCs w:val="20"/>
        </w:rPr>
        <w:t xml:space="preserve">, </w:t>
      </w:r>
      <w:r w:rsidR="00E93962" w:rsidRPr="00E93962">
        <w:rPr>
          <w:rFonts w:ascii="Times New Roman" w:hAnsi="Times New Roman"/>
          <w:i/>
          <w:sz w:val="20"/>
          <w:szCs w:val="20"/>
        </w:rPr>
        <w:t>SD</w:t>
      </w:r>
      <w:r w:rsidR="00E93962">
        <w:rPr>
          <w:rFonts w:ascii="Times New Roman" w:hAnsi="Times New Roman"/>
          <w:sz w:val="20"/>
          <w:szCs w:val="20"/>
        </w:rPr>
        <w:t xml:space="preserve"> = </w:t>
      </w:r>
      <w:r w:rsidR="003F1034">
        <w:rPr>
          <w:rFonts w:ascii="Times New Roman" w:hAnsi="Times New Roman"/>
          <w:sz w:val="20"/>
          <w:szCs w:val="20"/>
        </w:rPr>
        <w:t>12.95</w:t>
      </w:r>
      <w:r w:rsidR="00E93962">
        <w:rPr>
          <w:rFonts w:ascii="Times New Roman" w:hAnsi="Times New Roman"/>
          <w:sz w:val="20"/>
          <w:szCs w:val="20"/>
        </w:rPr>
        <w:t xml:space="preserve">), </w:t>
      </w:r>
      <w:r w:rsidR="00E93962" w:rsidRPr="00E93962">
        <w:rPr>
          <w:rFonts w:ascii="Times New Roman" w:hAnsi="Times New Roman"/>
          <w:i/>
          <w:sz w:val="20"/>
          <w:szCs w:val="20"/>
        </w:rPr>
        <w:t>t</w:t>
      </w:r>
      <w:r w:rsidR="00E93962" w:rsidRPr="00E93962">
        <w:rPr>
          <w:rFonts w:ascii="Times New Roman" w:hAnsi="Times New Roman"/>
          <w:sz w:val="20"/>
          <w:szCs w:val="20"/>
        </w:rPr>
        <w:t>(</w:t>
      </w:r>
      <w:r w:rsidR="00B8639D">
        <w:rPr>
          <w:rFonts w:ascii="Times New Roman" w:hAnsi="Times New Roman"/>
          <w:sz w:val="20"/>
          <w:szCs w:val="20"/>
        </w:rPr>
        <w:t>112</w:t>
      </w:r>
      <w:r w:rsidR="00E93962">
        <w:rPr>
          <w:rFonts w:ascii="Times New Roman" w:hAnsi="Times New Roman"/>
          <w:sz w:val="20"/>
          <w:szCs w:val="20"/>
        </w:rPr>
        <w:t xml:space="preserve">) = </w:t>
      </w:r>
      <w:r w:rsidR="003F1034">
        <w:rPr>
          <w:rFonts w:ascii="Times New Roman" w:hAnsi="Times New Roman"/>
          <w:sz w:val="20"/>
          <w:szCs w:val="20"/>
        </w:rPr>
        <w:t>.</w:t>
      </w:r>
      <w:r w:rsidR="00B8639D">
        <w:rPr>
          <w:rFonts w:ascii="Times New Roman" w:hAnsi="Times New Roman"/>
          <w:sz w:val="20"/>
          <w:szCs w:val="20"/>
        </w:rPr>
        <w:t>12</w:t>
      </w:r>
      <w:r w:rsidR="00E93962">
        <w:rPr>
          <w:rFonts w:ascii="Times New Roman" w:hAnsi="Times New Roman"/>
          <w:sz w:val="20"/>
          <w:szCs w:val="20"/>
        </w:rPr>
        <w:t xml:space="preserve">, </w:t>
      </w:r>
      <w:r w:rsidR="00E93962" w:rsidRPr="00E93962">
        <w:rPr>
          <w:rFonts w:ascii="Times New Roman" w:hAnsi="Times New Roman"/>
          <w:i/>
          <w:sz w:val="20"/>
          <w:szCs w:val="20"/>
        </w:rPr>
        <w:t>p</w:t>
      </w:r>
      <w:r w:rsidR="003F1034">
        <w:rPr>
          <w:rFonts w:ascii="Times New Roman" w:hAnsi="Times New Roman"/>
          <w:sz w:val="20"/>
          <w:szCs w:val="20"/>
        </w:rPr>
        <w:t xml:space="preserve"> = .</w:t>
      </w:r>
      <w:r w:rsidR="00B8639D">
        <w:rPr>
          <w:rFonts w:ascii="Times New Roman" w:hAnsi="Times New Roman"/>
          <w:sz w:val="20"/>
          <w:szCs w:val="20"/>
        </w:rPr>
        <w:t>905</w:t>
      </w:r>
      <w:r>
        <w:rPr>
          <w:rFonts w:ascii="Times New Roman" w:hAnsi="Times New Roman"/>
          <w:sz w:val="20"/>
          <w:szCs w:val="20"/>
        </w:rPr>
        <w:t>. As</w:t>
      </w:r>
      <w:r w:rsidR="00377106">
        <w:rPr>
          <w:rFonts w:ascii="Times New Roman" w:hAnsi="Times New Roman"/>
          <w:sz w:val="20"/>
          <w:szCs w:val="20"/>
        </w:rPr>
        <w:t xml:space="preserve"> noted in T</w:t>
      </w:r>
      <w:r>
        <w:rPr>
          <w:rFonts w:ascii="Times New Roman" w:hAnsi="Times New Roman"/>
          <w:sz w:val="20"/>
          <w:szCs w:val="20"/>
        </w:rPr>
        <w:t>able 1, t-tests also show</w:t>
      </w:r>
      <w:r w:rsidR="0075616F">
        <w:rPr>
          <w:rFonts w:ascii="Times New Roman" w:hAnsi="Times New Roman"/>
          <w:sz w:val="20"/>
          <w:szCs w:val="20"/>
        </w:rPr>
        <w:t>ed the number of students who</w:t>
      </w:r>
      <w:r>
        <w:rPr>
          <w:rFonts w:ascii="Times New Roman" w:hAnsi="Times New Roman"/>
          <w:sz w:val="20"/>
          <w:szCs w:val="20"/>
        </w:rPr>
        <w:t xml:space="preserve"> </w:t>
      </w:r>
      <w:r w:rsidR="0075616F">
        <w:rPr>
          <w:rFonts w:ascii="Times New Roman" w:hAnsi="Times New Roman"/>
          <w:sz w:val="20"/>
          <w:szCs w:val="20"/>
        </w:rPr>
        <w:lastRenderedPageBreak/>
        <w:t>correctly responded to</w:t>
      </w:r>
      <w:r>
        <w:rPr>
          <w:rFonts w:ascii="Times New Roman" w:hAnsi="Times New Roman"/>
          <w:sz w:val="20"/>
          <w:szCs w:val="20"/>
        </w:rPr>
        <w:t xml:space="preserve"> GE D</w:t>
      </w:r>
      <w:r w:rsidR="003F1034">
        <w:rPr>
          <w:rFonts w:ascii="Times New Roman" w:hAnsi="Times New Roman"/>
          <w:sz w:val="20"/>
          <w:szCs w:val="20"/>
        </w:rPr>
        <w:t>1 #</w:t>
      </w:r>
      <w:r>
        <w:rPr>
          <w:rFonts w:ascii="Times New Roman" w:hAnsi="Times New Roman"/>
          <w:sz w:val="20"/>
          <w:szCs w:val="20"/>
        </w:rPr>
        <w:t>4 related questions did not significantly differ from</w:t>
      </w:r>
      <w:r w:rsidR="0075616F">
        <w:rPr>
          <w:rFonts w:ascii="Times New Roman" w:hAnsi="Times New Roman"/>
          <w:sz w:val="20"/>
          <w:szCs w:val="20"/>
        </w:rPr>
        <w:t xml:space="preserve"> the number of students who correctly responded </w:t>
      </w:r>
      <w:r>
        <w:rPr>
          <w:rFonts w:ascii="Times New Roman" w:hAnsi="Times New Roman"/>
          <w:sz w:val="20"/>
          <w:szCs w:val="20"/>
        </w:rPr>
        <w:t>to questions not related to GE D</w:t>
      </w:r>
      <w:r w:rsidR="003F1034">
        <w:rPr>
          <w:rFonts w:ascii="Times New Roman" w:hAnsi="Times New Roman"/>
          <w:sz w:val="20"/>
          <w:szCs w:val="20"/>
        </w:rPr>
        <w:t>1 #</w:t>
      </w:r>
      <w:r>
        <w:rPr>
          <w:rFonts w:ascii="Times New Roman" w:hAnsi="Times New Roman"/>
          <w:sz w:val="20"/>
          <w:szCs w:val="20"/>
        </w:rPr>
        <w:t xml:space="preserve">4 within each course.  </w:t>
      </w:r>
    </w:p>
    <w:p w14:paraId="71CE411B" w14:textId="77777777" w:rsidR="00C95964" w:rsidRDefault="00C95964" w:rsidP="00A45662">
      <w:pPr>
        <w:spacing w:after="0" w:line="240" w:lineRule="auto"/>
        <w:rPr>
          <w:rFonts w:ascii="Times New Roman" w:hAnsi="Times New Roman"/>
          <w:sz w:val="20"/>
          <w:szCs w:val="20"/>
        </w:rPr>
      </w:pPr>
    </w:p>
    <w:p w14:paraId="5510A1E7" w14:textId="4DD97055" w:rsidR="00BB473D" w:rsidRDefault="002E0F8D" w:rsidP="00A45662">
      <w:pPr>
        <w:spacing w:after="0" w:line="240" w:lineRule="auto"/>
        <w:rPr>
          <w:rFonts w:ascii="Times New Roman" w:hAnsi="Times New Roman"/>
          <w:sz w:val="20"/>
          <w:szCs w:val="20"/>
        </w:rPr>
      </w:pPr>
      <w:r>
        <w:rPr>
          <w:rFonts w:ascii="Times New Roman" w:hAnsi="Times New Roman"/>
          <w:sz w:val="20"/>
          <w:szCs w:val="20"/>
        </w:rPr>
        <w:t>In terms of social issue</w:t>
      </w:r>
      <w:r w:rsidR="002224F6">
        <w:rPr>
          <w:rFonts w:ascii="Times New Roman" w:hAnsi="Times New Roman"/>
          <w:sz w:val="20"/>
          <w:szCs w:val="20"/>
        </w:rPr>
        <w:t>s</w:t>
      </w:r>
      <w:r>
        <w:rPr>
          <w:rFonts w:ascii="Times New Roman" w:hAnsi="Times New Roman"/>
          <w:sz w:val="20"/>
          <w:szCs w:val="20"/>
        </w:rPr>
        <w:t xml:space="preserve"> represented in the final exam (and, therefore, course content), problems related to public health and parents/parenting were more common </w:t>
      </w:r>
      <w:proofErr w:type="gramStart"/>
      <w:r>
        <w:rPr>
          <w:rFonts w:ascii="Times New Roman" w:hAnsi="Times New Roman"/>
          <w:sz w:val="20"/>
          <w:szCs w:val="20"/>
        </w:rPr>
        <w:t xml:space="preserve">than </w:t>
      </w:r>
      <w:r w:rsidR="002224F6">
        <w:rPr>
          <w:rFonts w:ascii="Times New Roman" w:hAnsi="Times New Roman"/>
          <w:sz w:val="20"/>
          <w:szCs w:val="20"/>
        </w:rPr>
        <w:t>those</w:t>
      </w:r>
      <w:proofErr w:type="gramEnd"/>
      <w:r>
        <w:rPr>
          <w:rFonts w:ascii="Times New Roman" w:hAnsi="Times New Roman"/>
          <w:sz w:val="20"/>
          <w:szCs w:val="20"/>
        </w:rPr>
        <w:t xml:space="preserve"> related to economic/social inequality and education. </w:t>
      </w:r>
      <w:r w:rsidR="00BB473D">
        <w:rPr>
          <w:rFonts w:ascii="Times New Roman" w:hAnsi="Times New Roman"/>
          <w:sz w:val="20"/>
          <w:szCs w:val="20"/>
        </w:rPr>
        <w:t>However, a</w:t>
      </w:r>
      <w:r w:rsidR="002224F6">
        <w:rPr>
          <w:rFonts w:ascii="Times New Roman" w:hAnsi="Times New Roman"/>
          <w:sz w:val="20"/>
          <w:szCs w:val="20"/>
        </w:rPr>
        <w:t xml:space="preserve"> F</w:t>
      </w:r>
      <w:r w:rsidR="00C95964">
        <w:rPr>
          <w:rFonts w:ascii="Times New Roman" w:hAnsi="Times New Roman"/>
          <w:sz w:val="20"/>
          <w:szCs w:val="20"/>
        </w:rPr>
        <w:t xml:space="preserve">isher </w:t>
      </w:r>
      <w:r>
        <w:rPr>
          <w:rFonts w:ascii="Times New Roman" w:hAnsi="Times New Roman"/>
          <w:sz w:val="20"/>
          <w:szCs w:val="20"/>
        </w:rPr>
        <w:t>e</w:t>
      </w:r>
      <w:r w:rsidR="00C95964">
        <w:rPr>
          <w:rFonts w:ascii="Times New Roman" w:hAnsi="Times New Roman"/>
          <w:sz w:val="20"/>
          <w:szCs w:val="20"/>
        </w:rPr>
        <w:t xml:space="preserve">xact </w:t>
      </w:r>
      <w:r>
        <w:rPr>
          <w:rFonts w:ascii="Times New Roman" w:hAnsi="Times New Roman"/>
          <w:sz w:val="20"/>
          <w:szCs w:val="20"/>
        </w:rPr>
        <w:t>p</w:t>
      </w:r>
      <w:r w:rsidR="00C95964">
        <w:rPr>
          <w:rFonts w:ascii="Times New Roman" w:hAnsi="Times New Roman"/>
          <w:sz w:val="20"/>
          <w:szCs w:val="20"/>
        </w:rPr>
        <w:t>robability test</w:t>
      </w:r>
      <w:r w:rsidR="00217ECB">
        <w:rPr>
          <w:rFonts w:ascii="Times New Roman" w:hAnsi="Times New Roman"/>
          <w:sz w:val="20"/>
          <w:szCs w:val="20"/>
        </w:rPr>
        <w:t xml:space="preserve"> of independence</w:t>
      </w:r>
      <w:r>
        <w:rPr>
          <w:rFonts w:ascii="Times New Roman" w:hAnsi="Times New Roman"/>
          <w:sz w:val="20"/>
          <w:szCs w:val="20"/>
        </w:rPr>
        <w:t>, which</w:t>
      </w:r>
      <w:r w:rsidR="00217ECB">
        <w:rPr>
          <w:rFonts w:ascii="Times New Roman" w:hAnsi="Times New Roman"/>
          <w:sz w:val="20"/>
          <w:szCs w:val="20"/>
        </w:rPr>
        <w:t xml:space="preserve"> was used given the presence of zero</w:t>
      </w:r>
      <w:r w:rsidR="002224F6">
        <w:rPr>
          <w:rFonts w:ascii="Times New Roman" w:hAnsi="Times New Roman"/>
          <w:sz w:val="20"/>
          <w:szCs w:val="20"/>
        </w:rPr>
        <w:t>es</w:t>
      </w:r>
      <w:r w:rsidR="00217ECB">
        <w:rPr>
          <w:rFonts w:ascii="Times New Roman" w:hAnsi="Times New Roman"/>
          <w:sz w:val="20"/>
          <w:szCs w:val="20"/>
        </w:rPr>
        <w:t xml:space="preserve"> and low-frequency observations</w:t>
      </w:r>
      <w:r>
        <w:rPr>
          <w:rFonts w:ascii="Times New Roman" w:hAnsi="Times New Roman"/>
          <w:sz w:val="20"/>
          <w:szCs w:val="20"/>
        </w:rPr>
        <w:t>,</w:t>
      </w:r>
      <w:r w:rsidR="00C95964">
        <w:rPr>
          <w:rFonts w:ascii="Times New Roman" w:hAnsi="Times New Roman"/>
          <w:sz w:val="20"/>
          <w:szCs w:val="20"/>
        </w:rPr>
        <w:t xml:space="preserve"> suggests the distribution of</w:t>
      </w:r>
      <w:r w:rsidR="00217ECB">
        <w:rPr>
          <w:rFonts w:ascii="Times New Roman" w:hAnsi="Times New Roman"/>
          <w:sz w:val="20"/>
          <w:szCs w:val="20"/>
        </w:rPr>
        <w:t xml:space="preserve"> exam</w:t>
      </w:r>
      <w:r w:rsidR="00C95964">
        <w:rPr>
          <w:rFonts w:ascii="Times New Roman" w:hAnsi="Times New Roman"/>
          <w:sz w:val="20"/>
          <w:szCs w:val="20"/>
        </w:rPr>
        <w:t xml:space="preserve"> items by social issue category </w:t>
      </w:r>
      <w:r w:rsidR="00BB473D">
        <w:rPr>
          <w:rFonts w:ascii="Times New Roman" w:hAnsi="Times New Roman"/>
          <w:sz w:val="20"/>
          <w:szCs w:val="20"/>
        </w:rPr>
        <w:t>wa</w:t>
      </w:r>
      <w:r w:rsidR="00C95964">
        <w:rPr>
          <w:rFonts w:ascii="Times New Roman" w:hAnsi="Times New Roman"/>
          <w:sz w:val="20"/>
          <w:szCs w:val="20"/>
        </w:rPr>
        <w:t xml:space="preserve">s marginally different across the two </w:t>
      </w:r>
      <w:r>
        <w:rPr>
          <w:rFonts w:ascii="Times New Roman" w:hAnsi="Times New Roman"/>
          <w:sz w:val="20"/>
          <w:szCs w:val="20"/>
        </w:rPr>
        <w:t>courses</w:t>
      </w:r>
      <w:r w:rsidR="00C95964">
        <w:rPr>
          <w:rFonts w:ascii="Times New Roman" w:hAnsi="Times New Roman"/>
          <w:sz w:val="20"/>
          <w:szCs w:val="20"/>
        </w:rPr>
        <w:t xml:space="preserve"> (</w:t>
      </w:r>
      <w:r w:rsidR="00C95964" w:rsidRPr="00217ECB">
        <w:rPr>
          <w:rFonts w:ascii="Times New Roman" w:hAnsi="Times New Roman"/>
          <w:i/>
          <w:sz w:val="20"/>
          <w:szCs w:val="20"/>
        </w:rPr>
        <w:t>p</w:t>
      </w:r>
      <w:r w:rsidR="00C95964">
        <w:rPr>
          <w:rFonts w:ascii="Times New Roman" w:hAnsi="Times New Roman"/>
          <w:sz w:val="20"/>
          <w:szCs w:val="20"/>
        </w:rPr>
        <w:t xml:space="preserve"> = .054). </w:t>
      </w:r>
      <w:r w:rsidR="00BB473D">
        <w:rPr>
          <w:rFonts w:ascii="Times New Roman" w:hAnsi="Times New Roman"/>
          <w:sz w:val="20"/>
          <w:szCs w:val="20"/>
        </w:rPr>
        <w:t xml:space="preserve">There also appear to be differences in how students performed in each cohort. </w:t>
      </w:r>
      <w:r w:rsidR="002224F6">
        <w:rPr>
          <w:rFonts w:ascii="Times New Roman" w:hAnsi="Times New Roman"/>
          <w:sz w:val="20"/>
          <w:szCs w:val="20"/>
        </w:rPr>
        <w:t>In Cohort A, a large majority of students correctly answered questions related to education (92%) and parents/parenting (91%), followed by public health (8</w:t>
      </w:r>
      <w:r w:rsidR="00CD58EB">
        <w:rPr>
          <w:rFonts w:ascii="Times New Roman" w:hAnsi="Times New Roman"/>
          <w:sz w:val="20"/>
          <w:szCs w:val="20"/>
        </w:rPr>
        <w:t>7</w:t>
      </w:r>
      <w:r w:rsidR="002224F6">
        <w:rPr>
          <w:rFonts w:ascii="Times New Roman" w:hAnsi="Times New Roman"/>
          <w:sz w:val="20"/>
          <w:szCs w:val="20"/>
        </w:rPr>
        <w:t xml:space="preserve">%). In Cohort B, a large majority of students correctly answered questions related to public health (92%) and parents/parenting (80%), followed by economic/social inequality (56%). </w:t>
      </w:r>
    </w:p>
    <w:p w14:paraId="7B0BA5CC" w14:textId="77777777" w:rsidR="00BB473D" w:rsidRDefault="00BB473D" w:rsidP="00A45662">
      <w:pPr>
        <w:spacing w:after="0" w:line="240" w:lineRule="auto"/>
        <w:rPr>
          <w:rFonts w:ascii="Times New Roman" w:hAnsi="Times New Roman"/>
          <w:sz w:val="20"/>
          <w:szCs w:val="20"/>
        </w:rPr>
      </w:pPr>
    </w:p>
    <w:p w14:paraId="10A4AB7D" w14:textId="5FA3232F" w:rsidR="00C95964" w:rsidRDefault="00BB473D" w:rsidP="00A45662">
      <w:pPr>
        <w:spacing w:after="0" w:line="240" w:lineRule="auto"/>
        <w:rPr>
          <w:rFonts w:ascii="Times New Roman" w:hAnsi="Times New Roman"/>
          <w:sz w:val="20"/>
          <w:szCs w:val="20"/>
        </w:rPr>
      </w:pPr>
      <w:r>
        <w:rPr>
          <w:rFonts w:ascii="Times New Roman" w:hAnsi="Times New Roman"/>
          <w:sz w:val="20"/>
          <w:szCs w:val="20"/>
        </w:rPr>
        <w:t xml:space="preserve">These results will be reported to CADV faculty during our faculty meetings in </w:t>
      </w:r>
      <w:proofErr w:type="gramStart"/>
      <w:r>
        <w:rPr>
          <w:rFonts w:ascii="Times New Roman" w:hAnsi="Times New Roman"/>
          <w:sz w:val="20"/>
          <w:szCs w:val="20"/>
        </w:rPr>
        <w:t>Fall</w:t>
      </w:r>
      <w:proofErr w:type="gramEnd"/>
      <w:r>
        <w:rPr>
          <w:rFonts w:ascii="Times New Roman" w:hAnsi="Times New Roman"/>
          <w:sz w:val="20"/>
          <w:szCs w:val="20"/>
        </w:rPr>
        <w:t xml:space="preserve"> 2020. </w:t>
      </w:r>
      <w:r w:rsidR="002224F6">
        <w:rPr>
          <w:rFonts w:ascii="Times New Roman" w:hAnsi="Times New Roman"/>
          <w:sz w:val="20"/>
          <w:szCs w:val="20"/>
        </w:rPr>
        <w:t xml:space="preserve"> </w:t>
      </w:r>
    </w:p>
    <w:p w14:paraId="1853857F" w14:textId="77777777" w:rsidR="00A434D5" w:rsidRDefault="00A434D5" w:rsidP="00A45662">
      <w:pPr>
        <w:spacing w:after="0" w:line="240" w:lineRule="auto"/>
        <w:rPr>
          <w:rFonts w:ascii="Times New Roman" w:hAnsi="Times New Roman"/>
          <w:sz w:val="20"/>
          <w:szCs w:val="20"/>
        </w:rPr>
      </w:pPr>
    </w:p>
    <w:p w14:paraId="57351D9F" w14:textId="77777777" w:rsidR="002A30AD" w:rsidRPr="00A434D5" w:rsidRDefault="00A434D5" w:rsidP="00A45662">
      <w:pPr>
        <w:spacing w:after="0" w:line="240" w:lineRule="auto"/>
        <w:rPr>
          <w:rFonts w:ascii="Times New Roman" w:hAnsi="Times New Roman"/>
          <w:i/>
          <w:sz w:val="20"/>
          <w:szCs w:val="20"/>
        </w:rPr>
      </w:pPr>
      <w:r w:rsidRPr="00A434D5">
        <w:rPr>
          <w:rFonts w:ascii="Times New Roman" w:hAnsi="Times New Roman"/>
          <w:i/>
          <w:sz w:val="20"/>
          <w:szCs w:val="20"/>
        </w:rPr>
        <w:t>Table 1. Average Scores for CADV 150 Section Cohorts</w:t>
      </w:r>
    </w:p>
    <w:tbl>
      <w:tblPr>
        <w:tblStyle w:val="TableGrid"/>
        <w:tblW w:w="0" w:type="auto"/>
        <w:tblLook w:val="04A0" w:firstRow="1" w:lastRow="0" w:firstColumn="1" w:lastColumn="0" w:noHBand="0" w:noVBand="1"/>
      </w:tblPr>
      <w:tblGrid>
        <w:gridCol w:w="8455"/>
        <w:gridCol w:w="2247"/>
        <w:gridCol w:w="2248"/>
      </w:tblGrid>
      <w:tr w:rsidR="00A434D5" w14:paraId="0900EF46" w14:textId="77777777" w:rsidTr="00C526EA">
        <w:tc>
          <w:tcPr>
            <w:tcW w:w="8455" w:type="dxa"/>
            <w:vAlign w:val="bottom"/>
          </w:tcPr>
          <w:p w14:paraId="2BBE375A" w14:textId="77777777" w:rsidR="00A434D5" w:rsidRPr="00A434D5" w:rsidRDefault="00A434D5" w:rsidP="00A434D5">
            <w:pPr>
              <w:spacing w:after="0" w:line="240" w:lineRule="auto"/>
              <w:rPr>
                <w:rFonts w:ascii="Times New Roman" w:hAnsi="Times New Roman"/>
                <w:b/>
                <w:sz w:val="20"/>
                <w:szCs w:val="20"/>
              </w:rPr>
            </w:pPr>
            <w:r w:rsidRPr="00A434D5">
              <w:rPr>
                <w:rFonts w:ascii="Times New Roman" w:hAnsi="Times New Roman"/>
                <w:b/>
                <w:sz w:val="20"/>
                <w:szCs w:val="20"/>
              </w:rPr>
              <w:t>Items</w:t>
            </w:r>
          </w:p>
        </w:tc>
        <w:tc>
          <w:tcPr>
            <w:tcW w:w="2247" w:type="dxa"/>
          </w:tcPr>
          <w:p w14:paraId="3B5E4253" w14:textId="77777777" w:rsidR="00A434D5" w:rsidRPr="00A434D5" w:rsidRDefault="00A434D5" w:rsidP="00A434D5">
            <w:pPr>
              <w:spacing w:after="0" w:line="240" w:lineRule="auto"/>
              <w:jc w:val="center"/>
              <w:rPr>
                <w:rFonts w:ascii="Times New Roman" w:hAnsi="Times New Roman"/>
                <w:b/>
                <w:sz w:val="20"/>
                <w:szCs w:val="20"/>
              </w:rPr>
            </w:pPr>
            <w:r w:rsidRPr="00A434D5">
              <w:rPr>
                <w:rFonts w:ascii="Times New Roman" w:hAnsi="Times New Roman"/>
                <w:b/>
                <w:sz w:val="20"/>
                <w:szCs w:val="20"/>
              </w:rPr>
              <w:t>Cohort A</w:t>
            </w:r>
          </w:p>
          <w:p w14:paraId="2A2340B2" w14:textId="77777777" w:rsidR="00A434D5" w:rsidRDefault="00A434D5" w:rsidP="00A434D5">
            <w:pPr>
              <w:spacing w:after="0" w:line="240" w:lineRule="auto"/>
              <w:jc w:val="center"/>
              <w:rPr>
                <w:rFonts w:ascii="Times New Roman" w:hAnsi="Times New Roman"/>
                <w:sz w:val="20"/>
                <w:szCs w:val="20"/>
              </w:rPr>
            </w:pPr>
            <w:r w:rsidRPr="00A434D5">
              <w:rPr>
                <w:rFonts w:ascii="Times New Roman" w:hAnsi="Times New Roman"/>
                <w:i/>
                <w:sz w:val="20"/>
                <w:szCs w:val="20"/>
              </w:rPr>
              <w:t>n</w:t>
            </w:r>
            <w:r>
              <w:rPr>
                <w:rFonts w:ascii="Times New Roman" w:hAnsi="Times New Roman"/>
                <w:sz w:val="20"/>
                <w:szCs w:val="20"/>
              </w:rPr>
              <w:t xml:space="preserve"> = 113</w:t>
            </w:r>
          </w:p>
          <w:p w14:paraId="2575BEA3" w14:textId="77777777" w:rsidR="00A434D5" w:rsidRDefault="00A434D5" w:rsidP="00A434D5">
            <w:pPr>
              <w:spacing w:after="0" w:line="240" w:lineRule="auto"/>
              <w:jc w:val="center"/>
              <w:rPr>
                <w:rFonts w:ascii="Times New Roman" w:hAnsi="Times New Roman"/>
                <w:sz w:val="20"/>
                <w:szCs w:val="20"/>
              </w:rPr>
            </w:pPr>
            <w:r>
              <w:rPr>
                <w:rFonts w:ascii="Times New Roman" w:hAnsi="Times New Roman"/>
                <w:sz w:val="20"/>
                <w:szCs w:val="20"/>
              </w:rPr>
              <w:t>Spring 2020</w:t>
            </w:r>
          </w:p>
        </w:tc>
        <w:tc>
          <w:tcPr>
            <w:tcW w:w="2248" w:type="dxa"/>
          </w:tcPr>
          <w:p w14:paraId="311F421E" w14:textId="77777777" w:rsidR="00A434D5" w:rsidRPr="00A434D5" w:rsidRDefault="00A434D5" w:rsidP="00A434D5">
            <w:pPr>
              <w:spacing w:after="0" w:line="240" w:lineRule="auto"/>
              <w:jc w:val="center"/>
              <w:rPr>
                <w:rFonts w:ascii="Times New Roman" w:hAnsi="Times New Roman"/>
                <w:b/>
                <w:sz w:val="20"/>
                <w:szCs w:val="20"/>
              </w:rPr>
            </w:pPr>
            <w:r w:rsidRPr="00A434D5">
              <w:rPr>
                <w:rFonts w:ascii="Times New Roman" w:hAnsi="Times New Roman"/>
                <w:b/>
                <w:sz w:val="20"/>
                <w:szCs w:val="20"/>
              </w:rPr>
              <w:t>Cohort B</w:t>
            </w:r>
          </w:p>
          <w:p w14:paraId="173836A4" w14:textId="77777777" w:rsidR="00A434D5" w:rsidRDefault="00A434D5" w:rsidP="00A434D5">
            <w:pPr>
              <w:spacing w:after="0" w:line="240" w:lineRule="auto"/>
              <w:jc w:val="center"/>
              <w:rPr>
                <w:rFonts w:ascii="Times New Roman" w:hAnsi="Times New Roman"/>
                <w:sz w:val="20"/>
                <w:szCs w:val="20"/>
              </w:rPr>
            </w:pPr>
            <w:r w:rsidRPr="00A434D5">
              <w:rPr>
                <w:rFonts w:ascii="Times New Roman" w:hAnsi="Times New Roman"/>
                <w:i/>
                <w:sz w:val="20"/>
                <w:szCs w:val="20"/>
              </w:rPr>
              <w:t>n</w:t>
            </w:r>
            <w:r>
              <w:rPr>
                <w:rFonts w:ascii="Times New Roman" w:hAnsi="Times New Roman"/>
                <w:sz w:val="20"/>
                <w:szCs w:val="20"/>
              </w:rPr>
              <w:t xml:space="preserve"> = 143</w:t>
            </w:r>
          </w:p>
          <w:p w14:paraId="6294FED4" w14:textId="77777777" w:rsidR="00A434D5" w:rsidRDefault="00A434D5" w:rsidP="00A434D5">
            <w:pPr>
              <w:spacing w:after="0" w:line="240" w:lineRule="auto"/>
              <w:jc w:val="center"/>
              <w:rPr>
                <w:rFonts w:ascii="Times New Roman" w:hAnsi="Times New Roman"/>
                <w:sz w:val="20"/>
                <w:szCs w:val="20"/>
              </w:rPr>
            </w:pPr>
            <w:r>
              <w:rPr>
                <w:rFonts w:ascii="Times New Roman" w:hAnsi="Times New Roman"/>
                <w:sz w:val="20"/>
                <w:szCs w:val="20"/>
              </w:rPr>
              <w:t>Spring 2020</w:t>
            </w:r>
          </w:p>
        </w:tc>
      </w:tr>
      <w:tr w:rsidR="00A434D5" w14:paraId="005832DC" w14:textId="77777777" w:rsidTr="00C526EA">
        <w:tc>
          <w:tcPr>
            <w:tcW w:w="8455" w:type="dxa"/>
          </w:tcPr>
          <w:p w14:paraId="03E80542" w14:textId="77777777" w:rsidR="00A434D5" w:rsidRDefault="00A434D5" w:rsidP="00A434D5">
            <w:pPr>
              <w:spacing w:after="0" w:line="240" w:lineRule="auto"/>
              <w:rPr>
                <w:rFonts w:ascii="Times New Roman" w:hAnsi="Times New Roman"/>
                <w:sz w:val="20"/>
                <w:szCs w:val="20"/>
              </w:rPr>
            </w:pPr>
            <w:r>
              <w:rPr>
                <w:rFonts w:ascii="Times New Roman" w:hAnsi="Times New Roman"/>
                <w:sz w:val="20"/>
                <w:szCs w:val="20"/>
              </w:rPr>
              <w:t>Totals</w:t>
            </w:r>
          </w:p>
        </w:tc>
        <w:tc>
          <w:tcPr>
            <w:tcW w:w="2247" w:type="dxa"/>
          </w:tcPr>
          <w:p w14:paraId="771E6A9F" w14:textId="77777777" w:rsidR="00A434D5" w:rsidRDefault="00A434D5" w:rsidP="00A434D5">
            <w:pPr>
              <w:spacing w:after="0" w:line="240" w:lineRule="auto"/>
              <w:jc w:val="center"/>
              <w:rPr>
                <w:rFonts w:ascii="Times New Roman" w:hAnsi="Times New Roman"/>
                <w:sz w:val="20"/>
                <w:szCs w:val="20"/>
              </w:rPr>
            </w:pPr>
          </w:p>
        </w:tc>
        <w:tc>
          <w:tcPr>
            <w:tcW w:w="2248" w:type="dxa"/>
          </w:tcPr>
          <w:p w14:paraId="64ED580F" w14:textId="77777777" w:rsidR="00A434D5" w:rsidRDefault="00A434D5" w:rsidP="00A434D5">
            <w:pPr>
              <w:spacing w:after="0" w:line="240" w:lineRule="auto"/>
              <w:jc w:val="center"/>
              <w:rPr>
                <w:rFonts w:ascii="Times New Roman" w:hAnsi="Times New Roman"/>
                <w:sz w:val="20"/>
                <w:szCs w:val="20"/>
              </w:rPr>
            </w:pPr>
          </w:p>
        </w:tc>
      </w:tr>
      <w:tr w:rsidR="00A434D5" w14:paraId="310FFE98" w14:textId="77777777" w:rsidTr="00C526EA">
        <w:tc>
          <w:tcPr>
            <w:tcW w:w="8455" w:type="dxa"/>
          </w:tcPr>
          <w:p w14:paraId="52A3DB9E" w14:textId="4406D24D" w:rsidR="00A434D5" w:rsidRDefault="009055F7" w:rsidP="009055F7">
            <w:pPr>
              <w:spacing w:after="0" w:line="240" w:lineRule="auto"/>
              <w:ind w:left="338"/>
              <w:rPr>
                <w:rFonts w:ascii="Times New Roman" w:hAnsi="Times New Roman"/>
                <w:sz w:val="20"/>
                <w:szCs w:val="20"/>
              </w:rPr>
            </w:pPr>
            <w:r>
              <w:rPr>
                <w:rFonts w:ascii="Times New Roman" w:hAnsi="Times New Roman"/>
                <w:sz w:val="20"/>
                <w:szCs w:val="20"/>
              </w:rPr>
              <w:t xml:space="preserve">Total </w:t>
            </w:r>
            <w:r w:rsidR="00A434D5">
              <w:rPr>
                <w:rFonts w:ascii="Times New Roman" w:hAnsi="Times New Roman"/>
                <w:sz w:val="20"/>
                <w:szCs w:val="20"/>
              </w:rPr>
              <w:t xml:space="preserve">Final Exam </w:t>
            </w:r>
            <w:r>
              <w:rPr>
                <w:rFonts w:ascii="Times New Roman" w:hAnsi="Times New Roman"/>
                <w:sz w:val="20"/>
                <w:szCs w:val="20"/>
              </w:rPr>
              <w:t>Items</w:t>
            </w:r>
          </w:p>
        </w:tc>
        <w:tc>
          <w:tcPr>
            <w:tcW w:w="2247" w:type="dxa"/>
          </w:tcPr>
          <w:p w14:paraId="732D10FE" w14:textId="3B233BA5" w:rsidR="00A434D5" w:rsidRDefault="00A434D5" w:rsidP="00A434D5">
            <w:pPr>
              <w:spacing w:after="0" w:line="240" w:lineRule="auto"/>
              <w:jc w:val="center"/>
              <w:rPr>
                <w:rFonts w:ascii="Times New Roman" w:hAnsi="Times New Roman"/>
                <w:sz w:val="20"/>
                <w:szCs w:val="20"/>
              </w:rPr>
            </w:pPr>
            <w:r>
              <w:rPr>
                <w:rFonts w:ascii="Times New Roman" w:hAnsi="Times New Roman"/>
                <w:sz w:val="20"/>
                <w:szCs w:val="20"/>
              </w:rPr>
              <w:t>65</w:t>
            </w:r>
            <w:r w:rsidR="009055F7">
              <w:rPr>
                <w:rFonts w:ascii="Times New Roman" w:hAnsi="Times New Roman"/>
                <w:sz w:val="20"/>
                <w:szCs w:val="20"/>
              </w:rPr>
              <w:t xml:space="preserve"> items</w:t>
            </w:r>
          </w:p>
        </w:tc>
        <w:tc>
          <w:tcPr>
            <w:tcW w:w="2248" w:type="dxa"/>
          </w:tcPr>
          <w:p w14:paraId="22F1CB46" w14:textId="2CA9EF66" w:rsidR="00A434D5" w:rsidRDefault="00A434D5" w:rsidP="00A434D5">
            <w:pPr>
              <w:spacing w:after="0" w:line="240" w:lineRule="auto"/>
              <w:jc w:val="center"/>
              <w:rPr>
                <w:rFonts w:ascii="Times New Roman" w:hAnsi="Times New Roman"/>
                <w:sz w:val="20"/>
                <w:szCs w:val="20"/>
              </w:rPr>
            </w:pPr>
            <w:r>
              <w:rPr>
                <w:rFonts w:ascii="Times New Roman" w:hAnsi="Times New Roman"/>
                <w:sz w:val="20"/>
                <w:szCs w:val="20"/>
              </w:rPr>
              <w:t>50</w:t>
            </w:r>
            <w:r w:rsidR="009055F7">
              <w:rPr>
                <w:rFonts w:ascii="Times New Roman" w:hAnsi="Times New Roman"/>
                <w:sz w:val="20"/>
                <w:szCs w:val="20"/>
              </w:rPr>
              <w:t xml:space="preserve"> items</w:t>
            </w:r>
          </w:p>
        </w:tc>
      </w:tr>
      <w:tr w:rsidR="00A434D5" w14:paraId="44D99916" w14:textId="77777777" w:rsidTr="00C526EA">
        <w:tc>
          <w:tcPr>
            <w:tcW w:w="8455" w:type="dxa"/>
          </w:tcPr>
          <w:p w14:paraId="7298C622" w14:textId="12C859B7" w:rsidR="00A434D5" w:rsidRDefault="00C76E0C" w:rsidP="00CA2D8C">
            <w:pPr>
              <w:spacing w:after="0" w:line="240" w:lineRule="auto"/>
              <w:ind w:left="338"/>
              <w:rPr>
                <w:rFonts w:ascii="Times New Roman" w:hAnsi="Times New Roman"/>
                <w:sz w:val="20"/>
                <w:szCs w:val="20"/>
              </w:rPr>
            </w:pPr>
            <w:r>
              <w:rPr>
                <w:rFonts w:ascii="Times New Roman" w:hAnsi="Times New Roman"/>
                <w:sz w:val="20"/>
                <w:szCs w:val="20"/>
              </w:rPr>
              <w:t xml:space="preserve">Items </w:t>
            </w:r>
            <w:r w:rsidR="00A434D5">
              <w:rPr>
                <w:rFonts w:ascii="Times New Roman" w:hAnsi="Times New Roman"/>
                <w:sz w:val="20"/>
                <w:szCs w:val="20"/>
              </w:rPr>
              <w:t xml:space="preserve">Related to GE </w:t>
            </w:r>
            <w:r w:rsidR="00CA2D8C">
              <w:rPr>
                <w:rFonts w:ascii="Times New Roman" w:hAnsi="Times New Roman"/>
                <w:sz w:val="20"/>
                <w:szCs w:val="20"/>
              </w:rPr>
              <w:t>D</w:t>
            </w:r>
            <w:r w:rsidR="003F1034">
              <w:rPr>
                <w:rFonts w:ascii="Times New Roman" w:hAnsi="Times New Roman"/>
                <w:sz w:val="20"/>
                <w:szCs w:val="20"/>
              </w:rPr>
              <w:t>1 #</w:t>
            </w:r>
            <w:r w:rsidR="00A434D5">
              <w:rPr>
                <w:rFonts w:ascii="Times New Roman" w:hAnsi="Times New Roman"/>
                <w:sz w:val="20"/>
                <w:szCs w:val="20"/>
              </w:rPr>
              <w:t>4</w:t>
            </w:r>
            <w:r w:rsidR="009055F7">
              <w:rPr>
                <w:rFonts w:ascii="Times New Roman" w:hAnsi="Times New Roman"/>
                <w:sz w:val="20"/>
                <w:szCs w:val="20"/>
              </w:rPr>
              <w:t xml:space="preserve"> </w:t>
            </w:r>
          </w:p>
        </w:tc>
        <w:tc>
          <w:tcPr>
            <w:tcW w:w="2247" w:type="dxa"/>
          </w:tcPr>
          <w:p w14:paraId="69F60E32" w14:textId="56BF5838" w:rsidR="00A434D5" w:rsidRDefault="00C76E0C" w:rsidP="00A434D5">
            <w:pPr>
              <w:spacing w:after="0" w:line="240" w:lineRule="auto"/>
              <w:jc w:val="center"/>
              <w:rPr>
                <w:rFonts w:ascii="Times New Roman" w:hAnsi="Times New Roman"/>
                <w:sz w:val="20"/>
                <w:szCs w:val="20"/>
              </w:rPr>
            </w:pPr>
            <w:r>
              <w:rPr>
                <w:rFonts w:ascii="Times New Roman" w:hAnsi="Times New Roman"/>
                <w:sz w:val="20"/>
                <w:szCs w:val="20"/>
              </w:rPr>
              <w:t>30</w:t>
            </w:r>
            <w:r w:rsidR="009055F7">
              <w:rPr>
                <w:rFonts w:ascii="Times New Roman" w:hAnsi="Times New Roman"/>
                <w:sz w:val="20"/>
                <w:szCs w:val="20"/>
              </w:rPr>
              <w:t xml:space="preserve"> items (46%)</w:t>
            </w:r>
          </w:p>
        </w:tc>
        <w:tc>
          <w:tcPr>
            <w:tcW w:w="2248" w:type="dxa"/>
          </w:tcPr>
          <w:p w14:paraId="1F8B7A25" w14:textId="1C8F76FD" w:rsidR="00A434D5" w:rsidRDefault="00A434D5" w:rsidP="00A434D5">
            <w:pPr>
              <w:spacing w:after="0" w:line="240" w:lineRule="auto"/>
              <w:jc w:val="center"/>
              <w:rPr>
                <w:rFonts w:ascii="Times New Roman" w:hAnsi="Times New Roman"/>
                <w:sz w:val="20"/>
                <w:szCs w:val="20"/>
              </w:rPr>
            </w:pPr>
            <w:r>
              <w:rPr>
                <w:rFonts w:ascii="Times New Roman" w:hAnsi="Times New Roman"/>
                <w:sz w:val="20"/>
                <w:szCs w:val="20"/>
              </w:rPr>
              <w:t>15</w:t>
            </w:r>
            <w:r w:rsidR="009055F7">
              <w:rPr>
                <w:rFonts w:ascii="Times New Roman" w:hAnsi="Times New Roman"/>
                <w:sz w:val="20"/>
                <w:szCs w:val="20"/>
              </w:rPr>
              <w:t xml:space="preserve"> items (30%)</w:t>
            </w:r>
          </w:p>
        </w:tc>
      </w:tr>
      <w:tr w:rsidR="00C526EA" w14:paraId="14328DFF" w14:textId="77777777" w:rsidTr="00C526EA">
        <w:tc>
          <w:tcPr>
            <w:tcW w:w="8455" w:type="dxa"/>
          </w:tcPr>
          <w:p w14:paraId="3C050326" w14:textId="75C58CF6" w:rsidR="00C526EA" w:rsidRDefault="00C526EA" w:rsidP="009055F7">
            <w:pPr>
              <w:spacing w:after="0" w:line="240" w:lineRule="auto"/>
              <w:ind w:left="338"/>
              <w:rPr>
                <w:rFonts w:ascii="Times New Roman" w:hAnsi="Times New Roman"/>
                <w:sz w:val="20"/>
                <w:szCs w:val="20"/>
              </w:rPr>
            </w:pPr>
            <w:r>
              <w:rPr>
                <w:rFonts w:ascii="Times New Roman" w:hAnsi="Times New Roman"/>
                <w:sz w:val="20"/>
                <w:szCs w:val="20"/>
              </w:rPr>
              <w:t xml:space="preserve">Average % of Correct Responses to </w:t>
            </w:r>
            <w:r w:rsidR="009055F7">
              <w:rPr>
                <w:rFonts w:ascii="Times New Roman" w:hAnsi="Times New Roman"/>
                <w:sz w:val="20"/>
                <w:szCs w:val="20"/>
              </w:rPr>
              <w:t>Items</w:t>
            </w:r>
            <w:r>
              <w:rPr>
                <w:rFonts w:ascii="Times New Roman" w:hAnsi="Times New Roman"/>
                <w:sz w:val="20"/>
                <w:szCs w:val="20"/>
              </w:rPr>
              <w:t xml:space="preserve"> Related to GE </w:t>
            </w:r>
            <w:r w:rsidR="00CA2D8C">
              <w:rPr>
                <w:rFonts w:ascii="Times New Roman" w:hAnsi="Times New Roman"/>
                <w:sz w:val="20"/>
                <w:szCs w:val="20"/>
              </w:rPr>
              <w:t>D</w:t>
            </w:r>
            <w:r w:rsidR="003F1034">
              <w:rPr>
                <w:rFonts w:ascii="Times New Roman" w:hAnsi="Times New Roman"/>
                <w:sz w:val="20"/>
                <w:szCs w:val="20"/>
              </w:rPr>
              <w:t>1 #</w:t>
            </w:r>
            <w:r>
              <w:rPr>
                <w:rFonts w:ascii="Times New Roman" w:hAnsi="Times New Roman"/>
                <w:sz w:val="20"/>
                <w:szCs w:val="20"/>
              </w:rPr>
              <w:t>4</w:t>
            </w:r>
          </w:p>
        </w:tc>
        <w:tc>
          <w:tcPr>
            <w:tcW w:w="2247" w:type="dxa"/>
          </w:tcPr>
          <w:p w14:paraId="27569070" w14:textId="3F82B439" w:rsidR="00C526EA" w:rsidRDefault="00C76E0C" w:rsidP="00A434D5">
            <w:pPr>
              <w:spacing w:after="0" w:line="240" w:lineRule="auto"/>
              <w:jc w:val="center"/>
              <w:rPr>
                <w:rFonts w:ascii="Times New Roman" w:hAnsi="Times New Roman"/>
                <w:sz w:val="20"/>
                <w:szCs w:val="20"/>
              </w:rPr>
            </w:pPr>
            <w:r>
              <w:rPr>
                <w:rFonts w:ascii="Times New Roman" w:hAnsi="Times New Roman"/>
                <w:sz w:val="20"/>
                <w:szCs w:val="20"/>
              </w:rPr>
              <w:t>90</w:t>
            </w:r>
            <w:r w:rsidR="00814972">
              <w:rPr>
                <w:rFonts w:ascii="Times New Roman" w:hAnsi="Times New Roman"/>
                <w:sz w:val="20"/>
                <w:szCs w:val="20"/>
              </w:rPr>
              <w:t>%</w:t>
            </w:r>
          </w:p>
        </w:tc>
        <w:tc>
          <w:tcPr>
            <w:tcW w:w="2248" w:type="dxa"/>
          </w:tcPr>
          <w:p w14:paraId="3EEFE50A" w14:textId="77777777" w:rsidR="00C526EA" w:rsidRDefault="00C526EA" w:rsidP="00A434D5">
            <w:pPr>
              <w:spacing w:after="0" w:line="240" w:lineRule="auto"/>
              <w:jc w:val="center"/>
              <w:rPr>
                <w:rFonts w:ascii="Times New Roman" w:hAnsi="Times New Roman"/>
                <w:sz w:val="20"/>
                <w:szCs w:val="20"/>
              </w:rPr>
            </w:pPr>
            <w:r>
              <w:rPr>
                <w:rFonts w:ascii="Times New Roman" w:hAnsi="Times New Roman"/>
                <w:sz w:val="20"/>
                <w:szCs w:val="20"/>
              </w:rPr>
              <w:t>81%</w:t>
            </w:r>
          </w:p>
        </w:tc>
      </w:tr>
      <w:tr w:rsidR="00C526EA" w14:paraId="0E7594E7" w14:textId="77777777" w:rsidTr="00C526EA">
        <w:tc>
          <w:tcPr>
            <w:tcW w:w="8455" w:type="dxa"/>
          </w:tcPr>
          <w:p w14:paraId="727E2F8C" w14:textId="262673E8" w:rsidR="00C526EA" w:rsidRDefault="00C526EA" w:rsidP="009055F7">
            <w:pPr>
              <w:spacing w:after="0" w:line="240" w:lineRule="auto"/>
              <w:ind w:left="338"/>
              <w:rPr>
                <w:rFonts w:ascii="Times New Roman" w:hAnsi="Times New Roman"/>
                <w:sz w:val="20"/>
                <w:szCs w:val="20"/>
              </w:rPr>
            </w:pPr>
            <w:r>
              <w:rPr>
                <w:rFonts w:ascii="Times New Roman" w:hAnsi="Times New Roman"/>
                <w:sz w:val="20"/>
                <w:szCs w:val="20"/>
              </w:rPr>
              <w:t xml:space="preserve">Average % of Correct Responses to </w:t>
            </w:r>
            <w:r w:rsidR="009055F7">
              <w:rPr>
                <w:rFonts w:ascii="Times New Roman" w:hAnsi="Times New Roman"/>
                <w:sz w:val="20"/>
                <w:szCs w:val="20"/>
              </w:rPr>
              <w:t>Items</w:t>
            </w:r>
            <w:r>
              <w:rPr>
                <w:rFonts w:ascii="Times New Roman" w:hAnsi="Times New Roman"/>
                <w:sz w:val="20"/>
                <w:szCs w:val="20"/>
              </w:rPr>
              <w:t xml:space="preserve"> NOT Related to GE </w:t>
            </w:r>
            <w:r w:rsidR="00CA2D8C">
              <w:rPr>
                <w:rFonts w:ascii="Times New Roman" w:hAnsi="Times New Roman"/>
                <w:sz w:val="20"/>
                <w:szCs w:val="20"/>
              </w:rPr>
              <w:t>D</w:t>
            </w:r>
            <w:r w:rsidR="003F1034">
              <w:rPr>
                <w:rFonts w:ascii="Times New Roman" w:hAnsi="Times New Roman"/>
                <w:sz w:val="20"/>
                <w:szCs w:val="20"/>
              </w:rPr>
              <w:t>1 #</w:t>
            </w:r>
            <w:r>
              <w:rPr>
                <w:rFonts w:ascii="Times New Roman" w:hAnsi="Times New Roman"/>
                <w:sz w:val="20"/>
                <w:szCs w:val="20"/>
              </w:rPr>
              <w:t>4</w:t>
            </w:r>
          </w:p>
        </w:tc>
        <w:tc>
          <w:tcPr>
            <w:tcW w:w="2247" w:type="dxa"/>
          </w:tcPr>
          <w:p w14:paraId="6DF30BBD" w14:textId="1394515A" w:rsidR="00C526EA" w:rsidRDefault="00C76E0C" w:rsidP="00A434D5">
            <w:pPr>
              <w:spacing w:after="0" w:line="240" w:lineRule="auto"/>
              <w:jc w:val="center"/>
              <w:rPr>
                <w:rFonts w:ascii="Times New Roman" w:hAnsi="Times New Roman"/>
                <w:sz w:val="20"/>
                <w:szCs w:val="20"/>
              </w:rPr>
            </w:pPr>
            <w:r>
              <w:rPr>
                <w:rFonts w:ascii="Times New Roman" w:hAnsi="Times New Roman"/>
                <w:sz w:val="20"/>
                <w:szCs w:val="20"/>
              </w:rPr>
              <w:t>89</w:t>
            </w:r>
            <w:r w:rsidR="00814972">
              <w:rPr>
                <w:rFonts w:ascii="Times New Roman" w:hAnsi="Times New Roman"/>
                <w:sz w:val="20"/>
                <w:szCs w:val="20"/>
              </w:rPr>
              <w:t>%</w:t>
            </w:r>
          </w:p>
        </w:tc>
        <w:tc>
          <w:tcPr>
            <w:tcW w:w="2248" w:type="dxa"/>
          </w:tcPr>
          <w:p w14:paraId="2016317F" w14:textId="77777777" w:rsidR="00C526EA" w:rsidRDefault="00C526EA" w:rsidP="00A434D5">
            <w:pPr>
              <w:spacing w:after="0" w:line="240" w:lineRule="auto"/>
              <w:jc w:val="center"/>
              <w:rPr>
                <w:rFonts w:ascii="Times New Roman" w:hAnsi="Times New Roman"/>
                <w:sz w:val="20"/>
                <w:szCs w:val="20"/>
              </w:rPr>
            </w:pPr>
            <w:r>
              <w:rPr>
                <w:rFonts w:ascii="Times New Roman" w:hAnsi="Times New Roman"/>
                <w:sz w:val="20"/>
                <w:szCs w:val="20"/>
              </w:rPr>
              <w:t>85%</w:t>
            </w:r>
          </w:p>
        </w:tc>
      </w:tr>
      <w:tr w:rsidR="00814972" w14:paraId="1169FA64" w14:textId="77777777" w:rsidTr="00C526EA">
        <w:tc>
          <w:tcPr>
            <w:tcW w:w="8455" w:type="dxa"/>
          </w:tcPr>
          <w:p w14:paraId="4FDE2B7F" w14:textId="2C778596" w:rsidR="00814972" w:rsidRDefault="00B8639D" w:rsidP="00B8639D">
            <w:pPr>
              <w:spacing w:after="0" w:line="240" w:lineRule="auto"/>
              <w:ind w:left="338"/>
              <w:rPr>
                <w:rFonts w:ascii="Times New Roman" w:hAnsi="Times New Roman"/>
                <w:sz w:val="20"/>
                <w:szCs w:val="20"/>
              </w:rPr>
            </w:pPr>
            <w:r>
              <w:rPr>
                <w:rFonts w:ascii="Times New Roman" w:hAnsi="Times New Roman"/>
                <w:sz w:val="20"/>
                <w:szCs w:val="20"/>
              </w:rPr>
              <w:t>T</w:t>
            </w:r>
            <w:r w:rsidR="00814972">
              <w:rPr>
                <w:rFonts w:ascii="Times New Roman" w:hAnsi="Times New Roman"/>
                <w:sz w:val="20"/>
                <w:szCs w:val="20"/>
              </w:rPr>
              <w:t>-test</w:t>
            </w:r>
            <w:r>
              <w:rPr>
                <w:rFonts w:ascii="Times New Roman" w:hAnsi="Times New Roman"/>
                <w:sz w:val="20"/>
                <w:szCs w:val="20"/>
              </w:rPr>
              <w:t xml:space="preserve"> C</w:t>
            </w:r>
            <w:r w:rsidR="00E804C1">
              <w:rPr>
                <w:rFonts w:ascii="Times New Roman" w:hAnsi="Times New Roman"/>
                <w:sz w:val="20"/>
                <w:szCs w:val="20"/>
              </w:rPr>
              <w:t>omparing GE D1</w:t>
            </w:r>
            <w:r>
              <w:rPr>
                <w:rFonts w:ascii="Times New Roman" w:hAnsi="Times New Roman"/>
                <w:sz w:val="20"/>
                <w:szCs w:val="20"/>
              </w:rPr>
              <w:t xml:space="preserve"> Items to Non-GE D1 Items</w:t>
            </w:r>
          </w:p>
        </w:tc>
        <w:tc>
          <w:tcPr>
            <w:tcW w:w="2247" w:type="dxa"/>
          </w:tcPr>
          <w:p w14:paraId="19378F37" w14:textId="116BCB68" w:rsidR="00814972" w:rsidRDefault="00814972" w:rsidP="00B8639D">
            <w:pPr>
              <w:spacing w:after="0" w:line="240" w:lineRule="auto"/>
              <w:jc w:val="center"/>
              <w:rPr>
                <w:rFonts w:ascii="Times New Roman" w:hAnsi="Times New Roman"/>
                <w:sz w:val="20"/>
                <w:szCs w:val="20"/>
              </w:rPr>
            </w:pPr>
            <w:r w:rsidRPr="00E93962">
              <w:rPr>
                <w:rFonts w:ascii="Times New Roman" w:hAnsi="Times New Roman"/>
                <w:i/>
                <w:sz w:val="20"/>
                <w:szCs w:val="20"/>
              </w:rPr>
              <w:t>t</w:t>
            </w:r>
            <w:r>
              <w:rPr>
                <w:rFonts w:ascii="Times New Roman" w:hAnsi="Times New Roman"/>
                <w:sz w:val="20"/>
                <w:szCs w:val="20"/>
              </w:rPr>
              <w:t>(</w:t>
            </w:r>
            <w:r w:rsidR="00E93962">
              <w:rPr>
                <w:rFonts w:ascii="Times New Roman" w:hAnsi="Times New Roman"/>
                <w:sz w:val="20"/>
                <w:szCs w:val="20"/>
              </w:rPr>
              <w:t>6</w:t>
            </w:r>
            <w:r w:rsidR="00B8639D">
              <w:rPr>
                <w:rFonts w:ascii="Times New Roman" w:hAnsi="Times New Roman"/>
                <w:sz w:val="20"/>
                <w:szCs w:val="20"/>
              </w:rPr>
              <w:t>2) = -.01</w:t>
            </w:r>
            <w:r w:rsidR="00E93962">
              <w:rPr>
                <w:rFonts w:ascii="Times New Roman" w:hAnsi="Times New Roman"/>
                <w:sz w:val="20"/>
                <w:szCs w:val="20"/>
              </w:rPr>
              <w:t xml:space="preserve">, </w:t>
            </w:r>
            <w:r w:rsidR="00E93962" w:rsidRPr="00E93962">
              <w:rPr>
                <w:rFonts w:ascii="Times New Roman" w:hAnsi="Times New Roman"/>
                <w:i/>
                <w:sz w:val="20"/>
                <w:szCs w:val="20"/>
              </w:rPr>
              <w:t>p</w:t>
            </w:r>
            <w:r w:rsidR="00E93962">
              <w:rPr>
                <w:rFonts w:ascii="Times New Roman" w:hAnsi="Times New Roman"/>
                <w:sz w:val="20"/>
                <w:szCs w:val="20"/>
              </w:rPr>
              <w:t xml:space="preserve"> = .</w:t>
            </w:r>
            <w:r w:rsidR="00B8639D">
              <w:rPr>
                <w:rFonts w:ascii="Times New Roman" w:hAnsi="Times New Roman"/>
                <w:sz w:val="20"/>
                <w:szCs w:val="20"/>
              </w:rPr>
              <w:t>993</w:t>
            </w:r>
          </w:p>
        </w:tc>
        <w:tc>
          <w:tcPr>
            <w:tcW w:w="2248" w:type="dxa"/>
          </w:tcPr>
          <w:p w14:paraId="037DEFED" w14:textId="77777777" w:rsidR="00814972" w:rsidRDefault="00E93962" w:rsidP="00A434D5">
            <w:pPr>
              <w:spacing w:after="0" w:line="240" w:lineRule="auto"/>
              <w:jc w:val="center"/>
              <w:rPr>
                <w:rFonts w:ascii="Times New Roman" w:hAnsi="Times New Roman"/>
                <w:sz w:val="20"/>
                <w:szCs w:val="20"/>
              </w:rPr>
            </w:pPr>
            <w:r w:rsidRPr="00E93962">
              <w:rPr>
                <w:rFonts w:ascii="Times New Roman" w:hAnsi="Times New Roman"/>
                <w:i/>
                <w:sz w:val="20"/>
                <w:szCs w:val="20"/>
              </w:rPr>
              <w:t>t</w:t>
            </w:r>
            <w:r>
              <w:rPr>
                <w:rFonts w:ascii="Times New Roman" w:hAnsi="Times New Roman"/>
                <w:sz w:val="20"/>
                <w:szCs w:val="20"/>
              </w:rPr>
              <w:t xml:space="preserve">(48) = .70, </w:t>
            </w:r>
            <w:r w:rsidRPr="00E93962">
              <w:rPr>
                <w:rFonts w:ascii="Times New Roman" w:hAnsi="Times New Roman"/>
                <w:i/>
                <w:sz w:val="20"/>
                <w:szCs w:val="20"/>
              </w:rPr>
              <w:t>p</w:t>
            </w:r>
            <w:r>
              <w:rPr>
                <w:rFonts w:ascii="Times New Roman" w:hAnsi="Times New Roman"/>
                <w:sz w:val="20"/>
                <w:szCs w:val="20"/>
              </w:rPr>
              <w:t xml:space="preserve"> = .488</w:t>
            </w:r>
          </w:p>
        </w:tc>
      </w:tr>
      <w:tr w:rsidR="00A434D5" w14:paraId="4E525E02" w14:textId="77777777" w:rsidTr="00C526EA">
        <w:tc>
          <w:tcPr>
            <w:tcW w:w="8455" w:type="dxa"/>
          </w:tcPr>
          <w:p w14:paraId="29B79703" w14:textId="77777777" w:rsidR="00A434D5" w:rsidRDefault="005B0227" w:rsidP="00A45662">
            <w:pPr>
              <w:spacing w:after="0" w:line="240" w:lineRule="auto"/>
              <w:rPr>
                <w:rFonts w:ascii="Times New Roman" w:hAnsi="Times New Roman"/>
                <w:sz w:val="20"/>
                <w:szCs w:val="20"/>
              </w:rPr>
            </w:pPr>
            <w:r>
              <w:rPr>
                <w:rFonts w:ascii="Times New Roman" w:hAnsi="Times New Roman"/>
                <w:sz w:val="20"/>
                <w:szCs w:val="20"/>
              </w:rPr>
              <w:t>Social Issue Categories</w:t>
            </w:r>
          </w:p>
        </w:tc>
        <w:tc>
          <w:tcPr>
            <w:tcW w:w="2247" w:type="dxa"/>
          </w:tcPr>
          <w:p w14:paraId="032908EA" w14:textId="77777777" w:rsidR="00A434D5" w:rsidRDefault="00A434D5" w:rsidP="00A434D5">
            <w:pPr>
              <w:spacing w:after="0" w:line="240" w:lineRule="auto"/>
              <w:jc w:val="center"/>
              <w:rPr>
                <w:rFonts w:ascii="Times New Roman" w:hAnsi="Times New Roman"/>
                <w:sz w:val="20"/>
                <w:szCs w:val="20"/>
              </w:rPr>
            </w:pPr>
          </w:p>
        </w:tc>
        <w:tc>
          <w:tcPr>
            <w:tcW w:w="2248" w:type="dxa"/>
          </w:tcPr>
          <w:p w14:paraId="58479CAC" w14:textId="77777777" w:rsidR="00A434D5" w:rsidRDefault="00A434D5" w:rsidP="00A434D5">
            <w:pPr>
              <w:spacing w:after="0" w:line="240" w:lineRule="auto"/>
              <w:jc w:val="center"/>
              <w:rPr>
                <w:rFonts w:ascii="Times New Roman" w:hAnsi="Times New Roman"/>
                <w:sz w:val="20"/>
                <w:szCs w:val="20"/>
              </w:rPr>
            </w:pPr>
          </w:p>
        </w:tc>
      </w:tr>
      <w:tr w:rsidR="00A434D5" w14:paraId="3AE4BCCB" w14:textId="77777777" w:rsidTr="00C526EA">
        <w:tc>
          <w:tcPr>
            <w:tcW w:w="8455" w:type="dxa"/>
          </w:tcPr>
          <w:p w14:paraId="48ED564E" w14:textId="77777777" w:rsidR="00A434D5" w:rsidRDefault="005B0227" w:rsidP="00C526EA">
            <w:pPr>
              <w:spacing w:after="0" w:line="240" w:lineRule="auto"/>
              <w:ind w:left="338"/>
              <w:rPr>
                <w:rFonts w:ascii="Times New Roman" w:hAnsi="Times New Roman"/>
                <w:sz w:val="20"/>
                <w:szCs w:val="20"/>
              </w:rPr>
            </w:pPr>
            <w:r>
              <w:rPr>
                <w:rFonts w:ascii="Times New Roman" w:hAnsi="Times New Roman"/>
                <w:sz w:val="20"/>
                <w:szCs w:val="20"/>
              </w:rPr>
              <w:t># Items Public Health</w:t>
            </w:r>
          </w:p>
        </w:tc>
        <w:tc>
          <w:tcPr>
            <w:tcW w:w="2247" w:type="dxa"/>
          </w:tcPr>
          <w:p w14:paraId="5414D789" w14:textId="7A3C58D0" w:rsidR="00A434D5"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18</w:t>
            </w:r>
            <w:r w:rsidR="009055F7">
              <w:rPr>
                <w:rFonts w:ascii="Times New Roman" w:hAnsi="Times New Roman"/>
                <w:sz w:val="20"/>
                <w:szCs w:val="20"/>
              </w:rPr>
              <w:t xml:space="preserve"> items</w:t>
            </w:r>
          </w:p>
        </w:tc>
        <w:tc>
          <w:tcPr>
            <w:tcW w:w="2248" w:type="dxa"/>
          </w:tcPr>
          <w:p w14:paraId="3E9D7D82" w14:textId="6479C12E" w:rsidR="00A434D5"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6</w:t>
            </w:r>
            <w:r w:rsidR="009055F7">
              <w:rPr>
                <w:rFonts w:ascii="Times New Roman" w:hAnsi="Times New Roman"/>
                <w:sz w:val="20"/>
                <w:szCs w:val="20"/>
              </w:rPr>
              <w:t xml:space="preserve"> items</w:t>
            </w:r>
          </w:p>
        </w:tc>
      </w:tr>
      <w:tr w:rsidR="00A434D5" w14:paraId="2F7E044E" w14:textId="77777777" w:rsidTr="00C526EA">
        <w:tc>
          <w:tcPr>
            <w:tcW w:w="8455" w:type="dxa"/>
          </w:tcPr>
          <w:p w14:paraId="742B860B" w14:textId="65AE4766" w:rsidR="00A434D5" w:rsidRDefault="005B0227" w:rsidP="005B0227">
            <w:pPr>
              <w:spacing w:after="0" w:line="240" w:lineRule="auto"/>
              <w:ind w:left="338"/>
              <w:rPr>
                <w:rFonts w:ascii="Times New Roman" w:hAnsi="Times New Roman"/>
                <w:sz w:val="20"/>
                <w:szCs w:val="20"/>
              </w:rPr>
            </w:pPr>
            <w:r>
              <w:rPr>
                <w:rFonts w:ascii="Times New Roman" w:hAnsi="Times New Roman"/>
                <w:sz w:val="20"/>
                <w:szCs w:val="20"/>
              </w:rPr>
              <w:t># Items Economic and Social I</w:t>
            </w:r>
            <w:r w:rsidR="002E0F8D">
              <w:rPr>
                <w:rFonts w:ascii="Times New Roman" w:hAnsi="Times New Roman"/>
                <w:sz w:val="20"/>
                <w:szCs w:val="20"/>
              </w:rPr>
              <w:t xml:space="preserve">nequality </w:t>
            </w:r>
          </w:p>
        </w:tc>
        <w:tc>
          <w:tcPr>
            <w:tcW w:w="2247" w:type="dxa"/>
          </w:tcPr>
          <w:p w14:paraId="44C24D15" w14:textId="78C19CD0" w:rsidR="00A434D5"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0</w:t>
            </w:r>
            <w:r w:rsidR="009055F7">
              <w:rPr>
                <w:rFonts w:ascii="Times New Roman" w:hAnsi="Times New Roman"/>
                <w:sz w:val="20"/>
                <w:szCs w:val="20"/>
              </w:rPr>
              <w:t xml:space="preserve"> items</w:t>
            </w:r>
          </w:p>
        </w:tc>
        <w:tc>
          <w:tcPr>
            <w:tcW w:w="2248" w:type="dxa"/>
          </w:tcPr>
          <w:p w14:paraId="6D13E67C" w14:textId="671E19A3" w:rsidR="00A434D5"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2</w:t>
            </w:r>
            <w:r w:rsidR="009055F7">
              <w:rPr>
                <w:rFonts w:ascii="Times New Roman" w:hAnsi="Times New Roman"/>
                <w:sz w:val="20"/>
                <w:szCs w:val="20"/>
              </w:rPr>
              <w:t xml:space="preserve"> items</w:t>
            </w:r>
          </w:p>
        </w:tc>
      </w:tr>
      <w:tr w:rsidR="00C526EA" w14:paraId="039B02F6" w14:textId="77777777" w:rsidTr="00C526EA">
        <w:tc>
          <w:tcPr>
            <w:tcW w:w="8455" w:type="dxa"/>
          </w:tcPr>
          <w:p w14:paraId="1077F57D" w14:textId="77777777" w:rsidR="00C526EA" w:rsidRDefault="005B0227" w:rsidP="00C526EA">
            <w:pPr>
              <w:spacing w:after="0" w:line="240" w:lineRule="auto"/>
              <w:ind w:left="338"/>
              <w:rPr>
                <w:rFonts w:ascii="Times New Roman" w:hAnsi="Times New Roman"/>
                <w:sz w:val="20"/>
                <w:szCs w:val="20"/>
              </w:rPr>
            </w:pPr>
            <w:r>
              <w:rPr>
                <w:rFonts w:ascii="Times New Roman" w:hAnsi="Times New Roman"/>
                <w:sz w:val="20"/>
                <w:szCs w:val="20"/>
              </w:rPr>
              <w:t># Items Parents and Parenting</w:t>
            </w:r>
          </w:p>
        </w:tc>
        <w:tc>
          <w:tcPr>
            <w:tcW w:w="2247" w:type="dxa"/>
          </w:tcPr>
          <w:p w14:paraId="65116505" w14:textId="58F0CE14" w:rsidR="00C526EA"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8</w:t>
            </w:r>
            <w:r w:rsidR="009055F7">
              <w:rPr>
                <w:rFonts w:ascii="Times New Roman" w:hAnsi="Times New Roman"/>
                <w:sz w:val="20"/>
                <w:szCs w:val="20"/>
              </w:rPr>
              <w:t xml:space="preserve"> items</w:t>
            </w:r>
          </w:p>
        </w:tc>
        <w:tc>
          <w:tcPr>
            <w:tcW w:w="2248" w:type="dxa"/>
          </w:tcPr>
          <w:p w14:paraId="675D5BE3" w14:textId="3556D222" w:rsidR="00C526EA"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7</w:t>
            </w:r>
            <w:r w:rsidR="009055F7">
              <w:rPr>
                <w:rFonts w:ascii="Times New Roman" w:hAnsi="Times New Roman"/>
                <w:sz w:val="20"/>
                <w:szCs w:val="20"/>
              </w:rPr>
              <w:t xml:space="preserve"> items</w:t>
            </w:r>
          </w:p>
        </w:tc>
      </w:tr>
      <w:tr w:rsidR="005B0227" w14:paraId="03A34EC3" w14:textId="77777777" w:rsidTr="00C526EA">
        <w:tc>
          <w:tcPr>
            <w:tcW w:w="8455" w:type="dxa"/>
          </w:tcPr>
          <w:p w14:paraId="6CCD55A1" w14:textId="77777777" w:rsidR="005B0227" w:rsidRDefault="005B0227" w:rsidP="005B0227">
            <w:pPr>
              <w:spacing w:after="0" w:line="240" w:lineRule="auto"/>
              <w:ind w:left="338"/>
              <w:rPr>
                <w:rFonts w:ascii="Times New Roman" w:hAnsi="Times New Roman"/>
                <w:sz w:val="20"/>
                <w:szCs w:val="20"/>
              </w:rPr>
            </w:pPr>
            <w:r>
              <w:rPr>
                <w:rFonts w:ascii="Times New Roman" w:hAnsi="Times New Roman"/>
                <w:sz w:val="20"/>
                <w:szCs w:val="20"/>
              </w:rPr>
              <w:t># Items Education</w:t>
            </w:r>
          </w:p>
        </w:tc>
        <w:tc>
          <w:tcPr>
            <w:tcW w:w="2247" w:type="dxa"/>
          </w:tcPr>
          <w:p w14:paraId="1C5AFF85" w14:textId="7B0FBA6E" w:rsidR="005B0227"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4</w:t>
            </w:r>
            <w:r w:rsidR="009055F7">
              <w:rPr>
                <w:rFonts w:ascii="Times New Roman" w:hAnsi="Times New Roman"/>
                <w:sz w:val="20"/>
                <w:szCs w:val="20"/>
              </w:rPr>
              <w:t xml:space="preserve"> items</w:t>
            </w:r>
          </w:p>
        </w:tc>
        <w:tc>
          <w:tcPr>
            <w:tcW w:w="2248" w:type="dxa"/>
          </w:tcPr>
          <w:p w14:paraId="6A0958DF" w14:textId="5C719461" w:rsidR="005B0227" w:rsidRDefault="00C95964" w:rsidP="00A434D5">
            <w:pPr>
              <w:spacing w:after="0" w:line="240" w:lineRule="auto"/>
              <w:jc w:val="center"/>
              <w:rPr>
                <w:rFonts w:ascii="Times New Roman" w:hAnsi="Times New Roman"/>
                <w:sz w:val="20"/>
                <w:szCs w:val="20"/>
              </w:rPr>
            </w:pPr>
            <w:r>
              <w:rPr>
                <w:rFonts w:ascii="Times New Roman" w:hAnsi="Times New Roman"/>
                <w:sz w:val="20"/>
                <w:szCs w:val="20"/>
              </w:rPr>
              <w:t>0</w:t>
            </w:r>
            <w:r w:rsidR="009055F7">
              <w:rPr>
                <w:rFonts w:ascii="Times New Roman" w:hAnsi="Times New Roman"/>
                <w:sz w:val="20"/>
                <w:szCs w:val="20"/>
              </w:rPr>
              <w:t xml:space="preserve"> items</w:t>
            </w:r>
          </w:p>
        </w:tc>
      </w:tr>
      <w:tr w:rsidR="005B0227" w14:paraId="6E7DC3DD" w14:textId="77777777" w:rsidTr="00C526EA">
        <w:tc>
          <w:tcPr>
            <w:tcW w:w="8455" w:type="dxa"/>
          </w:tcPr>
          <w:p w14:paraId="2B1149F6" w14:textId="77777777" w:rsidR="005B0227" w:rsidRDefault="005B0227" w:rsidP="005B0227">
            <w:pPr>
              <w:spacing w:after="0" w:line="240" w:lineRule="auto"/>
              <w:ind w:left="338"/>
              <w:rPr>
                <w:rFonts w:ascii="Times New Roman" w:hAnsi="Times New Roman"/>
                <w:sz w:val="20"/>
                <w:szCs w:val="20"/>
              </w:rPr>
            </w:pPr>
            <w:r>
              <w:rPr>
                <w:rFonts w:ascii="Times New Roman" w:hAnsi="Times New Roman"/>
                <w:sz w:val="20"/>
                <w:szCs w:val="20"/>
              </w:rPr>
              <w:t>% Correct Items Related to Public Health</w:t>
            </w:r>
          </w:p>
        </w:tc>
        <w:tc>
          <w:tcPr>
            <w:tcW w:w="2247" w:type="dxa"/>
          </w:tcPr>
          <w:p w14:paraId="514F21E8" w14:textId="672AB820" w:rsidR="005B0227" w:rsidRDefault="0007692B" w:rsidP="002224F6">
            <w:pPr>
              <w:spacing w:after="0" w:line="240" w:lineRule="auto"/>
              <w:jc w:val="center"/>
              <w:rPr>
                <w:rFonts w:ascii="Times New Roman" w:hAnsi="Times New Roman"/>
                <w:sz w:val="20"/>
                <w:szCs w:val="20"/>
              </w:rPr>
            </w:pPr>
            <w:r>
              <w:rPr>
                <w:rFonts w:ascii="Times New Roman" w:hAnsi="Times New Roman"/>
                <w:sz w:val="20"/>
                <w:szCs w:val="20"/>
              </w:rPr>
              <w:t>87</w:t>
            </w:r>
            <w:r w:rsidR="00217ECB">
              <w:rPr>
                <w:rFonts w:ascii="Times New Roman" w:hAnsi="Times New Roman"/>
                <w:sz w:val="20"/>
                <w:szCs w:val="20"/>
              </w:rPr>
              <w:t>%</w:t>
            </w:r>
          </w:p>
        </w:tc>
        <w:tc>
          <w:tcPr>
            <w:tcW w:w="2248" w:type="dxa"/>
          </w:tcPr>
          <w:p w14:paraId="63D49C51" w14:textId="09F308B2" w:rsidR="005B0227" w:rsidRDefault="002224F6" w:rsidP="00A434D5">
            <w:pPr>
              <w:spacing w:after="0" w:line="240" w:lineRule="auto"/>
              <w:jc w:val="center"/>
              <w:rPr>
                <w:rFonts w:ascii="Times New Roman" w:hAnsi="Times New Roman"/>
                <w:sz w:val="20"/>
                <w:szCs w:val="20"/>
              </w:rPr>
            </w:pPr>
            <w:r>
              <w:rPr>
                <w:rFonts w:ascii="Times New Roman" w:hAnsi="Times New Roman"/>
                <w:sz w:val="20"/>
                <w:szCs w:val="20"/>
              </w:rPr>
              <w:t>92</w:t>
            </w:r>
            <w:r w:rsidR="00217ECB">
              <w:rPr>
                <w:rFonts w:ascii="Times New Roman" w:hAnsi="Times New Roman"/>
                <w:sz w:val="20"/>
                <w:szCs w:val="20"/>
              </w:rPr>
              <w:t>%</w:t>
            </w:r>
          </w:p>
        </w:tc>
      </w:tr>
      <w:tr w:rsidR="005B0227" w14:paraId="2DD6ED19" w14:textId="77777777" w:rsidTr="00C526EA">
        <w:tc>
          <w:tcPr>
            <w:tcW w:w="8455" w:type="dxa"/>
          </w:tcPr>
          <w:p w14:paraId="69CFD976" w14:textId="77777777" w:rsidR="005B0227" w:rsidRDefault="005B0227" w:rsidP="005B0227">
            <w:pPr>
              <w:spacing w:after="0" w:line="240" w:lineRule="auto"/>
              <w:ind w:left="338"/>
              <w:rPr>
                <w:rFonts w:ascii="Times New Roman" w:hAnsi="Times New Roman"/>
                <w:sz w:val="20"/>
                <w:szCs w:val="20"/>
              </w:rPr>
            </w:pPr>
            <w:r>
              <w:rPr>
                <w:rFonts w:ascii="Times New Roman" w:hAnsi="Times New Roman"/>
                <w:sz w:val="20"/>
                <w:szCs w:val="20"/>
              </w:rPr>
              <w:t xml:space="preserve">% Correct Items Related to Economic and Social Inequity </w:t>
            </w:r>
          </w:p>
        </w:tc>
        <w:tc>
          <w:tcPr>
            <w:tcW w:w="2247" w:type="dxa"/>
          </w:tcPr>
          <w:p w14:paraId="65D67E86" w14:textId="77777777" w:rsidR="005B0227" w:rsidRDefault="00217ECB" w:rsidP="00A434D5">
            <w:pPr>
              <w:spacing w:after="0" w:line="240" w:lineRule="auto"/>
              <w:jc w:val="center"/>
              <w:rPr>
                <w:rFonts w:ascii="Times New Roman" w:hAnsi="Times New Roman"/>
                <w:sz w:val="20"/>
                <w:szCs w:val="20"/>
              </w:rPr>
            </w:pPr>
            <w:r>
              <w:rPr>
                <w:rFonts w:ascii="Times New Roman" w:hAnsi="Times New Roman"/>
                <w:sz w:val="20"/>
                <w:szCs w:val="20"/>
              </w:rPr>
              <w:t>-</w:t>
            </w:r>
          </w:p>
        </w:tc>
        <w:tc>
          <w:tcPr>
            <w:tcW w:w="2248" w:type="dxa"/>
          </w:tcPr>
          <w:p w14:paraId="70C0C1C7" w14:textId="796EE437" w:rsidR="005B0227" w:rsidRDefault="002224F6" w:rsidP="00A434D5">
            <w:pPr>
              <w:spacing w:after="0" w:line="240" w:lineRule="auto"/>
              <w:jc w:val="center"/>
              <w:rPr>
                <w:rFonts w:ascii="Times New Roman" w:hAnsi="Times New Roman"/>
                <w:sz w:val="20"/>
                <w:szCs w:val="20"/>
              </w:rPr>
            </w:pPr>
            <w:r>
              <w:rPr>
                <w:rFonts w:ascii="Times New Roman" w:hAnsi="Times New Roman"/>
                <w:sz w:val="20"/>
                <w:szCs w:val="20"/>
              </w:rPr>
              <w:t>56</w:t>
            </w:r>
            <w:r w:rsidR="00217ECB">
              <w:rPr>
                <w:rFonts w:ascii="Times New Roman" w:hAnsi="Times New Roman"/>
                <w:sz w:val="20"/>
                <w:szCs w:val="20"/>
              </w:rPr>
              <w:t>%</w:t>
            </w:r>
          </w:p>
        </w:tc>
      </w:tr>
      <w:tr w:rsidR="005B0227" w14:paraId="4DBB52C7" w14:textId="77777777" w:rsidTr="00C526EA">
        <w:tc>
          <w:tcPr>
            <w:tcW w:w="8455" w:type="dxa"/>
          </w:tcPr>
          <w:p w14:paraId="2952B106" w14:textId="77777777" w:rsidR="005B0227" w:rsidRDefault="005B0227" w:rsidP="005B0227">
            <w:pPr>
              <w:spacing w:after="0" w:line="240" w:lineRule="auto"/>
              <w:ind w:left="338"/>
              <w:rPr>
                <w:rFonts w:ascii="Times New Roman" w:hAnsi="Times New Roman"/>
                <w:sz w:val="20"/>
                <w:szCs w:val="20"/>
              </w:rPr>
            </w:pPr>
            <w:r>
              <w:rPr>
                <w:rFonts w:ascii="Times New Roman" w:hAnsi="Times New Roman"/>
                <w:sz w:val="20"/>
                <w:szCs w:val="20"/>
              </w:rPr>
              <w:t>% Correct Items Related to P</w:t>
            </w:r>
            <w:r w:rsidR="00AE6B4F">
              <w:rPr>
                <w:rFonts w:ascii="Times New Roman" w:hAnsi="Times New Roman"/>
                <w:sz w:val="20"/>
                <w:szCs w:val="20"/>
              </w:rPr>
              <w:t>arents and Parenting</w:t>
            </w:r>
          </w:p>
        </w:tc>
        <w:tc>
          <w:tcPr>
            <w:tcW w:w="2247" w:type="dxa"/>
          </w:tcPr>
          <w:p w14:paraId="645DFDF5" w14:textId="6228DFBE" w:rsidR="005B0227" w:rsidRDefault="002224F6" w:rsidP="00A434D5">
            <w:pPr>
              <w:spacing w:after="0" w:line="240" w:lineRule="auto"/>
              <w:jc w:val="center"/>
              <w:rPr>
                <w:rFonts w:ascii="Times New Roman" w:hAnsi="Times New Roman"/>
                <w:sz w:val="20"/>
                <w:szCs w:val="20"/>
              </w:rPr>
            </w:pPr>
            <w:r>
              <w:rPr>
                <w:rFonts w:ascii="Times New Roman" w:hAnsi="Times New Roman"/>
                <w:sz w:val="20"/>
                <w:szCs w:val="20"/>
              </w:rPr>
              <w:t>91</w:t>
            </w:r>
            <w:r w:rsidR="00217ECB">
              <w:rPr>
                <w:rFonts w:ascii="Times New Roman" w:hAnsi="Times New Roman"/>
                <w:sz w:val="20"/>
                <w:szCs w:val="20"/>
              </w:rPr>
              <w:t>%</w:t>
            </w:r>
          </w:p>
        </w:tc>
        <w:tc>
          <w:tcPr>
            <w:tcW w:w="2248" w:type="dxa"/>
          </w:tcPr>
          <w:p w14:paraId="04E4847D" w14:textId="0394997E" w:rsidR="005B0227" w:rsidRDefault="002224F6" w:rsidP="00A434D5">
            <w:pPr>
              <w:spacing w:after="0" w:line="240" w:lineRule="auto"/>
              <w:jc w:val="center"/>
              <w:rPr>
                <w:rFonts w:ascii="Times New Roman" w:hAnsi="Times New Roman"/>
                <w:sz w:val="20"/>
                <w:szCs w:val="20"/>
              </w:rPr>
            </w:pPr>
            <w:r>
              <w:rPr>
                <w:rFonts w:ascii="Times New Roman" w:hAnsi="Times New Roman"/>
                <w:sz w:val="20"/>
                <w:szCs w:val="20"/>
              </w:rPr>
              <w:t>80</w:t>
            </w:r>
            <w:r w:rsidR="00217ECB">
              <w:rPr>
                <w:rFonts w:ascii="Times New Roman" w:hAnsi="Times New Roman"/>
                <w:sz w:val="20"/>
                <w:szCs w:val="20"/>
              </w:rPr>
              <w:t>%</w:t>
            </w:r>
          </w:p>
        </w:tc>
      </w:tr>
      <w:tr w:rsidR="005B0227" w14:paraId="7FE47EAF" w14:textId="77777777" w:rsidTr="00C526EA">
        <w:tc>
          <w:tcPr>
            <w:tcW w:w="8455" w:type="dxa"/>
          </w:tcPr>
          <w:p w14:paraId="26636BF2" w14:textId="77777777" w:rsidR="005B0227" w:rsidRDefault="005B0227" w:rsidP="00AE6B4F">
            <w:pPr>
              <w:spacing w:after="0" w:line="240" w:lineRule="auto"/>
              <w:ind w:left="338"/>
              <w:rPr>
                <w:rFonts w:ascii="Times New Roman" w:hAnsi="Times New Roman"/>
                <w:sz w:val="20"/>
                <w:szCs w:val="20"/>
              </w:rPr>
            </w:pPr>
            <w:r>
              <w:rPr>
                <w:rFonts w:ascii="Times New Roman" w:hAnsi="Times New Roman"/>
                <w:sz w:val="20"/>
                <w:szCs w:val="20"/>
              </w:rPr>
              <w:t xml:space="preserve">% Correct Items Related to </w:t>
            </w:r>
            <w:r w:rsidR="00AE6B4F">
              <w:rPr>
                <w:rFonts w:ascii="Times New Roman" w:hAnsi="Times New Roman"/>
                <w:sz w:val="20"/>
                <w:szCs w:val="20"/>
              </w:rPr>
              <w:t>Education</w:t>
            </w:r>
          </w:p>
        </w:tc>
        <w:tc>
          <w:tcPr>
            <w:tcW w:w="2247" w:type="dxa"/>
          </w:tcPr>
          <w:p w14:paraId="4F30D99C" w14:textId="17063316" w:rsidR="005B0227" w:rsidRDefault="002224F6" w:rsidP="00A434D5">
            <w:pPr>
              <w:spacing w:after="0" w:line="240" w:lineRule="auto"/>
              <w:jc w:val="center"/>
              <w:rPr>
                <w:rFonts w:ascii="Times New Roman" w:hAnsi="Times New Roman"/>
                <w:sz w:val="20"/>
                <w:szCs w:val="20"/>
              </w:rPr>
            </w:pPr>
            <w:r>
              <w:rPr>
                <w:rFonts w:ascii="Times New Roman" w:hAnsi="Times New Roman"/>
                <w:sz w:val="20"/>
                <w:szCs w:val="20"/>
              </w:rPr>
              <w:t>92</w:t>
            </w:r>
            <w:r w:rsidR="00217ECB">
              <w:rPr>
                <w:rFonts w:ascii="Times New Roman" w:hAnsi="Times New Roman"/>
                <w:sz w:val="20"/>
                <w:szCs w:val="20"/>
              </w:rPr>
              <w:t>%</w:t>
            </w:r>
          </w:p>
        </w:tc>
        <w:tc>
          <w:tcPr>
            <w:tcW w:w="2248" w:type="dxa"/>
          </w:tcPr>
          <w:p w14:paraId="20192671" w14:textId="77777777" w:rsidR="005B0227" w:rsidRDefault="00217ECB" w:rsidP="00A434D5">
            <w:pPr>
              <w:spacing w:after="0" w:line="240" w:lineRule="auto"/>
              <w:jc w:val="center"/>
              <w:rPr>
                <w:rFonts w:ascii="Times New Roman" w:hAnsi="Times New Roman"/>
                <w:sz w:val="20"/>
                <w:szCs w:val="20"/>
              </w:rPr>
            </w:pPr>
            <w:r>
              <w:rPr>
                <w:rFonts w:ascii="Times New Roman" w:hAnsi="Times New Roman"/>
                <w:sz w:val="20"/>
                <w:szCs w:val="20"/>
              </w:rPr>
              <w:t>-</w:t>
            </w:r>
          </w:p>
        </w:tc>
      </w:tr>
    </w:tbl>
    <w:p w14:paraId="7BDD0445" w14:textId="735D9A1F" w:rsidR="002A30AD" w:rsidRDefault="002A30AD" w:rsidP="00A45662">
      <w:pPr>
        <w:spacing w:after="0" w:line="240" w:lineRule="auto"/>
        <w:rPr>
          <w:rFonts w:ascii="Times New Roman" w:hAnsi="Times New Roman"/>
          <w:sz w:val="20"/>
          <w:szCs w:val="20"/>
        </w:rPr>
      </w:pPr>
    </w:p>
    <w:p w14:paraId="13A0AF0D" w14:textId="77777777" w:rsidR="000F7B8C" w:rsidRDefault="000F7B8C" w:rsidP="000F7B8C">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2020-21.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8EE83AE" w14:textId="4F23C930" w:rsidR="00BB473D" w:rsidRPr="00EF56F9" w:rsidRDefault="000F7B8C" w:rsidP="000F7B8C">
      <w:pPr>
        <w:spacing w:after="0" w:line="240" w:lineRule="auto"/>
        <w:rPr>
          <w:rFonts w:ascii="Times New Roman" w:hAnsi="Times New Roman"/>
          <w:sz w:val="20"/>
          <w:szCs w:val="20"/>
        </w:rPr>
      </w:pPr>
      <w:r>
        <w:rPr>
          <w:rFonts w:ascii="Times New Roman" w:hAnsi="Times New Roman"/>
          <w:sz w:val="20"/>
          <w:szCs w:val="20"/>
        </w:rPr>
        <w:t xml:space="preserve">In 2020-21, we plan to participate in the </w:t>
      </w:r>
      <w:r w:rsidRPr="006914D9">
        <w:rPr>
          <w:rFonts w:ascii="Times New Roman" w:hAnsi="Times New Roman"/>
          <w:sz w:val="20"/>
          <w:szCs w:val="20"/>
        </w:rPr>
        <w:t xml:space="preserve">assessment of General Education Section </w:t>
      </w:r>
      <w:r>
        <w:rPr>
          <w:rFonts w:ascii="Times New Roman" w:hAnsi="Times New Roman"/>
          <w:sz w:val="20"/>
          <w:szCs w:val="20"/>
        </w:rPr>
        <w:t>E</w:t>
      </w:r>
      <w:r w:rsidRPr="006914D9">
        <w:rPr>
          <w:rFonts w:ascii="Times New Roman" w:hAnsi="Times New Roman"/>
          <w:sz w:val="20"/>
          <w:szCs w:val="20"/>
        </w:rPr>
        <w:t xml:space="preserve"> </w:t>
      </w:r>
      <w:r>
        <w:rPr>
          <w:rFonts w:ascii="Times New Roman" w:hAnsi="Times New Roman"/>
          <w:sz w:val="20"/>
          <w:szCs w:val="20"/>
        </w:rPr>
        <w:t>(Lifelong Learning) in which the goal is for</w:t>
      </w:r>
      <w:r w:rsidRPr="006914D9">
        <w:rPr>
          <w:rFonts w:ascii="Times New Roman" w:hAnsi="Times New Roman"/>
          <w:sz w:val="20"/>
          <w:szCs w:val="20"/>
        </w:rPr>
        <w:t xml:space="preserve"> </w:t>
      </w:r>
      <w:r>
        <w:rPr>
          <w:rFonts w:ascii="Times New Roman" w:hAnsi="Times New Roman"/>
          <w:sz w:val="20"/>
          <w:szCs w:val="20"/>
        </w:rPr>
        <w:t>students to develop cognitive, physical and affective skills that allow them to become integrated, well-rounded individuals within various physical, social, cultural, and technological environments and communities. We will focus on Student Learning Outcome (SLO) #2</w:t>
      </w:r>
      <w:r w:rsidRPr="006914D9">
        <w:rPr>
          <w:rFonts w:ascii="Times New Roman" w:hAnsi="Times New Roman"/>
          <w:sz w:val="20"/>
          <w:szCs w:val="20"/>
        </w:rPr>
        <w:t xml:space="preserve">: </w:t>
      </w:r>
      <w:r>
        <w:rPr>
          <w:rFonts w:ascii="Times New Roman" w:hAnsi="Times New Roman"/>
          <w:sz w:val="20"/>
          <w:szCs w:val="20"/>
        </w:rPr>
        <w:t xml:space="preserve">Identify and apply strategies leading to health, well-being, or development for community members of diverse populations. </w:t>
      </w:r>
      <w:proofErr w:type="gramStart"/>
      <w:r>
        <w:rPr>
          <w:rFonts w:ascii="Times New Roman" w:hAnsi="Times New Roman"/>
          <w:sz w:val="20"/>
          <w:szCs w:val="20"/>
        </w:rPr>
        <w:t>For program and assessment continuity, we plan to assess behavioral measures of student competency (i.e., final exam performance)</w:t>
      </w:r>
      <w:r w:rsidR="00DB257B">
        <w:rPr>
          <w:rFonts w:ascii="Times New Roman" w:hAnsi="Times New Roman"/>
          <w:sz w:val="20"/>
          <w:szCs w:val="20"/>
        </w:rPr>
        <w:t xml:space="preserve"> in describing short- and long-term physical, cognitive, social/emotional effects typical in children who have experienced abuse, neglect and other forms of childhood trauma (Course Objective 1), identifying and preventing personal biases and pre-conceptions to work in professional settings with children who have been abused and maltreating families (Course Objective 2), and d</w:t>
      </w:r>
      <w:r w:rsidR="001A2E75">
        <w:rPr>
          <w:rFonts w:ascii="Times New Roman" w:hAnsi="Times New Roman"/>
          <w:sz w:val="20"/>
          <w:szCs w:val="20"/>
        </w:rPr>
        <w:t>eveloping awareness, prevention</w:t>
      </w:r>
      <w:r w:rsidR="00DB257B">
        <w:rPr>
          <w:rFonts w:ascii="Times New Roman" w:hAnsi="Times New Roman"/>
          <w:sz w:val="20"/>
          <w:szCs w:val="20"/>
        </w:rPr>
        <w:t>, reporting, and advocacy strategies including but not limited to common signs and symptoms of abuse/neglect and modes of reporting and advocacy (Course Objective 3).</w:t>
      </w:r>
      <w:proofErr w:type="gramEnd"/>
      <w:r w:rsidR="00DB257B">
        <w:rPr>
          <w:rFonts w:ascii="Times New Roman" w:hAnsi="Times New Roman"/>
          <w:sz w:val="20"/>
          <w:szCs w:val="20"/>
        </w:rPr>
        <w:t xml:space="preserve"> </w:t>
      </w:r>
      <w:r w:rsidR="00DB257B">
        <w:rPr>
          <w:rFonts w:ascii="Times New Roman" w:hAnsi="Times New Roman"/>
          <w:sz w:val="20"/>
          <w:szCs w:val="20"/>
        </w:rPr>
        <w:lastRenderedPageBreak/>
        <w:t xml:space="preserve">Additionally, in line with previous assessments (e.g., CADV Assessment Report 2017-2018), we will create a grading and coding rubric to assess course reflection assignments for metacognition, an critical growth mindset </w:t>
      </w:r>
      <w:r w:rsidR="001A2E75">
        <w:rPr>
          <w:rFonts w:ascii="Times New Roman" w:hAnsi="Times New Roman"/>
          <w:sz w:val="20"/>
          <w:szCs w:val="20"/>
        </w:rPr>
        <w:t xml:space="preserve">component central to </w:t>
      </w:r>
      <w:r w:rsidR="00DB257B">
        <w:rPr>
          <w:rFonts w:ascii="Times New Roman" w:hAnsi="Times New Roman"/>
          <w:sz w:val="20"/>
          <w:szCs w:val="20"/>
        </w:rPr>
        <w:t>lifelong learning</w:t>
      </w:r>
      <w:bookmarkStart w:id="0" w:name="_GoBack"/>
      <w:bookmarkEnd w:id="0"/>
      <w:r w:rsidR="00DB257B">
        <w:rPr>
          <w:rFonts w:ascii="Times New Roman" w:hAnsi="Times New Roman"/>
          <w:sz w:val="20"/>
          <w:szCs w:val="20"/>
        </w:rPr>
        <w:t xml:space="preserve">. </w:t>
      </w:r>
    </w:p>
    <w:sectPr w:rsidR="00BB473D"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3C2" w16cex:dateUtc="2020-09-17T23:56:00Z"/>
  <w16cex:commentExtensible w16cex:durableId="230E13E5" w16cex:dateUtc="2020-09-17T23:57:00Z"/>
  <w16cex:commentExtensible w16cex:durableId="230DF4CB" w16cex:dateUtc="2020-09-17T21:44:00Z"/>
  <w16cex:commentExtensible w16cex:durableId="230DF4FA" w16cex:dateUtc="2020-09-17T21:45:00Z"/>
  <w16cex:commentExtensible w16cex:durableId="230DF4EA" w16cex:dateUtc="2020-09-17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FAB0EF" w16cid:durableId="230E13C2"/>
  <w16cid:commentId w16cid:paraId="76918AE1" w16cid:durableId="230E13E5"/>
  <w16cid:commentId w16cid:paraId="4D46E8F6" w16cid:durableId="230DF347"/>
  <w16cid:commentId w16cid:paraId="41D70E4E" w16cid:durableId="230DF4CB"/>
  <w16cid:commentId w16cid:paraId="2FDF7606" w16cid:durableId="230DF4FA"/>
  <w16cid:commentId w16cid:paraId="7F17421F" w16cid:durableId="230DF4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B784" w14:textId="77777777" w:rsidR="000F00B9" w:rsidRDefault="000F00B9" w:rsidP="00281389">
      <w:pPr>
        <w:spacing w:after="0" w:line="240" w:lineRule="auto"/>
      </w:pPr>
      <w:r>
        <w:separator/>
      </w:r>
    </w:p>
  </w:endnote>
  <w:endnote w:type="continuationSeparator" w:id="0">
    <w:p w14:paraId="1F4A1FDA" w14:textId="77777777" w:rsidR="000F00B9" w:rsidRDefault="000F00B9"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C986" w14:textId="77777777" w:rsidR="002224F6" w:rsidRDefault="002224F6"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18D4EC1B" w14:textId="77777777" w:rsidR="002224F6" w:rsidRDefault="002224F6"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766C" w14:textId="702B5B07" w:rsidR="002224F6" w:rsidRDefault="002224F6"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1A2E75">
      <w:rPr>
        <w:rStyle w:val="PageNumber"/>
        <w:noProof/>
      </w:rPr>
      <w:t>4</w:t>
    </w:r>
    <w:r>
      <w:rPr>
        <w:rStyle w:val="PageNumber"/>
      </w:rPr>
      <w:fldChar w:fldCharType="end"/>
    </w:r>
  </w:p>
  <w:p w14:paraId="1B22DD8F" w14:textId="77777777" w:rsidR="002224F6" w:rsidRDefault="002224F6" w:rsidP="00281389">
    <w:pPr>
      <w:pStyle w:val="Footer"/>
      <w:ind w:right="360"/>
    </w:pPr>
  </w:p>
  <w:p w14:paraId="239A8600" w14:textId="77777777" w:rsidR="002224F6" w:rsidRDefault="00222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5FBF" w14:textId="77777777" w:rsidR="000F00B9" w:rsidRDefault="000F00B9" w:rsidP="00281389">
      <w:pPr>
        <w:spacing w:after="0" w:line="240" w:lineRule="auto"/>
      </w:pPr>
      <w:r>
        <w:separator/>
      </w:r>
    </w:p>
  </w:footnote>
  <w:footnote w:type="continuationSeparator" w:id="0">
    <w:p w14:paraId="1093E249" w14:textId="77777777" w:rsidR="000F00B9" w:rsidRDefault="000F00B9"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05D86"/>
    <w:rsid w:val="0007692B"/>
    <w:rsid w:val="00086497"/>
    <w:rsid w:val="000E5D8F"/>
    <w:rsid w:val="000F00B9"/>
    <w:rsid w:val="000F7B8C"/>
    <w:rsid w:val="00117A45"/>
    <w:rsid w:val="001446C1"/>
    <w:rsid w:val="001A2E75"/>
    <w:rsid w:val="001E6527"/>
    <w:rsid w:val="00217ECB"/>
    <w:rsid w:val="002224F6"/>
    <w:rsid w:val="00281389"/>
    <w:rsid w:val="002A30AD"/>
    <w:rsid w:val="002D5101"/>
    <w:rsid w:val="002E0F8D"/>
    <w:rsid w:val="002E2E8F"/>
    <w:rsid w:val="002F59CD"/>
    <w:rsid w:val="003156EE"/>
    <w:rsid w:val="00377106"/>
    <w:rsid w:val="003A41A4"/>
    <w:rsid w:val="003D0F20"/>
    <w:rsid w:val="003D5616"/>
    <w:rsid w:val="003F1034"/>
    <w:rsid w:val="003F755F"/>
    <w:rsid w:val="00430D28"/>
    <w:rsid w:val="00482856"/>
    <w:rsid w:val="004A7E8E"/>
    <w:rsid w:val="004D20C5"/>
    <w:rsid w:val="00510BDA"/>
    <w:rsid w:val="0053420C"/>
    <w:rsid w:val="00554B2B"/>
    <w:rsid w:val="005B0227"/>
    <w:rsid w:val="00602010"/>
    <w:rsid w:val="00620B35"/>
    <w:rsid w:val="00620EA1"/>
    <w:rsid w:val="00676B1D"/>
    <w:rsid w:val="006914D9"/>
    <w:rsid w:val="00694BDD"/>
    <w:rsid w:val="006B6AAB"/>
    <w:rsid w:val="0070631D"/>
    <w:rsid w:val="00707029"/>
    <w:rsid w:val="00751BE4"/>
    <w:rsid w:val="0075616F"/>
    <w:rsid w:val="00765ACD"/>
    <w:rsid w:val="007F1A4D"/>
    <w:rsid w:val="00810215"/>
    <w:rsid w:val="00814972"/>
    <w:rsid w:val="008B421D"/>
    <w:rsid w:val="008D488D"/>
    <w:rsid w:val="008E3E9B"/>
    <w:rsid w:val="008F1180"/>
    <w:rsid w:val="009055F7"/>
    <w:rsid w:val="009312BC"/>
    <w:rsid w:val="009471A9"/>
    <w:rsid w:val="009601A7"/>
    <w:rsid w:val="0096297A"/>
    <w:rsid w:val="00A434D5"/>
    <w:rsid w:val="00A45662"/>
    <w:rsid w:val="00A56B5D"/>
    <w:rsid w:val="00AA6630"/>
    <w:rsid w:val="00AE6B4F"/>
    <w:rsid w:val="00B11847"/>
    <w:rsid w:val="00B242FB"/>
    <w:rsid w:val="00B8639D"/>
    <w:rsid w:val="00BA25AD"/>
    <w:rsid w:val="00BB473D"/>
    <w:rsid w:val="00C037E5"/>
    <w:rsid w:val="00C361DE"/>
    <w:rsid w:val="00C526EA"/>
    <w:rsid w:val="00C532DE"/>
    <w:rsid w:val="00C76E0C"/>
    <w:rsid w:val="00C95964"/>
    <w:rsid w:val="00CA2D8C"/>
    <w:rsid w:val="00CB23FD"/>
    <w:rsid w:val="00CD58EB"/>
    <w:rsid w:val="00CD5B64"/>
    <w:rsid w:val="00D71D53"/>
    <w:rsid w:val="00D738C4"/>
    <w:rsid w:val="00DB257B"/>
    <w:rsid w:val="00E24423"/>
    <w:rsid w:val="00E73C8E"/>
    <w:rsid w:val="00E804C1"/>
    <w:rsid w:val="00E93962"/>
    <w:rsid w:val="00FA1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845A"/>
  <w15:docId w15:val="{D0677301-65A7-49E6-8B2A-3BA8069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paragraph" w:styleId="NormalWeb">
    <w:name w:val="Normal (Web)"/>
    <w:basedOn w:val="Normal"/>
    <w:uiPriority w:val="99"/>
    <w:unhideWhenUsed/>
    <w:rsid w:val="00A45662"/>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377106"/>
    <w:rPr>
      <w:sz w:val="16"/>
      <w:szCs w:val="16"/>
    </w:rPr>
  </w:style>
  <w:style w:type="paragraph" w:styleId="CommentText">
    <w:name w:val="annotation text"/>
    <w:basedOn w:val="Normal"/>
    <w:link w:val="CommentTextChar"/>
    <w:uiPriority w:val="99"/>
    <w:semiHidden/>
    <w:unhideWhenUsed/>
    <w:rsid w:val="00377106"/>
    <w:pPr>
      <w:spacing w:line="240" w:lineRule="auto"/>
    </w:pPr>
    <w:rPr>
      <w:sz w:val="20"/>
      <w:szCs w:val="20"/>
    </w:rPr>
  </w:style>
  <w:style w:type="character" w:customStyle="1" w:styleId="CommentTextChar">
    <w:name w:val="Comment Text Char"/>
    <w:basedOn w:val="DefaultParagraphFont"/>
    <w:link w:val="CommentText"/>
    <w:uiPriority w:val="99"/>
    <w:semiHidden/>
    <w:rsid w:val="00377106"/>
  </w:style>
  <w:style w:type="paragraph" w:styleId="CommentSubject">
    <w:name w:val="annotation subject"/>
    <w:basedOn w:val="CommentText"/>
    <w:next w:val="CommentText"/>
    <w:link w:val="CommentSubjectChar"/>
    <w:uiPriority w:val="99"/>
    <w:semiHidden/>
    <w:unhideWhenUsed/>
    <w:rsid w:val="00377106"/>
    <w:rPr>
      <w:b/>
      <w:bCs/>
    </w:rPr>
  </w:style>
  <w:style w:type="character" w:customStyle="1" w:styleId="CommentSubjectChar">
    <w:name w:val="Comment Subject Char"/>
    <w:basedOn w:val="CommentTextChar"/>
    <w:link w:val="CommentSubject"/>
    <w:uiPriority w:val="99"/>
    <w:semiHidden/>
    <w:rsid w:val="00377106"/>
    <w:rPr>
      <w:b/>
      <w:bCs/>
    </w:rPr>
  </w:style>
  <w:style w:type="paragraph" w:styleId="Revision">
    <w:name w:val="Revision"/>
    <w:hidden/>
    <w:uiPriority w:val="71"/>
    <w:semiHidden/>
    <w:rsid w:val="00E804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11608</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dc:description/>
  <cp:lastModifiedBy>Angie Guan</cp:lastModifiedBy>
  <cp:revision>5</cp:revision>
  <cp:lastPrinted>2014-10-20T20:50:00Z</cp:lastPrinted>
  <dcterms:created xsi:type="dcterms:W3CDTF">2020-09-28T23:49:00Z</dcterms:created>
  <dcterms:modified xsi:type="dcterms:W3CDTF">2020-09-30T13:57:00Z</dcterms:modified>
</cp:coreProperties>
</file>