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BCEB" w14:textId="77777777" w:rsidR="00281389" w:rsidRPr="00897D80" w:rsidRDefault="00B11847" w:rsidP="00281389">
      <w:pPr>
        <w:jc w:val="center"/>
        <w:rPr>
          <w:rFonts w:ascii="Times New Roman" w:hAnsi="Times New Roman"/>
          <w:b/>
          <w:sz w:val="20"/>
          <w:szCs w:val="20"/>
        </w:rPr>
      </w:pPr>
      <w:bookmarkStart w:id="0" w:name="_GoBack"/>
      <w:bookmarkEnd w:id="0"/>
      <w:r>
        <w:rPr>
          <w:rFonts w:ascii="Times New Roman" w:hAnsi="Times New Roman"/>
          <w:b/>
          <w:sz w:val="20"/>
          <w:szCs w:val="20"/>
        </w:rPr>
        <w:t>2</w:t>
      </w:r>
      <w:r w:rsidR="009471A9">
        <w:rPr>
          <w:rFonts w:ascii="Times New Roman" w:hAnsi="Times New Roman"/>
          <w:b/>
          <w:sz w:val="20"/>
          <w:szCs w:val="20"/>
        </w:rPr>
        <w:t>018-2019</w:t>
      </w:r>
      <w:r w:rsidR="00281389" w:rsidRPr="00897D80">
        <w:rPr>
          <w:rFonts w:ascii="Times New Roman" w:hAnsi="Times New Roman"/>
          <w:b/>
          <w:sz w:val="20"/>
          <w:szCs w:val="20"/>
        </w:rPr>
        <w:t xml:space="preserve"> Annual Program Assessment Report</w:t>
      </w:r>
      <w:r w:rsidR="008B421D">
        <w:rPr>
          <w:rFonts w:ascii="Times New Roman" w:hAnsi="Times New Roman"/>
          <w:b/>
          <w:sz w:val="20"/>
          <w:szCs w:val="20"/>
        </w:rPr>
        <w:t xml:space="preserve"> Guide</w:t>
      </w:r>
    </w:p>
    <w:p w14:paraId="671F2E9A" w14:textId="455C7CF2"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w:t>
      </w:r>
      <w:r w:rsidR="00630CF5">
        <w:rPr>
          <w:rFonts w:ascii="Times New Roman" w:hAnsi="Times New Roman"/>
          <w:sz w:val="20"/>
          <w:szCs w:val="20"/>
        </w:rPr>
        <w:t xml:space="preserve">the </w:t>
      </w:r>
      <w:r w:rsidRPr="00897D80">
        <w:rPr>
          <w:rFonts w:ascii="Times New Roman" w:hAnsi="Times New Roman"/>
          <w:sz w:val="20"/>
          <w:szCs w:val="20"/>
        </w:rPr>
        <w:t xml:space="preserve">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 xml:space="preserve">September </w:t>
      </w:r>
      <w:r w:rsidR="009471A9" w:rsidRPr="008B421D">
        <w:rPr>
          <w:rFonts w:ascii="Times New Roman" w:hAnsi="Times New Roman"/>
          <w:b/>
          <w:sz w:val="20"/>
          <w:szCs w:val="20"/>
        </w:rPr>
        <w:t>30</w:t>
      </w:r>
      <w:r w:rsidRPr="008B421D">
        <w:rPr>
          <w:rFonts w:ascii="Times New Roman" w:hAnsi="Times New Roman"/>
          <w:b/>
          <w:sz w:val="20"/>
          <w:szCs w:val="20"/>
        </w:rPr>
        <w:t>, 201</w:t>
      </w:r>
      <w:r w:rsidR="009471A9" w:rsidRPr="008B421D">
        <w:rPr>
          <w:rFonts w:ascii="Times New Roman" w:hAnsi="Times New Roman"/>
          <w:b/>
          <w:sz w:val="20"/>
          <w:szCs w:val="20"/>
        </w:rPr>
        <w:t>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sidR="009471A9">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sidR="009471A9">
        <w:rPr>
          <w:rFonts w:ascii="Times New Roman" w:hAnsi="Times New Roman"/>
          <w:b/>
          <w:sz w:val="20"/>
          <w:szCs w:val="20"/>
        </w:rPr>
        <w:t>in the file name</w:t>
      </w:r>
      <w:r w:rsidRPr="00B11847">
        <w:rPr>
          <w:rFonts w:ascii="Times New Roman" w:hAnsi="Times New Roman"/>
          <w:b/>
          <w:sz w:val="20"/>
          <w:szCs w:val="20"/>
        </w:rPr>
        <w:t>.</w:t>
      </w:r>
    </w:p>
    <w:p w14:paraId="53682A9D" w14:textId="77777777" w:rsidR="00D2723C" w:rsidRPr="00897D80" w:rsidRDefault="00D2723C" w:rsidP="00D2723C">
      <w:pPr>
        <w:rPr>
          <w:rFonts w:ascii="Times New Roman" w:hAnsi="Times New Roman"/>
          <w:b/>
          <w:sz w:val="20"/>
          <w:szCs w:val="20"/>
        </w:rPr>
      </w:pPr>
      <w:r w:rsidRPr="00897D80">
        <w:rPr>
          <w:rFonts w:ascii="Times New Roman" w:hAnsi="Times New Roman"/>
          <w:b/>
          <w:sz w:val="20"/>
          <w:szCs w:val="20"/>
        </w:rPr>
        <w:t xml:space="preserve">College: </w:t>
      </w:r>
      <w:r>
        <w:rPr>
          <w:rFonts w:ascii="Times New Roman" w:hAnsi="Times New Roman"/>
          <w:b/>
          <w:sz w:val="20"/>
          <w:szCs w:val="20"/>
        </w:rPr>
        <w:t>Engineering &amp; Computer Science</w:t>
      </w:r>
    </w:p>
    <w:p w14:paraId="5E379862" w14:textId="77777777" w:rsidR="00D2723C" w:rsidRPr="00897D80" w:rsidRDefault="00D2723C" w:rsidP="00D2723C">
      <w:pPr>
        <w:rPr>
          <w:rFonts w:ascii="Times New Roman" w:hAnsi="Times New Roman"/>
          <w:b/>
          <w:sz w:val="20"/>
          <w:szCs w:val="20"/>
        </w:rPr>
      </w:pPr>
      <w:r w:rsidRPr="00897D80">
        <w:rPr>
          <w:rFonts w:ascii="Times New Roman" w:hAnsi="Times New Roman"/>
          <w:b/>
          <w:sz w:val="20"/>
          <w:szCs w:val="20"/>
        </w:rPr>
        <w:t xml:space="preserve">Department: </w:t>
      </w:r>
      <w:r>
        <w:rPr>
          <w:rFonts w:ascii="Times New Roman" w:hAnsi="Times New Roman"/>
          <w:b/>
          <w:sz w:val="20"/>
          <w:szCs w:val="20"/>
        </w:rPr>
        <w:t>Computer Science</w:t>
      </w:r>
    </w:p>
    <w:p w14:paraId="15DDCF28" w14:textId="77777777" w:rsidR="00D2723C" w:rsidRPr="00897D80" w:rsidRDefault="00D2723C" w:rsidP="00D2723C">
      <w:pPr>
        <w:rPr>
          <w:rFonts w:ascii="Times New Roman" w:hAnsi="Times New Roman"/>
          <w:b/>
          <w:sz w:val="20"/>
          <w:szCs w:val="20"/>
        </w:rPr>
      </w:pPr>
      <w:r w:rsidRPr="00897D80">
        <w:rPr>
          <w:rFonts w:ascii="Times New Roman" w:hAnsi="Times New Roman"/>
          <w:b/>
          <w:sz w:val="20"/>
          <w:szCs w:val="20"/>
        </w:rPr>
        <w:t xml:space="preserve">Program: </w:t>
      </w:r>
      <w:r>
        <w:rPr>
          <w:rFonts w:ascii="Times New Roman" w:hAnsi="Times New Roman"/>
          <w:b/>
          <w:sz w:val="20"/>
          <w:szCs w:val="20"/>
        </w:rPr>
        <w:t>B.S. in Computer Science</w:t>
      </w:r>
    </w:p>
    <w:p w14:paraId="2664DA45" w14:textId="1458F962"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353795">
        <w:rPr>
          <w:rFonts w:ascii="Times New Roman" w:hAnsi="Times New Roman"/>
          <w:b/>
          <w:sz w:val="20"/>
          <w:szCs w:val="20"/>
        </w:rPr>
        <w:t>Robert McIlhenny</w:t>
      </w:r>
    </w:p>
    <w:p w14:paraId="06165832"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22422273"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5E3056AA" w14:textId="033118A0"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B.  ___</w:t>
      </w:r>
      <w:r w:rsidR="00D2723C">
        <w:rPr>
          <w:rFonts w:ascii="Times New Roman" w:hAnsi="Times New Roman"/>
          <w:b/>
          <w:sz w:val="20"/>
          <w:szCs w:val="20"/>
        </w:rPr>
        <w:t xml:space="preserve"> X</w:t>
      </w:r>
      <w:r w:rsidRPr="00897D80">
        <w:rPr>
          <w:rFonts w:ascii="Times New Roman" w:hAnsi="Times New Roman"/>
          <w:b/>
          <w:sz w:val="20"/>
          <w:szCs w:val="20"/>
        </w:rPr>
        <w:t>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7F799D22" w14:textId="6B47A14A"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w:t>
      </w:r>
      <w:r w:rsidR="00630CF5">
        <w:rPr>
          <w:rFonts w:ascii="Times New Roman" w:hAnsi="Times New Roman"/>
          <w:b/>
          <w:sz w:val="20"/>
          <w:szCs w:val="20"/>
        </w:rPr>
        <w:t>__</w:t>
      </w:r>
      <w:r>
        <w:rPr>
          <w:rFonts w:ascii="Times New Roman" w:hAnsi="Times New Roman"/>
          <w:b/>
          <w:sz w:val="20"/>
          <w:szCs w:val="20"/>
        </w:rPr>
        <w:t>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778E1856" w14:textId="77777777"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9471A9">
        <w:rPr>
          <w:rFonts w:ascii="Times New Roman" w:hAnsi="Times New Roman"/>
          <w:b/>
          <w:sz w:val="20"/>
          <w:szCs w:val="20"/>
        </w:rPr>
        <w:t>Arts and Humanities</w:t>
      </w:r>
      <w:r w:rsidR="00B11847">
        <w:rPr>
          <w:rFonts w:ascii="Times New Roman" w:hAnsi="Times New Roman"/>
          <w:b/>
          <w:sz w:val="20"/>
          <w:szCs w:val="20"/>
        </w:rPr>
        <w:t xml:space="preserve"> </w:t>
      </w:r>
      <w:r w:rsidR="008B421D">
        <w:rPr>
          <w:rFonts w:ascii="Times New Roman" w:hAnsi="Times New Roman"/>
          <w:b/>
          <w:sz w:val="20"/>
          <w:szCs w:val="20"/>
        </w:rPr>
        <w:t xml:space="preserve">student </w:t>
      </w:r>
      <w:r w:rsidR="00B11847">
        <w:rPr>
          <w:rFonts w:ascii="Times New Roman" w:hAnsi="Times New Roman"/>
          <w:b/>
          <w:sz w:val="20"/>
          <w:szCs w:val="20"/>
        </w:rPr>
        <w:t xml:space="preserve">learning </w:t>
      </w:r>
      <w:r>
        <w:rPr>
          <w:rFonts w:ascii="Times New Roman" w:hAnsi="Times New Roman"/>
          <w:b/>
          <w:sz w:val="20"/>
          <w:szCs w:val="20"/>
        </w:rPr>
        <w:t xml:space="preserve">outcomes    </w:t>
      </w:r>
    </w:p>
    <w:p w14:paraId="2148862B" w14:textId="77777777" w:rsidR="00281389" w:rsidRPr="00897D80" w:rsidRDefault="00281389" w:rsidP="00281389">
      <w:pPr>
        <w:pStyle w:val="MediumGrid1-Accent21"/>
        <w:ind w:left="360"/>
        <w:rPr>
          <w:rFonts w:ascii="Times New Roman" w:hAnsi="Times New Roman"/>
          <w:b/>
          <w:sz w:val="20"/>
          <w:szCs w:val="20"/>
        </w:rPr>
      </w:pPr>
    </w:p>
    <w:p w14:paraId="764FDAE3"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708D2A4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729CC547"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034937FF"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2AF5E736"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36B3D797"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2C628596"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5AAB9B24"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046B9125" w14:textId="77777777" w:rsidR="00281389" w:rsidRDefault="00281389" w:rsidP="00281389">
      <w:pPr>
        <w:pStyle w:val="MediumGrid1-Accent21"/>
        <w:ind w:left="0"/>
        <w:rPr>
          <w:rFonts w:ascii="Times New Roman" w:hAnsi="Times New Roman"/>
          <w:b/>
          <w:sz w:val="20"/>
          <w:szCs w:val="20"/>
        </w:rPr>
      </w:pPr>
    </w:p>
    <w:p w14:paraId="2DABDC7C" w14:textId="5E2AD068" w:rsidR="00630CF5" w:rsidRDefault="00281389" w:rsidP="00281389">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w:t>
      </w:r>
      <w:r w:rsidR="009471A9">
        <w:rPr>
          <w:rFonts w:ascii="Times New Roman" w:hAnsi="Times New Roman"/>
          <w:b/>
          <w:sz w:val="20"/>
          <w:szCs w:val="20"/>
        </w:rPr>
        <w:t>19-20</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2A29F84C" w14:textId="77777777" w:rsidR="00630CF5" w:rsidRPr="00661DBA" w:rsidRDefault="00630CF5" w:rsidP="00630CF5">
      <w:pPr>
        <w:rPr>
          <w:rFonts w:ascii="Times New Roman" w:hAnsi="Times New Roman"/>
          <w:b/>
          <w:sz w:val="20"/>
          <w:szCs w:val="20"/>
          <w:u w:val="single"/>
        </w:rPr>
      </w:pPr>
      <w:r w:rsidRPr="00661DBA">
        <w:rPr>
          <w:rFonts w:ascii="Times New Roman" w:hAnsi="Times New Roman"/>
          <w:b/>
          <w:sz w:val="20"/>
          <w:szCs w:val="20"/>
          <w:u w:val="single"/>
        </w:rPr>
        <w:lastRenderedPageBreak/>
        <w:t>Overview of Annual Assessment Project(s)</w:t>
      </w:r>
      <w:r>
        <w:rPr>
          <w:rFonts w:ascii="Times New Roman" w:hAnsi="Times New Roman"/>
          <w:b/>
          <w:sz w:val="20"/>
          <w:szCs w:val="20"/>
          <w:u w:val="single"/>
        </w:rPr>
        <w:t>—Option B</w:t>
      </w:r>
    </w:p>
    <w:p w14:paraId="27273AB3" w14:textId="20B99636" w:rsidR="00630CF5" w:rsidRPr="00F43229" w:rsidRDefault="00630CF5" w:rsidP="00630CF5">
      <w:pPr>
        <w:numPr>
          <w:ilvl w:val="0"/>
          <w:numId w:val="12"/>
        </w:numPr>
        <w:autoSpaceDE w:val="0"/>
        <w:autoSpaceDN w:val="0"/>
        <w:adjustRightInd w:val="0"/>
        <w:spacing w:after="0"/>
        <w:rPr>
          <w:rFonts w:ascii="Times New Roman" w:hAnsi="Times New Roman"/>
          <w:i/>
          <w:sz w:val="20"/>
          <w:szCs w:val="20"/>
        </w:rPr>
      </w:pPr>
      <w:r w:rsidRPr="00661DBA">
        <w:rPr>
          <w:rFonts w:ascii="Times New Roman" w:hAnsi="Times New Roman"/>
          <w:sz w:val="20"/>
          <w:szCs w:val="20"/>
        </w:rPr>
        <w:t>During the 201</w:t>
      </w:r>
      <w:r w:rsidR="00825B77">
        <w:rPr>
          <w:rFonts w:ascii="Times New Roman" w:hAnsi="Times New Roman"/>
          <w:sz w:val="20"/>
          <w:szCs w:val="20"/>
        </w:rPr>
        <w:t>8</w:t>
      </w:r>
      <w:r w:rsidRPr="00661DBA">
        <w:rPr>
          <w:rFonts w:ascii="Times New Roman" w:hAnsi="Times New Roman"/>
          <w:sz w:val="20"/>
          <w:szCs w:val="20"/>
        </w:rPr>
        <w:t>-1</w:t>
      </w:r>
      <w:r w:rsidR="00825B77">
        <w:rPr>
          <w:rFonts w:ascii="Times New Roman" w:hAnsi="Times New Roman"/>
          <w:sz w:val="20"/>
          <w:szCs w:val="20"/>
        </w:rPr>
        <w:t>9</w:t>
      </w:r>
      <w:r w:rsidRPr="00661DBA">
        <w:rPr>
          <w:rFonts w:ascii="Times New Roman" w:hAnsi="Times New Roman"/>
          <w:sz w:val="20"/>
          <w:szCs w:val="20"/>
        </w:rPr>
        <w:t xml:space="preserve"> academic year, the Computer Science Department chose to implement option </w:t>
      </w:r>
      <w:r>
        <w:rPr>
          <w:rFonts w:ascii="Times New Roman" w:hAnsi="Times New Roman"/>
          <w:sz w:val="20"/>
          <w:szCs w:val="20"/>
        </w:rPr>
        <w:t>B</w:t>
      </w:r>
      <w:r w:rsidRPr="00661DBA">
        <w:rPr>
          <w:rFonts w:ascii="Times New Roman" w:hAnsi="Times New Roman"/>
          <w:sz w:val="20"/>
          <w:szCs w:val="20"/>
        </w:rPr>
        <w:t xml:space="preserve">, </w:t>
      </w:r>
      <w:r>
        <w:rPr>
          <w:rFonts w:ascii="Times New Roman" w:hAnsi="Times New Roman"/>
          <w:sz w:val="20"/>
          <w:szCs w:val="20"/>
        </w:rPr>
        <w:t xml:space="preserve">analyzing the results from measuring SLO </w:t>
      </w:r>
      <w:r w:rsidR="00825B77">
        <w:rPr>
          <w:rFonts w:ascii="Times New Roman" w:hAnsi="Times New Roman"/>
          <w:sz w:val="20"/>
          <w:szCs w:val="20"/>
        </w:rPr>
        <w:t>3</w:t>
      </w:r>
      <w:r>
        <w:rPr>
          <w:rFonts w:ascii="Times New Roman" w:hAnsi="Times New Roman"/>
          <w:sz w:val="20"/>
          <w:szCs w:val="20"/>
        </w:rPr>
        <w:t xml:space="preserve"> (formerly SLO </w:t>
      </w:r>
      <w:r w:rsidR="00825B77" w:rsidRPr="00825B77">
        <w:rPr>
          <w:rFonts w:ascii="Times New Roman" w:hAnsi="Times New Roman"/>
          <w:i/>
          <w:iCs/>
          <w:sz w:val="20"/>
          <w:szCs w:val="20"/>
        </w:rPr>
        <w:t>f</w:t>
      </w:r>
      <w:r w:rsidR="00825B77">
        <w:rPr>
          <w:rFonts w:ascii="Times New Roman" w:hAnsi="Times New Roman"/>
          <w:sz w:val="20"/>
          <w:szCs w:val="20"/>
        </w:rPr>
        <w:t xml:space="preserve"> under the ABET standard</w:t>
      </w:r>
      <w:r>
        <w:rPr>
          <w:rFonts w:ascii="Times New Roman" w:hAnsi="Times New Roman"/>
          <w:sz w:val="20"/>
          <w:szCs w:val="20"/>
        </w:rPr>
        <w:t>)</w:t>
      </w:r>
      <w:r w:rsidR="00825B77">
        <w:rPr>
          <w:rFonts w:ascii="Times New Roman" w:hAnsi="Times New Roman"/>
          <w:sz w:val="20"/>
          <w:szCs w:val="20"/>
        </w:rPr>
        <w:t xml:space="preserve"> and </w:t>
      </w:r>
      <w:r>
        <w:rPr>
          <w:rFonts w:ascii="Times New Roman" w:hAnsi="Times New Roman"/>
          <w:sz w:val="20"/>
          <w:szCs w:val="20"/>
        </w:rPr>
        <w:t xml:space="preserve">SLO </w:t>
      </w:r>
      <w:r w:rsidR="00825B77">
        <w:rPr>
          <w:rFonts w:ascii="Times New Roman" w:hAnsi="Times New Roman"/>
          <w:sz w:val="20"/>
          <w:szCs w:val="20"/>
        </w:rPr>
        <w:t>6</w:t>
      </w:r>
      <w:r>
        <w:rPr>
          <w:rFonts w:ascii="Times New Roman" w:hAnsi="Times New Roman"/>
          <w:sz w:val="20"/>
          <w:szCs w:val="20"/>
        </w:rPr>
        <w:t xml:space="preserve"> (formerly </w:t>
      </w:r>
      <w:r w:rsidR="00825B77">
        <w:rPr>
          <w:rFonts w:ascii="Times New Roman" w:hAnsi="Times New Roman"/>
          <w:sz w:val="20"/>
          <w:szCs w:val="20"/>
        </w:rPr>
        <w:t xml:space="preserve">a combination of </w:t>
      </w:r>
      <w:r>
        <w:rPr>
          <w:rFonts w:ascii="Times New Roman" w:hAnsi="Times New Roman"/>
          <w:sz w:val="20"/>
          <w:szCs w:val="20"/>
        </w:rPr>
        <w:t>SLO</w:t>
      </w:r>
      <w:r w:rsidR="00825B77">
        <w:rPr>
          <w:rFonts w:ascii="Times New Roman" w:hAnsi="Times New Roman"/>
          <w:sz w:val="20"/>
          <w:szCs w:val="20"/>
        </w:rPr>
        <w:t xml:space="preserve">’s </w:t>
      </w:r>
      <w:r w:rsidR="00825B77" w:rsidRPr="00825B77">
        <w:rPr>
          <w:rFonts w:ascii="Times New Roman" w:hAnsi="Times New Roman"/>
          <w:i/>
          <w:iCs/>
          <w:sz w:val="20"/>
          <w:szCs w:val="20"/>
        </w:rPr>
        <w:t>j</w:t>
      </w:r>
      <w:r w:rsidR="00825B77">
        <w:rPr>
          <w:rFonts w:ascii="Times New Roman" w:hAnsi="Times New Roman"/>
          <w:sz w:val="20"/>
          <w:szCs w:val="20"/>
        </w:rPr>
        <w:t xml:space="preserve"> &amp; </w:t>
      </w:r>
      <w:r w:rsidR="00825B77" w:rsidRPr="00825B77">
        <w:rPr>
          <w:rFonts w:ascii="Times New Roman" w:hAnsi="Times New Roman"/>
          <w:i/>
          <w:iCs/>
          <w:sz w:val="20"/>
          <w:szCs w:val="20"/>
        </w:rPr>
        <w:t>k</w:t>
      </w:r>
      <w:r w:rsidR="00825B77">
        <w:rPr>
          <w:rFonts w:ascii="Times New Roman" w:hAnsi="Times New Roman"/>
          <w:i/>
          <w:iCs/>
          <w:sz w:val="20"/>
          <w:szCs w:val="20"/>
        </w:rPr>
        <w:t xml:space="preserve"> </w:t>
      </w:r>
      <w:r w:rsidR="00825B77" w:rsidRPr="00825B77">
        <w:rPr>
          <w:rFonts w:ascii="Times New Roman" w:hAnsi="Times New Roman"/>
          <w:sz w:val="20"/>
          <w:szCs w:val="20"/>
        </w:rPr>
        <w:t>under the</w:t>
      </w:r>
      <w:r w:rsidR="00825B77">
        <w:rPr>
          <w:rFonts w:ascii="Times New Roman" w:hAnsi="Times New Roman"/>
          <w:sz w:val="20"/>
          <w:szCs w:val="20"/>
        </w:rPr>
        <w:t xml:space="preserve"> ABET standard</w:t>
      </w:r>
      <w:r>
        <w:rPr>
          <w:rFonts w:ascii="Times New Roman" w:hAnsi="Times New Roman"/>
          <w:sz w:val="20"/>
          <w:szCs w:val="20"/>
        </w:rPr>
        <w:t>)</w:t>
      </w:r>
      <w:r w:rsidRPr="00661DBA">
        <w:rPr>
          <w:rFonts w:ascii="Times New Roman" w:hAnsi="Times New Roman"/>
          <w:sz w:val="20"/>
          <w:szCs w:val="20"/>
        </w:rPr>
        <w:t xml:space="preserve"> as part of the current assessment cycle, in preparation for the Self-study report due by July 1, 2019, and for the Request for Evaluation (RFE) visit by the Accreditation Board for Engineering and Technology (ABET) in the Fall of 2019.</w:t>
      </w:r>
    </w:p>
    <w:p w14:paraId="2703BC9F" w14:textId="77777777" w:rsidR="00630CF5" w:rsidRPr="00661DBA" w:rsidRDefault="00630CF5" w:rsidP="00630CF5">
      <w:pPr>
        <w:autoSpaceDE w:val="0"/>
        <w:autoSpaceDN w:val="0"/>
        <w:adjustRightInd w:val="0"/>
        <w:spacing w:after="0"/>
        <w:ind w:left="720"/>
        <w:rPr>
          <w:rFonts w:ascii="Times New Roman" w:hAnsi="Times New Roman"/>
          <w:i/>
          <w:sz w:val="20"/>
          <w:szCs w:val="20"/>
        </w:rPr>
      </w:pPr>
    </w:p>
    <w:p w14:paraId="5567E033" w14:textId="0AC46160" w:rsidR="00630CF5" w:rsidRPr="00661DBA" w:rsidRDefault="00630CF5" w:rsidP="00630CF5">
      <w:pPr>
        <w:numPr>
          <w:ilvl w:val="0"/>
          <w:numId w:val="12"/>
        </w:numPr>
        <w:autoSpaceDE w:val="0"/>
        <w:autoSpaceDN w:val="0"/>
        <w:adjustRightInd w:val="0"/>
        <w:spacing w:after="0"/>
        <w:rPr>
          <w:rFonts w:ascii="Times New Roman" w:hAnsi="Times New Roman"/>
          <w:i/>
          <w:sz w:val="20"/>
          <w:szCs w:val="20"/>
        </w:rPr>
      </w:pPr>
      <w:r>
        <w:rPr>
          <w:rFonts w:ascii="Times New Roman" w:hAnsi="Times New Roman"/>
          <w:sz w:val="20"/>
          <w:szCs w:val="20"/>
        </w:rPr>
        <w:t>The conclusion</w:t>
      </w:r>
      <w:r w:rsidR="00825B77">
        <w:rPr>
          <w:rFonts w:ascii="Times New Roman" w:hAnsi="Times New Roman"/>
          <w:sz w:val="20"/>
          <w:szCs w:val="20"/>
        </w:rPr>
        <w:t>s</w:t>
      </w:r>
      <w:r>
        <w:rPr>
          <w:rFonts w:ascii="Times New Roman" w:hAnsi="Times New Roman"/>
          <w:sz w:val="20"/>
          <w:szCs w:val="20"/>
        </w:rPr>
        <w:t xml:space="preserve"> drawn </w:t>
      </w:r>
      <w:r w:rsidRPr="00042676">
        <w:rPr>
          <w:rFonts w:ascii="f" w:hAnsi="Times New Roman"/>
          <w:sz w:val="20"/>
          <w:szCs w:val="20"/>
        </w:rPr>
        <w:t>from</w:t>
      </w:r>
      <w:r>
        <w:rPr>
          <w:rFonts w:ascii="Times New Roman" w:hAnsi="Times New Roman"/>
          <w:sz w:val="20"/>
          <w:szCs w:val="20"/>
        </w:rPr>
        <w:t xml:space="preserve"> the analysis are as follows:</w:t>
      </w:r>
    </w:p>
    <w:p w14:paraId="02BC301C" w14:textId="4B191D15" w:rsidR="00630CF5" w:rsidRDefault="00837C25" w:rsidP="00630CF5">
      <w:pPr>
        <w:pStyle w:val="ListParagraph"/>
        <w:numPr>
          <w:ilvl w:val="1"/>
          <w:numId w:val="12"/>
        </w:numPr>
        <w:rPr>
          <w:rFonts w:ascii="Times New Roman" w:hAnsi="Times New Roman"/>
          <w:sz w:val="20"/>
          <w:szCs w:val="24"/>
        </w:rPr>
      </w:pPr>
      <w:r>
        <w:rPr>
          <w:rFonts w:ascii="Times New Roman" w:hAnsi="Times New Roman"/>
          <w:sz w:val="20"/>
          <w:szCs w:val="24"/>
        </w:rPr>
        <w:t>There should be more discussion of sample questions in COMP 222 as well as an overview of programming assignments, and less emphasis on low-level hardware implementation and low-level circuit design, and the topic of parallel architectures should be added to the course.</w:t>
      </w:r>
    </w:p>
    <w:p w14:paraId="1D7D8699" w14:textId="4730BD51" w:rsidR="001669D9" w:rsidRDefault="00042676" w:rsidP="00630CF5">
      <w:pPr>
        <w:pStyle w:val="ListParagraph"/>
        <w:numPr>
          <w:ilvl w:val="1"/>
          <w:numId w:val="12"/>
        </w:numPr>
        <w:rPr>
          <w:rFonts w:ascii="Times New Roman" w:hAnsi="Times New Roman"/>
          <w:sz w:val="20"/>
          <w:szCs w:val="24"/>
        </w:rPr>
      </w:pPr>
      <w:r>
        <w:rPr>
          <w:rFonts w:ascii="Times New Roman" w:hAnsi="Times New Roman"/>
          <w:sz w:val="20"/>
          <w:szCs w:val="24"/>
        </w:rPr>
        <w:t>Low assessment scores in COMP 182/L are attributed to students not being adequately prepared in the pre-requisite course COMP 110/L</w:t>
      </w:r>
    </w:p>
    <w:p w14:paraId="455D2E35" w14:textId="03CD870B" w:rsidR="00C81C77" w:rsidRPr="00C81C77" w:rsidRDefault="00042676" w:rsidP="00C81C77">
      <w:pPr>
        <w:pStyle w:val="ListParagraph"/>
        <w:numPr>
          <w:ilvl w:val="1"/>
          <w:numId w:val="12"/>
        </w:numPr>
        <w:rPr>
          <w:rFonts w:ascii="Times New Roman" w:hAnsi="Times New Roman"/>
          <w:sz w:val="20"/>
          <w:szCs w:val="24"/>
        </w:rPr>
      </w:pPr>
      <w:r>
        <w:rPr>
          <w:rFonts w:ascii="Times New Roman" w:hAnsi="Times New Roman"/>
          <w:sz w:val="20"/>
          <w:szCs w:val="24"/>
        </w:rPr>
        <w:t>To combat the low assessment scores in COMP 482, more homework should be assigned on the analysis of algorithms and more help should be given to students who have trouble programming.</w:t>
      </w:r>
    </w:p>
    <w:p w14:paraId="088E60D1" w14:textId="3BAE2B8C" w:rsidR="00630CF5" w:rsidRPr="00F43229" w:rsidRDefault="00630CF5" w:rsidP="00630CF5">
      <w:pPr>
        <w:numPr>
          <w:ilvl w:val="0"/>
          <w:numId w:val="12"/>
        </w:numPr>
        <w:autoSpaceDE w:val="0"/>
        <w:autoSpaceDN w:val="0"/>
        <w:adjustRightInd w:val="0"/>
        <w:spacing w:after="0"/>
        <w:rPr>
          <w:rFonts w:ascii="Times New Roman" w:hAnsi="Times New Roman"/>
          <w:i/>
          <w:sz w:val="20"/>
          <w:szCs w:val="20"/>
        </w:rPr>
      </w:pPr>
      <w:r>
        <w:rPr>
          <w:rFonts w:ascii="Times New Roman" w:hAnsi="Times New Roman"/>
          <w:sz w:val="20"/>
          <w:szCs w:val="20"/>
        </w:rPr>
        <w:t>The changes planned</w:t>
      </w:r>
      <w:r w:rsidR="00837C25">
        <w:rPr>
          <w:rFonts w:ascii="Times New Roman" w:hAnsi="Times New Roman"/>
          <w:sz w:val="20"/>
          <w:szCs w:val="20"/>
        </w:rPr>
        <w:t>/implemented</w:t>
      </w:r>
      <w:r>
        <w:rPr>
          <w:rFonts w:ascii="Times New Roman" w:hAnsi="Times New Roman"/>
          <w:sz w:val="20"/>
          <w:szCs w:val="20"/>
        </w:rPr>
        <w:t xml:space="preserve"> are as follows:</w:t>
      </w:r>
    </w:p>
    <w:p w14:paraId="76A712E9" w14:textId="6E5C88D7" w:rsidR="00630CF5" w:rsidRPr="00042676" w:rsidRDefault="00837C25" w:rsidP="00630CF5">
      <w:pPr>
        <w:numPr>
          <w:ilvl w:val="1"/>
          <w:numId w:val="12"/>
        </w:numPr>
        <w:autoSpaceDE w:val="0"/>
        <w:autoSpaceDN w:val="0"/>
        <w:adjustRightInd w:val="0"/>
        <w:spacing w:after="0"/>
        <w:rPr>
          <w:rFonts w:ascii="Times New Roman" w:hAnsi="Times New Roman"/>
          <w:b/>
          <w:i/>
          <w:sz w:val="20"/>
          <w:szCs w:val="20"/>
        </w:rPr>
      </w:pPr>
      <w:r>
        <w:rPr>
          <w:rFonts w:ascii="Times New Roman" w:hAnsi="Times New Roman"/>
          <w:bCs/>
          <w:iCs/>
          <w:sz w:val="20"/>
          <w:szCs w:val="20"/>
        </w:rPr>
        <w:t>The outdated (and out-of-print) textbook for COMP 222 was replaced starting Fall 2019 with an interactive online textbook that encompasses more modern topics</w:t>
      </w:r>
      <w:r w:rsidR="001669D9">
        <w:rPr>
          <w:rFonts w:ascii="Times New Roman" w:hAnsi="Times New Roman"/>
          <w:bCs/>
          <w:iCs/>
          <w:sz w:val="20"/>
          <w:szCs w:val="20"/>
        </w:rPr>
        <w:t>, including parallel architectures,</w:t>
      </w:r>
      <w:r>
        <w:rPr>
          <w:rFonts w:ascii="Times New Roman" w:hAnsi="Times New Roman"/>
          <w:bCs/>
          <w:iCs/>
          <w:sz w:val="20"/>
          <w:szCs w:val="20"/>
        </w:rPr>
        <w:t xml:space="preserve"> with examples more reflective of modern technological standards.</w:t>
      </w:r>
    </w:p>
    <w:p w14:paraId="025BCA38" w14:textId="28E13F76" w:rsidR="00C81C77" w:rsidRPr="00C81C77" w:rsidRDefault="00042676" w:rsidP="00C81C77">
      <w:pPr>
        <w:numPr>
          <w:ilvl w:val="1"/>
          <w:numId w:val="12"/>
        </w:numPr>
        <w:autoSpaceDE w:val="0"/>
        <w:autoSpaceDN w:val="0"/>
        <w:adjustRightInd w:val="0"/>
        <w:spacing w:after="0"/>
        <w:rPr>
          <w:rFonts w:ascii="Times New Roman" w:hAnsi="Times New Roman"/>
          <w:b/>
          <w:i/>
          <w:sz w:val="20"/>
          <w:szCs w:val="20"/>
        </w:rPr>
      </w:pPr>
      <w:r>
        <w:rPr>
          <w:rFonts w:ascii="Times New Roman" w:hAnsi="Times New Roman"/>
          <w:bCs/>
          <w:iCs/>
          <w:sz w:val="20"/>
          <w:szCs w:val="20"/>
        </w:rPr>
        <w:t>To better prepare students for COMP 182/L, a new experimental year-long course COMP 196AA/L &amp; COMP 196AB/L was offered starting from Fall 1018 as a substitute course for COMP 110/L, to attempt to better prepare students for COMP 182/L.</w:t>
      </w:r>
    </w:p>
    <w:p w14:paraId="644C6543" w14:textId="77777777" w:rsidR="00C81C77" w:rsidRDefault="00C81C77" w:rsidP="00C81C77">
      <w:pPr>
        <w:autoSpaceDE w:val="0"/>
        <w:autoSpaceDN w:val="0"/>
        <w:adjustRightInd w:val="0"/>
        <w:spacing w:after="0"/>
        <w:ind w:left="1440"/>
        <w:rPr>
          <w:rFonts w:ascii="Times New Roman" w:hAnsi="Times New Roman"/>
          <w:b/>
          <w:i/>
          <w:sz w:val="20"/>
          <w:szCs w:val="20"/>
        </w:rPr>
      </w:pPr>
    </w:p>
    <w:p w14:paraId="3739D860" w14:textId="0352E09F" w:rsidR="00C81C77" w:rsidRDefault="00C81C77" w:rsidP="00C81C77">
      <w:pPr>
        <w:numPr>
          <w:ilvl w:val="0"/>
          <w:numId w:val="12"/>
        </w:numPr>
        <w:autoSpaceDE w:val="0"/>
        <w:autoSpaceDN w:val="0"/>
        <w:adjustRightInd w:val="0"/>
        <w:spacing w:after="0"/>
        <w:rPr>
          <w:rFonts w:ascii="Times New Roman" w:hAnsi="Times New Roman"/>
          <w:bCs/>
          <w:iCs/>
          <w:sz w:val="20"/>
          <w:szCs w:val="20"/>
        </w:rPr>
      </w:pPr>
      <w:r w:rsidRPr="00C81C77">
        <w:rPr>
          <w:rFonts w:ascii="Times New Roman" w:hAnsi="Times New Roman"/>
          <w:bCs/>
          <w:iCs/>
          <w:sz w:val="20"/>
          <w:szCs w:val="20"/>
        </w:rPr>
        <w:t>The</w:t>
      </w:r>
      <w:r>
        <w:rPr>
          <w:rFonts w:ascii="Times New Roman" w:hAnsi="Times New Roman"/>
          <w:bCs/>
          <w:iCs/>
          <w:sz w:val="20"/>
          <w:szCs w:val="20"/>
        </w:rPr>
        <w:t xml:space="preserve"> relation between this year’s analyses and past and future assessment activities are as follows:</w:t>
      </w:r>
    </w:p>
    <w:p w14:paraId="30A87EE0" w14:textId="77777777" w:rsidR="00C81C77" w:rsidRDefault="00C81C77" w:rsidP="00C81C77">
      <w:pPr>
        <w:numPr>
          <w:ilvl w:val="1"/>
          <w:numId w:val="12"/>
        </w:numPr>
        <w:autoSpaceDE w:val="0"/>
        <w:autoSpaceDN w:val="0"/>
        <w:adjustRightInd w:val="0"/>
        <w:spacing w:after="0"/>
        <w:rPr>
          <w:rFonts w:ascii="Times New Roman" w:hAnsi="Times New Roman"/>
          <w:bCs/>
          <w:iCs/>
          <w:sz w:val="20"/>
          <w:szCs w:val="20"/>
        </w:rPr>
      </w:pPr>
      <w:r>
        <w:rPr>
          <w:rFonts w:ascii="Times New Roman" w:hAnsi="Times New Roman"/>
          <w:bCs/>
          <w:iCs/>
          <w:sz w:val="20"/>
          <w:szCs w:val="20"/>
        </w:rPr>
        <w:t>This year’s analysis is the response of the assessment activity of measuring student outcomes SO 3 and SO 6 during the 2017-2018 academic year.</w:t>
      </w:r>
    </w:p>
    <w:p w14:paraId="7B017CE8" w14:textId="6C8CB044" w:rsidR="00C81C77" w:rsidRPr="00C81C77" w:rsidRDefault="00C81C77" w:rsidP="00C81C77">
      <w:pPr>
        <w:numPr>
          <w:ilvl w:val="1"/>
          <w:numId w:val="12"/>
        </w:numPr>
        <w:autoSpaceDE w:val="0"/>
        <w:autoSpaceDN w:val="0"/>
        <w:adjustRightInd w:val="0"/>
        <w:spacing w:after="0"/>
        <w:rPr>
          <w:rFonts w:ascii="Times New Roman" w:hAnsi="Times New Roman"/>
          <w:bCs/>
          <w:iCs/>
          <w:sz w:val="20"/>
          <w:szCs w:val="20"/>
        </w:rPr>
      </w:pPr>
      <w:r>
        <w:rPr>
          <w:rFonts w:ascii="Times New Roman" w:hAnsi="Times New Roman"/>
          <w:bCs/>
          <w:iCs/>
          <w:sz w:val="20"/>
          <w:szCs w:val="20"/>
        </w:rPr>
        <w:t xml:space="preserve">Relative to future assessment activities, the observations and evaluations obtained in this year will serve as items to induce topical changes in the appropriate courses.  After the ABET accreditation review in October 2019, and based on the feedback received from the review, the new assessment cycle begins again during the 2020-2021 academic year to measure a subset of the student outcomes. </w:t>
      </w:r>
    </w:p>
    <w:p w14:paraId="0AA3C9C5" w14:textId="77777777" w:rsidR="00630CF5" w:rsidRDefault="00630CF5" w:rsidP="00281389">
      <w:pPr>
        <w:pStyle w:val="MediumGrid1-Accent21"/>
        <w:ind w:left="0"/>
        <w:rPr>
          <w:rFonts w:ascii="Times New Roman" w:hAnsi="Times New Roman"/>
          <w:sz w:val="20"/>
          <w:szCs w:val="20"/>
        </w:rPr>
      </w:pPr>
    </w:p>
    <w:sectPr w:rsidR="00630CF5"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E454" w14:textId="77777777" w:rsidR="002C7058" w:rsidRDefault="002C7058" w:rsidP="00281389">
      <w:pPr>
        <w:spacing w:after="0" w:line="240" w:lineRule="auto"/>
      </w:pPr>
      <w:r>
        <w:separator/>
      </w:r>
    </w:p>
  </w:endnote>
  <w:endnote w:type="continuationSeparator" w:id="0">
    <w:p w14:paraId="35AB871B" w14:textId="77777777" w:rsidR="002C7058" w:rsidRDefault="002C7058"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0A4D"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14:paraId="44770044"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1146"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281389">
      <w:rPr>
        <w:rStyle w:val="PageNumber"/>
        <w:noProof/>
      </w:rPr>
      <w:t>2</w:t>
    </w:r>
    <w:r>
      <w:rPr>
        <w:rStyle w:val="PageNumber"/>
      </w:rPr>
      <w:fldChar w:fldCharType="end"/>
    </w:r>
  </w:p>
  <w:p w14:paraId="3F6BA9A9" w14:textId="77777777" w:rsidR="00281389" w:rsidRDefault="00281389" w:rsidP="00281389">
    <w:pPr>
      <w:pStyle w:val="Footer"/>
      <w:ind w:right="360"/>
    </w:pPr>
  </w:p>
  <w:p w14:paraId="20587C5B"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F6E2" w14:textId="77777777" w:rsidR="002C7058" w:rsidRDefault="002C7058" w:rsidP="00281389">
      <w:pPr>
        <w:spacing w:after="0" w:line="240" w:lineRule="auto"/>
      </w:pPr>
      <w:r>
        <w:separator/>
      </w:r>
    </w:p>
  </w:footnote>
  <w:footnote w:type="continuationSeparator" w:id="0">
    <w:p w14:paraId="5FAF987F" w14:textId="77777777" w:rsidR="002C7058" w:rsidRDefault="002C7058"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F2B"/>
    <w:multiLevelType w:val="hybridMultilevel"/>
    <w:tmpl w:val="BD7A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
  </w:num>
  <w:num w:numId="3">
    <w:abstractNumId w:val="10"/>
  </w:num>
  <w:num w:numId="4">
    <w:abstractNumId w:val="5"/>
  </w:num>
  <w:num w:numId="5">
    <w:abstractNumId w:val="9"/>
  </w:num>
  <w:num w:numId="6">
    <w:abstractNumId w:val="6"/>
  </w:num>
  <w:num w:numId="7">
    <w:abstractNumId w:val="2"/>
  </w:num>
  <w:num w:numId="8">
    <w:abstractNumId w:val="7"/>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5"/>
    <w:rsid w:val="00025BEE"/>
    <w:rsid w:val="00042676"/>
    <w:rsid w:val="00117A45"/>
    <w:rsid w:val="001669D9"/>
    <w:rsid w:val="0021571A"/>
    <w:rsid w:val="00281389"/>
    <w:rsid w:val="002C7058"/>
    <w:rsid w:val="00353795"/>
    <w:rsid w:val="003A41A4"/>
    <w:rsid w:val="003D0F20"/>
    <w:rsid w:val="003D5616"/>
    <w:rsid w:val="00630CF5"/>
    <w:rsid w:val="00637B83"/>
    <w:rsid w:val="00676B1D"/>
    <w:rsid w:val="00772D52"/>
    <w:rsid w:val="00825B77"/>
    <w:rsid w:val="00837C25"/>
    <w:rsid w:val="008421B7"/>
    <w:rsid w:val="008B421D"/>
    <w:rsid w:val="008F1180"/>
    <w:rsid w:val="009274ED"/>
    <w:rsid w:val="009312BC"/>
    <w:rsid w:val="009437FC"/>
    <w:rsid w:val="009471A9"/>
    <w:rsid w:val="00B11847"/>
    <w:rsid w:val="00C361DE"/>
    <w:rsid w:val="00C81C77"/>
    <w:rsid w:val="00D2723C"/>
    <w:rsid w:val="00D32CB0"/>
    <w:rsid w:val="00E73C8E"/>
    <w:rsid w:val="00F75FA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0DCF"/>
  <w15:docId w15:val="{F776C1C8-6E70-49B0-BB48-8D32EAC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paragraph" w:styleId="ListParagraph">
    <w:name w:val="List Paragraph"/>
    <w:basedOn w:val="Normal"/>
    <w:uiPriority w:val="34"/>
    <w:qFormat/>
    <w:rsid w:val="00630CF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5586</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Paul Chin</cp:lastModifiedBy>
  <cp:revision>5</cp:revision>
  <cp:lastPrinted>2014-10-20T20:50:00Z</cp:lastPrinted>
  <dcterms:created xsi:type="dcterms:W3CDTF">2019-09-27T02:07:00Z</dcterms:created>
  <dcterms:modified xsi:type="dcterms:W3CDTF">2019-10-01T05:09:00Z</dcterms:modified>
</cp:coreProperties>
</file>