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FF004" w14:textId="77777777" w:rsidR="009A198F" w:rsidRDefault="009A198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00" w:type="dxa"/>
        <w:tblInd w:w="90" w:type="dxa"/>
        <w:tblBorders>
          <w:bottom w:val="single" w:sz="4" w:space="0" w:color="000000"/>
        </w:tblBorders>
        <w:tblLayout w:type="fixed"/>
        <w:tblLook w:val="0000" w:firstRow="0" w:lastRow="0" w:firstColumn="0" w:lastColumn="0" w:noHBand="0" w:noVBand="0"/>
      </w:tblPr>
      <w:tblGrid>
        <w:gridCol w:w="5406"/>
        <w:gridCol w:w="4494"/>
      </w:tblGrid>
      <w:tr w:rsidR="009A198F" w14:paraId="26CBCF67" w14:textId="77777777">
        <w:trPr>
          <w:trHeight w:val="720"/>
        </w:trPr>
        <w:tc>
          <w:tcPr>
            <w:tcW w:w="5406" w:type="dxa"/>
          </w:tcPr>
          <w:p w14:paraId="3537A192" w14:textId="77777777" w:rsidR="009A198F" w:rsidRDefault="00D46D27">
            <w:pPr>
              <w:spacing w:after="60"/>
              <w:ind w:left="-105"/>
              <w:rPr>
                <w:rFonts w:ascii="Arial" w:eastAsia="Arial" w:hAnsi="Arial" w:cs="Arial"/>
                <w:sz w:val="20"/>
                <w:szCs w:val="20"/>
              </w:rPr>
            </w:pPr>
            <w:r>
              <w:rPr>
                <w:rFonts w:ascii="Arial" w:eastAsia="Arial" w:hAnsi="Arial" w:cs="Arial"/>
                <w:noProof/>
              </w:rPr>
              <w:drawing>
                <wp:inline distT="0" distB="0" distL="0" distR="0" wp14:anchorId="0D421933" wp14:editId="3BCD6609">
                  <wp:extent cx="2862995" cy="410055"/>
                  <wp:effectExtent l="0" t="0" r="0" b="0"/>
                  <wp:docPr id="1" name="image2.png" descr="California State University, Northridge - Home"/>
                  <wp:cNvGraphicFramePr/>
                  <a:graphic xmlns:a="http://schemas.openxmlformats.org/drawingml/2006/main">
                    <a:graphicData uri="http://schemas.openxmlformats.org/drawingml/2006/picture">
                      <pic:pic xmlns:pic="http://schemas.openxmlformats.org/drawingml/2006/picture">
                        <pic:nvPicPr>
                          <pic:cNvPr id="0" name="image2.png" descr="California State University, Northridge - Home"/>
                          <pic:cNvPicPr preferRelativeResize="0"/>
                        </pic:nvPicPr>
                        <pic:blipFill>
                          <a:blip r:embed="rId7"/>
                          <a:srcRect/>
                          <a:stretch>
                            <a:fillRect/>
                          </a:stretch>
                        </pic:blipFill>
                        <pic:spPr>
                          <a:xfrm>
                            <a:off x="0" y="0"/>
                            <a:ext cx="2862995" cy="410055"/>
                          </a:xfrm>
                          <a:prstGeom prst="rect">
                            <a:avLst/>
                          </a:prstGeom>
                          <a:ln/>
                        </pic:spPr>
                      </pic:pic>
                    </a:graphicData>
                  </a:graphic>
                </wp:inline>
              </w:drawing>
            </w:r>
          </w:p>
        </w:tc>
        <w:tc>
          <w:tcPr>
            <w:tcW w:w="4494" w:type="dxa"/>
            <w:vAlign w:val="bottom"/>
          </w:tcPr>
          <w:p w14:paraId="323E28E5" w14:textId="77777777" w:rsidR="009A198F" w:rsidRDefault="00D46D27">
            <w:pPr>
              <w:ind w:left="-120"/>
              <w:jc w:val="right"/>
              <w:rPr>
                <w:rFonts w:ascii="Arial" w:eastAsia="Arial" w:hAnsi="Arial" w:cs="Arial"/>
                <w:b/>
              </w:rPr>
            </w:pPr>
            <w:r>
              <w:rPr>
                <w:rFonts w:ascii="Arial" w:eastAsia="Arial" w:hAnsi="Arial" w:cs="Arial"/>
                <w:b/>
                <w:sz w:val="26"/>
                <w:szCs w:val="26"/>
              </w:rPr>
              <w:t>FACULTY POSITION ANNOUNCEMENT</w:t>
            </w:r>
            <w:r>
              <w:rPr>
                <w:rFonts w:ascii="Arial" w:eastAsia="Arial" w:hAnsi="Arial" w:cs="Arial"/>
                <w:b/>
                <w:sz w:val="28"/>
                <w:szCs w:val="28"/>
              </w:rPr>
              <w:br/>
            </w:r>
            <w:r>
              <w:rPr>
                <w:rFonts w:ascii="Arial" w:eastAsia="Arial" w:hAnsi="Arial" w:cs="Arial"/>
                <w:b/>
              </w:rPr>
              <w:t>TENURE-TRACK</w:t>
            </w:r>
          </w:p>
          <w:p w14:paraId="15B39E47" w14:textId="77777777" w:rsidR="009A198F" w:rsidRDefault="00D46D27">
            <w:pPr>
              <w:jc w:val="right"/>
              <w:rPr>
                <w:rFonts w:ascii="Arial" w:eastAsia="Arial" w:hAnsi="Arial" w:cs="Arial"/>
                <w:b/>
                <w:smallCaps/>
                <w:sz w:val="22"/>
                <w:szCs w:val="22"/>
              </w:rPr>
            </w:pPr>
            <w:r>
              <w:rPr>
                <w:rFonts w:ascii="Arial" w:eastAsia="Arial" w:hAnsi="Arial" w:cs="Arial"/>
                <w:b/>
                <w:sz w:val="28"/>
                <w:szCs w:val="28"/>
              </w:rPr>
              <w:t xml:space="preserve">    </w:t>
            </w:r>
            <w:r>
              <w:rPr>
                <w:rFonts w:ascii="Arial" w:eastAsia="Arial" w:hAnsi="Arial" w:cs="Arial"/>
                <w:b/>
                <w:sz w:val="22"/>
                <w:szCs w:val="22"/>
              </w:rPr>
              <w:tab/>
            </w:r>
            <w:r>
              <w:rPr>
                <w:rFonts w:ascii="Arial" w:eastAsia="Arial" w:hAnsi="Arial" w:cs="Arial"/>
                <w:b/>
                <w:sz w:val="20"/>
                <w:szCs w:val="20"/>
              </w:rPr>
              <w:t>(formerly AA-1)</w:t>
            </w:r>
          </w:p>
        </w:tc>
      </w:tr>
    </w:tbl>
    <w:p w14:paraId="73E07270" w14:textId="77777777" w:rsidR="009A198F" w:rsidRDefault="009A198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sz w:val="22"/>
          <w:szCs w:val="22"/>
        </w:rPr>
      </w:pPr>
    </w:p>
    <w:p w14:paraId="04933298" w14:textId="77777777" w:rsidR="009A198F" w:rsidRDefault="009A198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sz w:val="22"/>
          <w:szCs w:val="22"/>
        </w:rPr>
      </w:pPr>
    </w:p>
    <w:tbl>
      <w:tblPr>
        <w:tblStyle w:val="a0"/>
        <w:tblW w:w="10139" w:type="dxa"/>
        <w:tblBorders>
          <w:top w:val="nil"/>
          <w:left w:val="nil"/>
          <w:bottom w:val="nil"/>
          <w:right w:val="nil"/>
          <w:insideH w:val="nil"/>
          <w:insideV w:val="nil"/>
        </w:tblBorders>
        <w:tblLayout w:type="fixed"/>
        <w:tblLook w:val="0400" w:firstRow="0" w:lastRow="0" w:firstColumn="0" w:lastColumn="0" w:noHBand="0" w:noVBand="1"/>
      </w:tblPr>
      <w:tblGrid>
        <w:gridCol w:w="4980"/>
        <w:gridCol w:w="5159"/>
      </w:tblGrid>
      <w:tr w:rsidR="009A198F" w14:paraId="341382CD" w14:textId="77777777">
        <w:trPr>
          <w:trHeight w:val="600"/>
        </w:trPr>
        <w:tc>
          <w:tcPr>
            <w:tcW w:w="4980" w:type="dxa"/>
          </w:tcPr>
          <w:p w14:paraId="1E08A718" w14:textId="7820779F" w:rsidR="009A198F" w:rsidRDefault="00D46D27">
            <w:pPr>
              <w:jc w:val="both"/>
              <w:rPr>
                <w:rFonts w:ascii="Arial" w:eastAsia="Arial" w:hAnsi="Arial" w:cs="Arial"/>
                <w:b/>
                <w:sz w:val="22"/>
                <w:szCs w:val="22"/>
              </w:rPr>
            </w:pPr>
            <w:bookmarkStart w:id="0" w:name="_gjdgxs" w:colFirst="0" w:colLast="0"/>
            <w:bookmarkEnd w:id="0"/>
            <w:r>
              <w:rPr>
                <w:rFonts w:ascii="Arial" w:eastAsia="Arial" w:hAnsi="Arial" w:cs="Arial"/>
                <w:b/>
                <w:sz w:val="22"/>
                <w:szCs w:val="22"/>
              </w:rPr>
              <w:t>Department: Business Law</w:t>
            </w:r>
          </w:p>
          <w:p w14:paraId="4CFF0E32" w14:textId="7726199E" w:rsidR="009A198F" w:rsidRDefault="00D46D27" w:rsidP="00601E68">
            <w:pPr>
              <w:jc w:val="both"/>
              <w:rPr>
                <w:rFonts w:ascii="Arial" w:eastAsia="Arial" w:hAnsi="Arial" w:cs="Arial"/>
                <w:sz w:val="22"/>
                <w:szCs w:val="22"/>
              </w:rPr>
            </w:pPr>
            <w:r>
              <w:rPr>
                <w:rFonts w:ascii="Arial" w:eastAsia="Arial" w:hAnsi="Arial" w:cs="Arial"/>
                <w:b/>
                <w:sz w:val="22"/>
                <w:szCs w:val="22"/>
              </w:rPr>
              <w:t xml:space="preserve">Faculty Hire Number: </w:t>
            </w:r>
            <w:r w:rsidR="00601E68">
              <w:rPr>
                <w:rFonts w:ascii="Arial" w:eastAsia="Arial" w:hAnsi="Arial" w:cs="Arial"/>
                <w:b/>
                <w:sz w:val="22"/>
                <w:szCs w:val="22"/>
              </w:rPr>
              <w:t>20-05</w:t>
            </w:r>
            <w:bookmarkStart w:id="1" w:name="_GoBack"/>
            <w:bookmarkEnd w:id="1"/>
          </w:p>
        </w:tc>
        <w:tc>
          <w:tcPr>
            <w:tcW w:w="5159" w:type="dxa"/>
          </w:tcPr>
          <w:p w14:paraId="6FD08321" w14:textId="7302F4BC" w:rsidR="009A198F" w:rsidRDefault="00D46D27">
            <w:pPr>
              <w:jc w:val="both"/>
              <w:rPr>
                <w:rFonts w:ascii="Arial" w:eastAsia="Arial" w:hAnsi="Arial" w:cs="Arial"/>
                <w:sz w:val="22"/>
                <w:szCs w:val="22"/>
              </w:rPr>
            </w:pPr>
            <w:r>
              <w:rPr>
                <w:rFonts w:ascii="Arial" w:eastAsia="Arial" w:hAnsi="Arial" w:cs="Arial"/>
                <w:b/>
                <w:sz w:val="22"/>
                <w:szCs w:val="22"/>
              </w:rPr>
              <w:t xml:space="preserve">Effective Date of Appointment: </w:t>
            </w:r>
            <w:r w:rsidR="001E3B5C">
              <w:rPr>
                <w:rFonts w:ascii="Arial" w:eastAsia="Arial" w:hAnsi="Arial" w:cs="Arial"/>
                <w:b/>
                <w:sz w:val="20"/>
                <w:szCs w:val="20"/>
              </w:rPr>
              <w:t>August 19</w:t>
            </w:r>
            <w:r w:rsidR="000D34C3">
              <w:rPr>
                <w:rFonts w:ascii="Arial" w:eastAsia="Arial" w:hAnsi="Arial" w:cs="Arial"/>
                <w:b/>
                <w:sz w:val="20"/>
                <w:szCs w:val="20"/>
              </w:rPr>
              <w:t xml:space="preserve"> 2020</w:t>
            </w:r>
          </w:p>
          <w:p w14:paraId="2D438991" w14:textId="77777777" w:rsidR="009A198F" w:rsidRDefault="00D46D27">
            <w:pPr>
              <w:jc w:val="both"/>
              <w:rPr>
                <w:rFonts w:ascii="Arial" w:eastAsia="Arial" w:hAnsi="Arial" w:cs="Arial"/>
                <w:sz w:val="22"/>
                <w:szCs w:val="22"/>
              </w:rPr>
            </w:pPr>
            <w:r>
              <w:rPr>
                <w:rFonts w:ascii="Arial" w:eastAsia="Arial" w:hAnsi="Arial" w:cs="Arial"/>
                <w:sz w:val="22"/>
                <w:szCs w:val="22"/>
              </w:rPr>
              <w:t>(Subject to Budgetary Approval)</w:t>
            </w:r>
            <w:r>
              <w:rPr>
                <w:rFonts w:ascii="Arial" w:eastAsia="Arial" w:hAnsi="Arial" w:cs="Arial"/>
                <w:sz w:val="22"/>
                <w:szCs w:val="22"/>
              </w:rPr>
              <w:tab/>
            </w:r>
          </w:p>
          <w:p w14:paraId="13014DD4" w14:textId="77777777" w:rsidR="009A198F" w:rsidRDefault="009A198F">
            <w:pPr>
              <w:jc w:val="both"/>
              <w:rPr>
                <w:rFonts w:ascii="Arial" w:eastAsia="Arial" w:hAnsi="Arial" w:cs="Arial"/>
                <w:sz w:val="22"/>
                <w:szCs w:val="22"/>
              </w:rPr>
            </w:pPr>
          </w:p>
        </w:tc>
      </w:tr>
      <w:tr w:rsidR="009A198F" w14:paraId="509EEE31" w14:textId="77777777">
        <w:trPr>
          <w:trHeight w:val="340"/>
        </w:trPr>
        <w:tc>
          <w:tcPr>
            <w:tcW w:w="4980" w:type="dxa"/>
          </w:tcPr>
          <w:p w14:paraId="6B8DC292" w14:textId="77777777" w:rsidR="009A198F" w:rsidRDefault="009A198F">
            <w:pPr>
              <w:jc w:val="both"/>
              <w:rPr>
                <w:rFonts w:ascii="Arial" w:eastAsia="Arial" w:hAnsi="Arial" w:cs="Arial"/>
                <w:sz w:val="20"/>
                <w:szCs w:val="20"/>
              </w:rPr>
            </w:pPr>
          </w:p>
          <w:p w14:paraId="386E3B8C" w14:textId="6DFFFCDF" w:rsidR="009A198F" w:rsidRDefault="00D46D27">
            <w:pPr>
              <w:jc w:val="both"/>
              <w:rPr>
                <w:rFonts w:ascii="Arial" w:eastAsia="Arial" w:hAnsi="Arial" w:cs="Arial"/>
                <w:sz w:val="20"/>
                <w:szCs w:val="20"/>
              </w:rPr>
            </w:pPr>
            <w:r>
              <w:rPr>
                <w:rFonts w:ascii="Arial" w:eastAsia="Arial" w:hAnsi="Arial" w:cs="Arial"/>
                <w:b/>
                <w:sz w:val="20"/>
                <w:szCs w:val="20"/>
              </w:rPr>
              <w:t xml:space="preserve">Rank: </w:t>
            </w:r>
            <w:r>
              <w:rPr>
                <w:rFonts w:ascii="Arial" w:eastAsia="Arial" w:hAnsi="Arial" w:cs="Arial"/>
                <w:sz w:val="20"/>
                <w:szCs w:val="20"/>
              </w:rPr>
              <w:t xml:space="preserve">    Assistant Professor</w:t>
            </w:r>
          </w:p>
        </w:tc>
        <w:tc>
          <w:tcPr>
            <w:tcW w:w="5159" w:type="dxa"/>
          </w:tcPr>
          <w:p w14:paraId="77EF41E6" w14:textId="77777777" w:rsidR="009A198F" w:rsidRDefault="009A198F">
            <w:pPr>
              <w:jc w:val="both"/>
              <w:rPr>
                <w:rFonts w:ascii="Arial" w:eastAsia="Arial" w:hAnsi="Arial" w:cs="Arial"/>
                <w:sz w:val="20"/>
                <w:szCs w:val="20"/>
              </w:rPr>
            </w:pPr>
          </w:p>
          <w:p w14:paraId="30BFFECE" w14:textId="77777777" w:rsidR="009A198F" w:rsidRDefault="00D46D27">
            <w:pPr>
              <w:jc w:val="both"/>
              <w:rPr>
                <w:rFonts w:ascii="Arial" w:eastAsia="Arial" w:hAnsi="Arial" w:cs="Arial"/>
                <w:sz w:val="20"/>
                <w:szCs w:val="20"/>
              </w:rPr>
            </w:pPr>
            <w:r>
              <w:rPr>
                <w:rFonts w:ascii="Arial" w:eastAsia="Arial" w:hAnsi="Arial" w:cs="Arial"/>
                <w:b/>
                <w:sz w:val="20"/>
                <w:szCs w:val="20"/>
              </w:rPr>
              <w:t>Salary:</w:t>
            </w:r>
            <w:r>
              <w:rPr>
                <w:rFonts w:ascii="Arial" w:eastAsia="Arial" w:hAnsi="Arial" w:cs="Arial"/>
                <w:sz w:val="20"/>
                <w:szCs w:val="20"/>
              </w:rPr>
              <w:t xml:space="preserve"> Dependent upon qualifications</w:t>
            </w:r>
          </w:p>
        </w:tc>
      </w:tr>
    </w:tbl>
    <w:p w14:paraId="7C24A0F8" w14:textId="77777777" w:rsidR="009A198F" w:rsidRDefault="009A198F">
      <w:pPr>
        <w:jc w:val="both"/>
        <w:rPr>
          <w:rFonts w:ascii="Arial" w:eastAsia="Arial" w:hAnsi="Arial" w:cs="Arial"/>
          <w:sz w:val="20"/>
          <w:szCs w:val="20"/>
        </w:rPr>
      </w:pPr>
    </w:p>
    <w:tbl>
      <w:tblPr>
        <w:tblStyle w:val="a1"/>
        <w:tblW w:w="10080" w:type="dxa"/>
        <w:tblBorders>
          <w:top w:val="nil"/>
          <w:left w:val="nil"/>
          <w:bottom w:val="nil"/>
          <w:right w:val="nil"/>
          <w:insideH w:val="nil"/>
          <w:insideV w:val="nil"/>
        </w:tblBorders>
        <w:tblLayout w:type="fixed"/>
        <w:tblLook w:val="0400" w:firstRow="0" w:lastRow="0" w:firstColumn="0" w:lastColumn="0" w:noHBand="0" w:noVBand="1"/>
      </w:tblPr>
      <w:tblGrid>
        <w:gridCol w:w="10080"/>
      </w:tblGrid>
      <w:tr w:rsidR="009A198F" w14:paraId="6E81AC04" w14:textId="77777777">
        <w:tc>
          <w:tcPr>
            <w:tcW w:w="10080" w:type="dxa"/>
          </w:tcPr>
          <w:p w14:paraId="24403BC3" w14:textId="77777777" w:rsidR="009A198F" w:rsidRDefault="00D46D27">
            <w:pPr>
              <w:jc w:val="both"/>
              <w:rPr>
                <w:rFonts w:ascii="Arial" w:eastAsia="Arial" w:hAnsi="Arial" w:cs="Arial"/>
                <w:b/>
                <w:sz w:val="20"/>
                <w:szCs w:val="20"/>
              </w:rPr>
            </w:pPr>
            <w:r>
              <w:rPr>
                <w:rFonts w:ascii="Arial" w:eastAsia="Arial" w:hAnsi="Arial" w:cs="Arial"/>
                <w:b/>
                <w:sz w:val="20"/>
                <w:szCs w:val="20"/>
              </w:rPr>
              <w:t>About the University:</w:t>
            </w:r>
          </w:p>
          <w:p w14:paraId="4F417072" w14:textId="77777777" w:rsidR="009A198F" w:rsidRDefault="00D46D27">
            <w:pPr>
              <w:jc w:val="both"/>
              <w:rPr>
                <w:rFonts w:ascii="Arial" w:eastAsia="Arial" w:hAnsi="Arial" w:cs="Arial"/>
                <w:sz w:val="20"/>
                <w:szCs w:val="20"/>
              </w:rPr>
            </w:pPr>
            <w:r>
              <w:rPr>
                <w:rFonts w:ascii="Arial" w:eastAsia="Arial" w:hAnsi="Arial" w:cs="Arial"/>
                <w:sz w:val="20"/>
                <w:szCs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Pr>
                <w:rFonts w:ascii="Arial" w:eastAsia="Arial" w:hAnsi="Arial" w:cs="Arial"/>
                <w:sz w:val="20"/>
                <w:szCs w:val="20"/>
                <w:vertAlign w:val="superscript"/>
              </w:rPr>
              <w:t>th</w:t>
            </w:r>
            <w:r>
              <w:rPr>
                <w:rFonts w:ascii="Arial" w:eastAsia="Arial" w:hAnsi="Arial" w:cs="Arial"/>
                <w:sz w:val="20"/>
                <w:szCs w:val="20"/>
              </w:rPr>
              <w:t> in awarding bachelor’s degrees to historically underrepresented students and enrolls the largest number of students who are Deaf and hard of hearing of any U.S. state university. The journal </w:t>
            </w:r>
            <w:r>
              <w:rPr>
                <w:rFonts w:ascii="Arial" w:eastAsia="Arial" w:hAnsi="Arial" w:cs="Arial"/>
                <w:i/>
                <w:sz w:val="20"/>
                <w:szCs w:val="20"/>
              </w:rPr>
              <w:t>Nature</w:t>
            </w:r>
            <w:r>
              <w:rPr>
                <w:rFonts w:ascii="Arial" w:eastAsia="Arial" w:hAnsi="Arial" w:cs="Arial"/>
                <w:sz w:val="20"/>
                <w:szCs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14:paraId="1C839FA1" w14:textId="77777777" w:rsidR="009A198F" w:rsidRDefault="009A198F">
            <w:pPr>
              <w:jc w:val="both"/>
              <w:rPr>
                <w:rFonts w:ascii="Arial" w:eastAsia="Arial" w:hAnsi="Arial" w:cs="Arial"/>
                <w:sz w:val="20"/>
                <w:szCs w:val="20"/>
              </w:rPr>
            </w:pPr>
          </w:p>
          <w:p w14:paraId="008FB1A5" w14:textId="77777777" w:rsidR="009A198F" w:rsidRDefault="00D46D27">
            <w:pPr>
              <w:jc w:val="both"/>
              <w:rPr>
                <w:rFonts w:ascii="Arial" w:eastAsia="Arial" w:hAnsi="Arial" w:cs="Arial"/>
                <w:b/>
                <w:sz w:val="20"/>
                <w:szCs w:val="20"/>
              </w:rPr>
            </w:pPr>
            <w:r>
              <w:rPr>
                <w:rFonts w:ascii="Arial" w:eastAsia="Arial" w:hAnsi="Arial" w:cs="Arial"/>
                <w:b/>
                <w:sz w:val="20"/>
                <w:szCs w:val="20"/>
              </w:rPr>
              <w:t>About the College:</w:t>
            </w:r>
          </w:p>
          <w:p w14:paraId="239EA55D" w14:textId="77777777" w:rsidR="009A198F" w:rsidRDefault="00D46D2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David Nazarian College of Business and Economics is one of largest business schools in the nation and is accredited by AACSB International, the highest standard in business and management education. We offer a variety of outstanding academic programs, including undergraduate programs in accountancy, business administration, economics, finance, information systems, management, and marketing. Many of our most capable undergraduate students enroll in our honors program as recognition of their demonstrated academic success and as a program to encourage their continued academic growth. For more information, visit the college website at </w:t>
            </w:r>
            <w:hyperlink r:id="rId8">
              <w:r>
                <w:rPr>
                  <w:rFonts w:ascii="Arial" w:eastAsia="Arial" w:hAnsi="Arial" w:cs="Arial"/>
                  <w:color w:val="0000FF"/>
                  <w:sz w:val="20"/>
                  <w:szCs w:val="20"/>
                  <w:u w:val="single"/>
                </w:rPr>
                <w:t>www.csun.edu/busecon</w:t>
              </w:r>
            </w:hyperlink>
            <w:r>
              <w:rPr>
                <w:rFonts w:ascii="Arial" w:eastAsia="Arial" w:hAnsi="Arial" w:cs="Arial"/>
                <w:color w:val="000000"/>
                <w:sz w:val="20"/>
                <w:szCs w:val="20"/>
              </w:rPr>
              <w:t xml:space="preserve">. </w:t>
            </w:r>
          </w:p>
          <w:p w14:paraId="183AB0E3" w14:textId="77777777" w:rsidR="009A198F" w:rsidRDefault="009A198F">
            <w:pPr>
              <w:pBdr>
                <w:top w:val="nil"/>
                <w:left w:val="nil"/>
                <w:bottom w:val="nil"/>
                <w:right w:val="nil"/>
                <w:between w:val="nil"/>
              </w:pBdr>
              <w:rPr>
                <w:rFonts w:ascii="Arial" w:eastAsia="Arial" w:hAnsi="Arial" w:cs="Arial"/>
                <w:color w:val="000000"/>
                <w:sz w:val="20"/>
                <w:szCs w:val="20"/>
              </w:rPr>
            </w:pPr>
          </w:p>
          <w:p w14:paraId="1EA0BA1D" w14:textId="77777777" w:rsidR="009A198F" w:rsidRDefault="00D46D27">
            <w:pPr>
              <w:jc w:val="both"/>
              <w:rPr>
                <w:rFonts w:ascii="Arial" w:eastAsia="Arial" w:hAnsi="Arial" w:cs="Arial"/>
                <w:b/>
                <w:sz w:val="20"/>
                <w:szCs w:val="20"/>
              </w:rPr>
            </w:pPr>
            <w:r>
              <w:rPr>
                <w:rFonts w:ascii="Arial" w:eastAsia="Arial" w:hAnsi="Arial" w:cs="Arial"/>
                <w:b/>
                <w:sz w:val="20"/>
                <w:szCs w:val="20"/>
              </w:rPr>
              <w:t>About the Department:</w:t>
            </w:r>
          </w:p>
          <w:p w14:paraId="1710AADD" w14:textId="1C660A61" w:rsidR="009A198F" w:rsidRDefault="00D46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0"/>
                <w:szCs w:val="20"/>
              </w:rPr>
            </w:pPr>
            <w:r>
              <w:rPr>
                <w:rFonts w:ascii="Arial" w:eastAsia="Arial" w:hAnsi="Arial" w:cs="Arial"/>
                <w:sz w:val="20"/>
                <w:szCs w:val="20"/>
              </w:rPr>
              <w:t>The Department of Business Law</w:t>
            </w:r>
            <w:r w:rsidR="004A1D4A">
              <w:rPr>
                <w:rFonts w:ascii="Arial" w:eastAsia="Arial" w:hAnsi="Arial" w:cs="Arial"/>
                <w:sz w:val="20"/>
                <w:szCs w:val="20"/>
              </w:rPr>
              <w:t xml:space="preserve"> </w:t>
            </w:r>
            <w:r>
              <w:rPr>
                <w:rFonts w:ascii="Arial" w:eastAsia="Arial" w:hAnsi="Arial" w:cs="Arial"/>
                <w:sz w:val="20"/>
                <w:szCs w:val="20"/>
              </w:rPr>
              <w:t>offers an option in Real Estate and an option in Business Law within the Bachelor of Business A</w:t>
            </w:r>
            <w:r w:rsidR="00900CF0">
              <w:rPr>
                <w:rFonts w:ascii="Arial" w:eastAsia="Arial" w:hAnsi="Arial" w:cs="Arial"/>
                <w:sz w:val="20"/>
                <w:szCs w:val="20"/>
              </w:rPr>
              <w:t xml:space="preserve">dministration major along with </w:t>
            </w:r>
            <w:r>
              <w:rPr>
                <w:rFonts w:ascii="Arial" w:eastAsia="Arial" w:hAnsi="Arial" w:cs="Arial"/>
                <w:sz w:val="20"/>
                <w:szCs w:val="20"/>
              </w:rPr>
              <w:t>minor</w:t>
            </w:r>
            <w:r w:rsidR="00900CF0">
              <w:rPr>
                <w:rFonts w:ascii="Arial" w:eastAsia="Arial" w:hAnsi="Arial" w:cs="Arial"/>
                <w:sz w:val="20"/>
                <w:szCs w:val="20"/>
              </w:rPr>
              <w:t>s</w:t>
            </w:r>
            <w:r>
              <w:rPr>
                <w:rFonts w:ascii="Arial" w:eastAsia="Arial" w:hAnsi="Arial" w:cs="Arial"/>
                <w:sz w:val="20"/>
                <w:szCs w:val="20"/>
              </w:rPr>
              <w:t xml:space="preserve"> in Business Law, Real Estate, and Business Ethics. In addition, the Department serves approximately 7,000 David Nazarian College of Business and Economics students and nearly 40,000 University students through its undergraduate and graduate courses. The Department’s curriculum and service requirements integrate theoretical knowledge and practical skills to solve real-life problems facing individuals, organizations, and institutions within our community and society at large. For more information, visit the department website at </w:t>
            </w:r>
            <w:hyperlink r:id="rId9">
              <w:r>
                <w:rPr>
                  <w:rFonts w:ascii="Arial" w:eastAsia="Arial" w:hAnsi="Arial" w:cs="Arial"/>
                  <w:color w:val="0000FF"/>
                  <w:sz w:val="20"/>
                  <w:szCs w:val="20"/>
                  <w:u w:val="single"/>
                </w:rPr>
                <w:t>http://www.csun.edu/blaw</w:t>
              </w:r>
            </w:hyperlink>
            <w:r>
              <w:rPr>
                <w:rFonts w:ascii="Arial" w:eastAsia="Arial" w:hAnsi="Arial" w:cs="Arial"/>
                <w:sz w:val="20"/>
                <w:szCs w:val="20"/>
              </w:rPr>
              <w:t>.</w:t>
            </w:r>
          </w:p>
          <w:p w14:paraId="7577A494" w14:textId="77777777" w:rsidR="009A198F" w:rsidRDefault="009A198F">
            <w:pPr>
              <w:jc w:val="both"/>
              <w:rPr>
                <w:rFonts w:ascii="Arial" w:eastAsia="Arial" w:hAnsi="Arial" w:cs="Arial"/>
                <w:sz w:val="20"/>
                <w:szCs w:val="20"/>
              </w:rPr>
            </w:pPr>
          </w:p>
          <w:p w14:paraId="09F1C47B" w14:textId="77777777" w:rsidR="009A198F" w:rsidRDefault="00D46D27">
            <w:pPr>
              <w:jc w:val="both"/>
              <w:rPr>
                <w:rFonts w:ascii="Arial" w:eastAsia="Arial" w:hAnsi="Arial" w:cs="Arial"/>
                <w:b/>
                <w:color w:val="000000"/>
                <w:sz w:val="20"/>
                <w:szCs w:val="20"/>
              </w:rPr>
            </w:pPr>
            <w:r>
              <w:rPr>
                <w:rFonts w:ascii="Arial" w:eastAsia="Arial" w:hAnsi="Arial" w:cs="Arial"/>
                <w:b/>
                <w:color w:val="000000"/>
                <w:sz w:val="20"/>
                <w:szCs w:val="20"/>
              </w:rPr>
              <w:t>CSUN’s Commitment to You:</w:t>
            </w:r>
          </w:p>
          <w:p w14:paraId="1B0B648C" w14:textId="77777777" w:rsidR="009A198F" w:rsidRDefault="00D46D27">
            <w:pPr>
              <w:jc w:val="both"/>
              <w:rPr>
                <w:rFonts w:ascii="Arial" w:eastAsia="Arial" w:hAnsi="Arial" w:cs="Arial"/>
                <w:sz w:val="20"/>
                <w:szCs w:val="20"/>
              </w:rPr>
            </w:pPr>
            <w:r>
              <w:rPr>
                <w:rFonts w:ascii="Arial" w:eastAsia="Arial" w:hAnsi="Arial" w:cs="Arial"/>
                <w:sz w:val="20"/>
                <w:szCs w:val="20"/>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1F1D1BBD" w14:textId="77777777" w:rsidR="009A198F" w:rsidRDefault="009A198F">
            <w:pPr>
              <w:jc w:val="both"/>
              <w:rPr>
                <w:rFonts w:ascii="Arial" w:eastAsia="Arial" w:hAnsi="Arial" w:cs="Arial"/>
                <w:sz w:val="20"/>
                <w:szCs w:val="20"/>
              </w:rPr>
            </w:pPr>
          </w:p>
          <w:p w14:paraId="3ABDE313" w14:textId="77777777" w:rsidR="009A198F" w:rsidRDefault="00D46D27">
            <w:pPr>
              <w:jc w:val="both"/>
              <w:rPr>
                <w:rFonts w:ascii="Arial" w:eastAsia="Arial" w:hAnsi="Arial" w:cs="Arial"/>
                <w:color w:val="0000FF"/>
                <w:sz w:val="20"/>
                <w:szCs w:val="20"/>
                <w:u w:val="single"/>
              </w:rPr>
            </w:pPr>
            <w:r>
              <w:rPr>
                <w:rFonts w:ascii="Arial" w:eastAsia="Arial" w:hAnsi="Arial" w:cs="Arial"/>
                <w:sz w:val="20"/>
                <w:szCs w:val="20"/>
              </w:rPr>
              <w:t xml:space="preserve">For more information about the University, visit: </w:t>
            </w:r>
            <w:hyperlink r:id="rId10">
              <w:r>
                <w:rPr>
                  <w:rFonts w:ascii="Arial" w:eastAsia="Arial" w:hAnsi="Arial" w:cs="Arial"/>
                  <w:color w:val="0000FF"/>
                  <w:sz w:val="20"/>
                  <w:szCs w:val="20"/>
                  <w:u w:val="single"/>
                </w:rPr>
                <w:t>http://www.csun.edu</w:t>
              </w:r>
            </w:hyperlink>
          </w:p>
          <w:p w14:paraId="21BD1956" w14:textId="77777777" w:rsidR="009A198F" w:rsidRDefault="009A198F">
            <w:pPr>
              <w:jc w:val="both"/>
              <w:rPr>
                <w:rFonts w:ascii="Arial" w:eastAsia="Arial" w:hAnsi="Arial" w:cs="Arial"/>
                <w:sz w:val="20"/>
                <w:szCs w:val="20"/>
              </w:rPr>
            </w:pPr>
          </w:p>
        </w:tc>
      </w:tr>
    </w:tbl>
    <w:p w14:paraId="7FB102FF" w14:textId="77777777" w:rsidR="009A198F" w:rsidRDefault="009A198F">
      <w:pPr>
        <w:ind w:right="90"/>
        <w:jc w:val="both"/>
        <w:rPr>
          <w:rFonts w:ascii="Arial" w:eastAsia="Arial" w:hAnsi="Arial" w:cs="Arial"/>
          <w:b/>
          <w:sz w:val="20"/>
          <w:szCs w:val="20"/>
        </w:rPr>
      </w:pPr>
    </w:p>
    <w:p w14:paraId="44CCE00E" w14:textId="77777777" w:rsidR="009A198F" w:rsidRDefault="00D46D27">
      <w:pPr>
        <w:ind w:right="90"/>
        <w:jc w:val="both"/>
        <w:rPr>
          <w:rFonts w:ascii="Arial" w:eastAsia="Arial" w:hAnsi="Arial" w:cs="Arial"/>
          <w:b/>
          <w:sz w:val="20"/>
          <w:szCs w:val="20"/>
        </w:rPr>
      </w:pPr>
      <w:r>
        <w:rPr>
          <w:rFonts w:ascii="Arial" w:eastAsia="Arial" w:hAnsi="Arial" w:cs="Arial"/>
          <w:b/>
          <w:sz w:val="20"/>
          <w:szCs w:val="20"/>
        </w:rPr>
        <w:t xml:space="preserve">Qualifications:   </w:t>
      </w:r>
    </w:p>
    <w:p w14:paraId="1E85447B" w14:textId="77777777" w:rsidR="00292248" w:rsidRDefault="00D46D27" w:rsidP="0029224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0"/>
          <w:szCs w:val="20"/>
        </w:rPr>
      </w:pPr>
      <w:r>
        <w:rPr>
          <w:rFonts w:ascii="Arial" w:eastAsia="Arial" w:hAnsi="Arial" w:cs="Arial"/>
          <w:sz w:val="20"/>
          <w:szCs w:val="20"/>
        </w:rPr>
        <w:t>The Department of Business Law</w:t>
      </w:r>
      <w:r w:rsidR="00DF15FE">
        <w:rPr>
          <w:rFonts w:ascii="Arial" w:eastAsia="Arial" w:hAnsi="Arial" w:cs="Arial"/>
          <w:sz w:val="20"/>
          <w:szCs w:val="20"/>
        </w:rPr>
        <w:t xml:space="preserve"> </w:t>
      </w:r>
      <w:r w:rsidR="005F4060" w:rsidRPr="005F4060">
        <w:rPr>
          <w:rFonts w:ascii="Arial" w:eastAsia="Arial" w:hAnsi="Arial" w:cs="Arial"/>
          <w:sz w:val="20"/>
          <w:szCs w:val="20"/>
        </w:rPr>
        <w:t xml:space="preserve">invites applications for a tenure-track position at the Assistant Professor level. J.D. from an ABA-accredited law school and admission to the bar at time of appointment required. Candidates must demonstrate significant and substantial experience in the practice of law. Candidates must demonstrate the ability </w:t>
      </w:r>
      <w:r w:rsidR="005F4060" w:rsidRPr="005F4060">
        <w:rPr>
          <w:rFonts w:ascii="Arial" w:eastAsia="Arial" w:hAnsi="Arial" w:cs="Arial"/>
          <w:sz w:val="20"/>
          <w:szCs w:val="20"/>
        </w:rPr>
        <w:lastRenderedPageBreak/>
        <w:t xml:space="preserve">to teach, mentor, and advise students from diverse backgrounds. In addition, previous experience and proven excellence in teaching law or related courses at the university level, a history of scholarly research and publications, and business experience are highly desirable. M.B.A. or other graduate degree in business or economics from an accredited college or university, law-review membership, and experience as a law clerk at the appellate level are also highly desirable. </w:t>
      </w:r>
      <w:r w:rsidR="00331B7C">
        <w:rPr>
          <w:rFonts w:ascii="Arial" w:eastAsia="Arial" w:hAnsi="Arial" w:cs="Arial"/>
          <w:sz w:val="20"/>
          <w:szCs w:val="20"/>
        </w:rPr>
        <w:t>At time of appointment, the candidate must meet</w:t>
      </w:r>
      <w:r w:rsidR="00DF15FE">
        <w:rPr>
          <w:rFonts w:ascii="Arial" w:eastAsia="Arial" w:hAnsi="Arial" w:cs="Arial"/>
          <w:sz w:val="20"/>
          <w:szCs w:val="20"/>
        </w:rPr>
        <w:t xml:space="preserve"> and</w:t>
      </w:r>
      <w:r w:rsidR="00331B7C">
        <w:rPr>
          <w:rFonts w:ascii="Arial" w:eastAsia="Arial" w:hAnsi="Arial" w:cs="Arial"/>
          <w:sz w:val="20"/>
          <w:szCs w:val="20"/>
        </w:rPr>
        <w:t xml:space="preserve"> must continue to maintain current AACSB International “Scholarly Academic” standards of qualification</w:t>
      </w:r>
      <w:r w:rsidR="00DF15FE">
        <w:rPr>
          <w:rFonts w:ascii="Arial" w:eastAsia="Arial" w:hAnsi="Arial" w:cs="Arial"/>
          <w:sz w:val="20"/>
          <w:szCs w:val="20"/>
        </w:rPr>
        <w:t xml:space="preserve"> throughout their tenure.</w:t>
      </w:r>
      <w:r w:rsidR="00292248">
        <w:rPr>
          <w:rFonts w:ascii="Arial" w:eastAsia="Arial" w:hAnsi="Arial" w:cs="Arial"/>
          <w:sz w:val="20"/>
          <w:szCs w:val="20"/>
        </w:rPr>
        <w:t xml:space="preserve">  Candidates must demonstrate a commitment and ability to teach, mentor and work with a diverse student population. </w:t>
      </w:r>
    </w:p>
    <w:p w14:paraId="0E5B990C" w14:textId="77777777" w:rsidR="005F4060" w:rsidRPr="005F4060" w:rsidRDefault="005F4060" w:rsidP="005F406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0"/>
          <w:szCs w:val="20"/>
        </w:rPr>
      </w:pPr>
    </w:p>
    <w:p w14:paraId="6B0B2445" w14:textId="77777777" w:rsidR="009A198F" w:rsidRDefault="005F4060" w:rsidP="005F406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0"/>
          <w:szCs w:val="20"/>
        </w:rPr>
      </w:pPr>
      <w:r w:rsidRPr="005F4060">
        <w:rPr>
          <w:rFonts w:ascii="Arial" w:eastAsia="Arial" w:hAnsi="Arial" w:cs="Arial"/>
          <w:sz w:val="20"/>
          <w:szCs w:val="20"/>
        </w:rPr>
        <w:t>At time of appointment, the successful candidate, if not a U.S. citizen, must have authorization from the Bureau of Citizenship and Immigration Services to work in the United States.</w:t>
      </w:r>
    </w:p>
    <w:p w14:paraId="257B63C7" w14:textId="77777777" w:rsidR="00A175D8" w:rsidRDefault="00A175D8">
      <w:pPr>
        <w:ind w:right="90"/>
        <w:jc w:val="both"/>
        <w:rPr>
          <w:rFonts w:ascii="Arial" w:eastAsia="Arial" w:hAnsi="Arial" w:cs="Arial"/>
          <w:b/>
          <w:sz w:val="20"/>
          <w:szCs w:val="20"/>
        </w:rPr>
      </w:pPr>
    </w:p>
    <w:p w14:paraId="09AF94C0" w14:textId="77777777" w:rsidR="009A198F" w:rsidRDefault="00D46D27">
      <w:pPr>
        <w:ind w:right="90"/>
        <w:jc w:val="both"/>
        <w:rPr>
          <w:rFonts w:ascii="Arial" w:eastAsia="Arial" w:hAnsi="Arial" w:cs="Arial"/>
          <w:b/>
          <w:sz w:val="20"/>
          <w:szCs w:val="20"/>
        </w:rPr>
      </w:pPr>
      <w:r>
        <w:rPr>
          <w:rFonts w:ascii="Arial" w:eastAsia="Arial" w:hAnsi="Arial" w:cs="Arial"/>
          <w:b/>
          <w:sz w:val="20"/>
          <w:szCs w:val="20"/>
        </w:rPr>
        <w:t xml:space="preserve">Responsibilities:  </w:t>
      </w:r>
    </w:p>
    <w:p w14:paraId="2FEA39DB" w14:textId="281D4C8D" w:rsidR="009A198F" w:rsidRDefault="00A175D8">
      <w:pPr>
        <w:ind w:right="90"/>
        <w:jc w:val="both"/>
        <w:rPr>
          <w:rFonts w:ascii="Arial" w:eastAsia="Arial" w:hAnsi="Arial" w:cs="Arial"/>
          <w:sz w:val="20"/>
          <w:szCs w:val="20"/>
        </w:rPr>
      </w:pPr>
      <w:r w:rsidRPr="00A175D8">
        <w:rPr>
          <w:rFonts w:ascii="Arial" w:eastAsia="Arial" w:hAnsi="Arial" w:cs="Arial"/>
          <w:sz w:val="20"/>
          <w:szCs w:val="20"/>
        </w:rPr>
        <w:t>The position involves teaching both undergraduate and graduate-level courses in business law, business ethics, real estate and/or related business areas. Faculty members are expected to employ a variety of teaching strategies to enable students to think analytically and to communicate effectively. Law courses are taught using the Socratic method with its goal of participatory learning and the development of reasoning skills. Additionally, faculty members are expected to engage actively in research and publication in their areas of primary teaching responsibility and provide service to the University and the community.</w:t>
      </w:r>
    </w:p>
    <w:p w14:paraId="070E7858" w14:textId="65E6672D" w:rsidR="00292248" w:rsidRDefault="00292248">
      <w:pPr>
        <w:ind w:right="90"/>
        <w:jc w:val="both"/>
        <w:rPr>
          <w:rFonts w:ascii="Arial" w:eastAsia="Arial" w:hAnsi="Arial" w:cs="Arial"/>
          <w:sz w:val="20"/>
          <w:szCs w:val="20"/>
        </w:rPr>
      </w:pPr>
    </w:p>
    <w:p w14:paraId="5EA11C95" w14:textId="77777777" w:rsidR="00292248" w:rsidRDefault="00292248" w:rsidP="00292248">
      <w:pPr>
        <w:jc w:val="both"/>
        <w:rPr>
          <w:rFonts w:ascii="Arial" w:eastAsia="Arial" w:hAnsi="Arial" w:cs="Arial"/>
          <w:sz w:val="20"/>
          <w:szCs w:val="20"/>
        </w:rPr>
      </w:pPr>
      <w:r>
        <w:rPr>
          <w:rFonts w:ascii="Arial" w:eastAsia="Arial" w:hAnsi="Arial" w:cs="Arial"/>
          <w:sz w:val="20"/>
          <w:szCs w:val="20"/>
        </w:rPr>
        <w:t xml:space="preserve">The successful candidate will be held to the standards and requirements of the college and department in which he/she is housed for recommending tenure and promotion. </w:t>
      </w:r>
    </w:p>
    <w:p w14:paraId="5311097B" w14:textId="77777777" w:rsidR="00292248" w:rsidRDefault="00292248">
      <w:pPr>
        <w:ind w:right="90"/>
        <w:jc w:val="both"/>
        <w:rPr>
          <w:rFonts w:ascii="Arial" w:eastAsia="Arial" w:hAnsi="Arial" w:cs="Arial"/>
          <w:sz w:val="20"/>
          <w:szCs w:val="20"/>
        </w:rPr>
      </w:pPr>
    </w:p>
    <w:p w14:paraId="51D7D455" w14:textId="77777777" w:rsidR="009A198F" w:rsidRDefault="00D46D27">
      <w:pPr>
        <w:ind w:right="90"/>
        <w:jc w:val="both"/>
        <w:rPr>
          <w:rFonts w:ascii="Arial" w:eastAsia="Arial" w:hAnsi="Arial" w:cs="Arial"/>
          <w:b/>
          <w:sz w:val="20"/>
          <w:szCs w:val="20"/>
        </w:rPr>
      </w:pPr>
      <w:r>
        <w:rPr>
          <w:rFonts w:ascii="Arial" w:eastAsia="Arial" w:hAnsi="Arial" w:cs="Arial"/>
          <w:b/>
          <w:sz w:val="20"/>
          <w:szCs w:val="20"/>
        </w:rPr>
        <w:t xml:space="preserve">Application Deadline: </w:t>
      </w:r>
    </w:p>
    <w:p w14:paraId="5FF9A49B" w14:textId="3456EE19" w:rsidR="009A198F" w:rsidRDefault="00D46D27">
      <w:pPr>
        <w:ind w:right="90"/>
        <w:jc w:val="both"/>
        <w:rPr>
          <w:rFonts w:ascii="Arial" w:eastAsia="Arial" w:hAnsi="Arial" w:cs="Arial"/>
          <w:sz w:val="20"/>
          <w:szCs w:val="20"/>
        </w:rPr>
      </w:pPr>
      <w:r>
        <w:rPr>
          <w:rFonts w:ascii="Arial" w:eastAsia="Arial" w:hAnsi="Arial" w:cs="Arial"/>
          <w:sz w:val="20"/>
          <w:szCs w:val="20"/>
        </w:rPr>
        <w:t>Scree</w:t>
      </w:r>
      <w:r w:rsidR="006A3B6B">
        <w:rPr>
          <w:rFonts w:ascii="Arial" w:eastAsia="Arial" w:hAnsi="Arial" w:cs="Arial"/>
          <w:sz w:val="20"/>
          <w:szCs w:val="20"/>
        </w:rPr>
        <w:t xml:space="preserve">ning of applications will begin </w:t>
      </w:r>
      <w:r w:rsidR="00107509" w:rsidRPr="00107509">
        <w:rPr>
          <w:rFonts w:ascii="Arial" w:eastAsia="Arial" w:hAnsi="Arial" w:cs="Arial"/>
          <w:b/>
          <w:sz w:val="20"/>
          <w:szCs w:val="20"/>
        </w:rPr>
        <w:t>October 1, 2019</w:t>
      </w:r>
      <w:r>
        <w:rPr>
          <w:rFonts w:ascii="Arial" w:eastAsia="Arial" w:hAnsi="Arial" w:cs="Arial"/>
          <w:sz w:val="20"/>
          <w:szCs w:val="20"/>
        </w:rPr>
        <w:t>. Priority will be given to applicants who meet the screening deadline; however, the position will remain open until filled.</w:t>
      </w:r>
    </w:p>
    <w:p w14:paraId="072CC573" w14:textId="77777777" w:rsidR="009A198F" w:rsidRDefault="009A198F">
      <w:pPr>
        <w:ind w:left="90" w:right="90"/>
        <w:jc w:val="both"/>
        <w:rPr>
          <w:rFonts w:ascii="Arial" w:eastAsia="Arial" w:hAnsi="Arial" w:cs="Arial"/>
          <w:sz w:val="20"/>
          <w:szCs w:val="20"/>
        </w:rPr>
      </w:pPr>
    </w:p>
    <w:p w14:paraId="5B9F78E9" w14:textId="77777777" w:rsidR="009A198F" w:rsidRDefault="00D46D27">
      <w:pPr>
        <w:ind w:right="90"/>
        <w:jc w:val="both"/>
        <w:rPr>
          <w:rFonts w:ascii="Arial" w:eastAsia="Arial" w:hAnsi="Arial" w:cs="Arial"/>
          <w:b/>
          <w:sz w:val="20"/>
          <w:szCs w:val="20"/>
        </w:rPr>
      </w:pPr>
      <w:r>
        <w:rPr>
          <w:rFonts w:ascii="Arial" w:eastAsia="Arial" w:hAnsi="Arial" w:cs="Arial"/>
          <w:b/>
          <w:sz w:val="20"/>
          <w:szCs w:val="20"/>
        </w:rPr>
        <w:t>How to Apply:</w:t>
      </w:r>
    </w:p>
    <w:p w14:paraId="0FEE5BF6" w14:textId="77777777" w:rsidR="009A198F" w:rsidRDefault="00D46D27">
      <w:pPr>
        <w:ind w:right="90"/>
        <w:jc w:val="both"/>
        <w:rPr>
          <w:rFonts w:ascii="Arial" w:eastAsia="Arial" w:hAnsi="Arial" w:cs="Arial"/>
          <w:sz w:val="20"/>
          <w:szCs w:val="20"/>
        </w:rPr>
      </w:pPr>
      <w:r>
        <w:rPr>
          <w:rFonts w:ascii="Arial" w:eastAsia="Arial" w:hAnsi="Arial" w:cs="Arial"/>
          <w:sz w:val="20"/>
          <w:szCs w:val="20"/>
        </w:rPr>
        <w:t>Applicants must submit a letter of application</w:t>
      </w:r>
      <w:r w:rsidR="00B40476">
        <w:rPr>
          <w:rFonts w:ascii="Arial" w:eastAsia="Arial" w:hAnsi="Arial" w:cs="Arial"/>
          <w:sz w:val="20"/>
          <w:szCs w:val="20"/>
        </w:rPr>
        <w:t xml:space="preserve"> d</w:t>
      </w:r>
      <w:r w:rsidR="0018634E">
        <w:rPr>
          <w:rFonts w:ascii="Arial" w:eastAsia="Arial" w:hAnsi="Arial" w:cs="Arial"/>
          <w:sz w:val="20"/>
          <w:szCs w:val="20"/>
        </w:rPr>
        <w:t>escribing how they</w:t>
      </w:r>
      <w:r w:rsidR="00894917">
        <w:rPr>
          <w:rFonts w:ascii="Arial" w:eastAsia="Arial" w:hAnsi="Arial" w:cs="Arial"/>
          <w:sz w:val="20"/>
          <w:szCs w:val="20"/>
        </w:rPr>
        <w:t xml:space="preserve"> satisfy</w:t>
      </w:r>
      <w:r w:rsidR="00B40476">
        <w:rPr>
          <w:rFonts w:ascii="Arial" w:eastAsia="Arial" w:hAnsi="Arial" w:cs="Arial"/>
          <w:sz w:val="20"/>
          <w:szCs w:val="20"/>
        </w:rPr>
        <w:t xml:space="preserve"> the qualifications listed above</w:t>
      </w:r>
      <w:r>
        <w:rPr>
          <w:rFonts w:ascii="Arial" w:eastAsia="Arial" w:hAnsi="Arial" w:cs="Arial"/>
          <w:sz w:val="20"/>
          <w:szCs w:val="20"/>
        </w:rPr>
        <w:t xml:space="preserve">, curriculum vitae, and three current letters of recommendation to the Interfolio application web address below. In later phases of the search process, applicants may be requested to provide verification of terminal degrees, licenses and certificates. </w:t>
      </w:r>
    </w:p>
    <w:p w14:paraId="464AB3A0" w14:textId="77777777" w:rsidR="009A198F" w:rsidRDefault="009A198F">
      <w:pPr>
        <w:ind w:right="90"/>
        <w:jc w:val="both"/>
        <w:rPr>
          <w:rFonts w:ascii="Arial" w:eastAsia="Arial" w:hAnsi="Arial" w:cs="Arial"/>
          <w:sz w:val="20"/>
          <w:szCs w:val="20"/>
        </w:rPr>
      </w:pPr>
    </w:p>
    <w:p w14:paraId="3AD9D100" w14:textId="35F465A8" w:rsidR="009A198F" w:rsidRDefault="00D46D27">
      <w:pPr>
        <w:ind w:right="90"/>
        <w:jc w:val="both"/>
      </w:pPr>
      <w:r>
        <w:rPr>
          <w:rFonts w:ascii="Arial" w:eastAsia="Arial" w:hAnsi="Arial" w:cs="Arial"/>
          <w:sz w:val="20"/>
          <w:szCs w:val="20"/>
        </w:rPr>
        <w:t xml:space="preserve">This institution is using Interfolio’s ByCommittee to conduct this search. Applicants to this position receive a free Dossier account and can send all application materials, including confidential letters of recommendation, free of charge to: </w:t>
      </w:r>
      <w:r w:rsidR="00C051DD">
        <w:rPr>
          <w:rFonts w:ascii="Arial" w:eastAsia="Arial" w:hAnsi="Arial" w:cs="Arial"/>
          <w:sz w:val="20"/>
          <w:szCs w:val="20"/>
        </w:rPr>
        <w:t xml:space="preserve"> </w:t>
      </w:r>
      <w:hyperlink r:id="rId11" w:history="1">
        <w:r w:rsidR="00A22D4C" w:rsidRPr="00554D0A">
          <w:rPr>
            <w:rStyle w:val="Hyperlink"/>
            <w:rFonts w:ascii="Arial" w:eastAsia="Arial" w:hAnsi="Arial" w:cs="Arial"/>
            <w:sz w:val="20"/>
            <w:szCs w:val="20"/>
          </w:rPr>
          <w:t>http://apply.interfolio.com/64874</w:t>
        </w:r>
      </w:hyperlink>
      <w:r w:rsidR="00A22D4C">
        <w:rPr>
          <w:rFonts w:ascii="Arial" w:eastAsia="Arial" w:hAnsi="Arial" w:cs="Arial"/>
          <w:sz w:val="20"/>
          <w:szCs w:val="20"/>
        </w:rPr>
        <w:t xml:space="preserve"> </w:t>
      </w:r>
    </w:p>
    <w:p w14:paraId="64198F46" w14:textId="022680B3" w:rsidR="009A198F" w:rsidRDefault="00D46D27">
      <w:pPr>
        <w:ind w:right="90"/>
        <w:jc w:val="both"/>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p>
    <w:p w14:paraId="439A4D1E" w14:textId="77777777" w:rsidR="009A198F" w:rsidRDefault="009A198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0"/>
          <w:szCs w:val="20"/>
        </w:rPr>
      </w:pPr>
    </w:p>
    <w:tbl>
      <w:tblPr>
        <w:tblStyle w:val="a2"/>
        <w:tblW w:w="10080" w:type="dxa"/>
        <w:tblBorders>
          <w:top w:val="nil"/>
          <w:left w:val="nil"/>
          <w:bottom w:val="nil"/>
          <w:right w:val="nil"/>
          <w:insideH w:val="nil"/>
          <w:insideV w:val="nil"/>
        </w:tblBorders>
        <w:tblLayout w:type="fixed"/>
        <w:tblLook w:val="0400" w:firstRow="0" w:lastRow="0" w:firstColumn="0" w:lastColumn="0" w:noHBand="0" w:noVBand="1"/>
      </w:tblPr>
      <w:tblGrid>
        <w:gridCol w:w="10080"/>
      </w:tblGrid>
      <w:tr w:rsidR="009A198F" w14:paraId="73693C75" w14:textId="77777777">
        <w:tc>
          <w:tcPr>
            <w:tcW w:w="10080" w:type="dxa"/>
          </w:tcPr>
          <w:p w14:paraId="118D45D4" w14:textId="77777777" w:rsidR="009A198F" w:rsidRDefault="00D46D27">
            <w:pPr>
              <w:ind w:left="-15" w:right="-15"/>
              <w:jc w:val="both"/>
              <w:rPr>
                <w:rFonts w:ascii="Arial" w:eastAsia="Arial" w:hAnsi="Arial" w:cs="Arial"/>
                <w:b/>
                <w:sz w:val="20"/>
                <w:szCs w:val="20"/>
              </w:rPr>
            </w:pPr>
            <w:r>
              <w:rPr>
                <w:rFonts w:ascii="Arial" w:eastAsia="Arial" w:hAnsi="Arial" w:cs="Arial"/>
                <w:b/>
                <w:sz w:val="20"/>
                <w:szCs w:val="20"/>
              </w:rPr>
              <w:t>General Information:</w:t>
            </w:r>
          </w:p>
          <w:p w14:paraId="73BC85E4" w14:textId="77777777" w:rsidR="009A198F" w:rsidRDefault="00D46D27">
            <w:pPr>
              <w:ind w:left="-15" w:right="-15"/>
              <w:jc w:val="both"/>
              <w:rPr>
                <w:rFonts w:ascii="Arial" w:eastAsia="Arial" w:hAnsi="Arial" w:cs="Arial"/>
                <w:sz w:val="20"/>
                <w:szCs w:val="20"/>
              </w:rPr>
            </w:pPr>
            <w:r>
              <w:rPr>
                <w:rFonts w:ascii="Arial" w:eastAsia="Arial" w:hAnsi="Arial" w:cs="Arial"/>
                <w:sz w:val="20"/>
                <w:szCs w:val="20"/>
              </w:rPr>
              <w:t xml:space="preserve">In compliance with the Annual Security Report &amp; Fire Safety Report of Campus Security Policy and Campus Crime Statistics Act, California State University, Northridge has made crime-reporting statistics available online </w:t>
            </w:r>
            <w:hyperlink r:id="rId12">
              <w:r>
                <w:rPr>
                  <w:rFonts w:ascii="Arial" w:eastAsia="Arial" w:hAnsi="Arial" w:cs="Arial"/>
                  <w:color w:val="0000FF"/>
                  <w:sz w:val="20"/>
                  <w:szCs w:val="20"/>
                  <w:u w:val="single"/>
                </w:rPr>
                <w:t>here</w:t>
              </w:r>
            </w:hyperlink>
            <w:r>
              <w:rPr>
                <w:rFonts w:ascii="Arial" w:eastAsia="Arial" w:hAnsi="Arial" w:cs="Arial"/>
                <w:sz w:val="20"/>
                <w:szCs w:val="20"/>
              </w:rPr>
              <w:t>. Print copies are available by request from the Department of Police Services, the Office for Faculty Affairs, and the Office of Equity and Diversity.</w:t>
            </w:r>
          </w:p>
          <w:p w14:paraId="22697EA8" w14:textId="77777777" w:rsidR="009A198F" w:rsidRDefault="009A198F">
            <w:pPr>
              <w:ind w:left="-15" w:right="-15"/>
              <w:jc w:val="both"/>
              <w:rPr>
                <w:rFonts w:ascii="Arial" w:eastAsia="Arial" w:hAnsi="Arial" w:cs="Arial"/>
                <w:sz w:val="20"/>
                <w:szCs w:val="20"/>
              </w:rPr>
            </w:pPr>
          </w:p>
          <w:p w14:paraId="442CAC34" w14:textId="77777777" w:rsidR="009A198F" w:rsidRDefault="00D46D27">
            <w:pPr>
              <w:ind w:left="-15" w:right="-15"/>
              <w:jc w:val="both"/>
              <w:rPr>
                <w:rFonts w:ascii="Arial" w:eastAsia="Arial" w:hAnsi="Arial" w:cs="Arial"/>
                <w:sz w:val="20"/>
                <w:szCs w:val="20"/>
              </w:rPr>
            </w:pPr>
            <w:r>
              <w:rPr>
                <w:rFonts w:ascii="Arial" w:eastAsia="Arial" w:hAnsi="Arial" w:cs="Arial"/>
                <w:sz w:val="20"/>
                <w:szCs w:val="20"/>
              </w:rPr>
              <w:t xml:space="preserve">The person holding this position may be considered a 'mandated reporter' under the California Child Abuse and Neglect Reporting Act and is required to comply with the requirements set forth in </w:t>
            </w:r>
            <w:hyperlink r:id="rId13">
              <w:r>
                <w:rPr>
                  <w:rFonts w:ascii="Arial" w:eastAsia="Arial" w:hAnsi="Arial" w:cs="Arial"/>
                  <w:color w:val="0000FF"/>
                  <w:sz w:val="20"/>
                  <w:szCs w:val="20"/>
                  <w:u w:val="single"/>
                </w:rPr>
                <w:t>CSU Executive Order 1083</w:t>
              </w:r>
            </w:hyperlink>
            <w:r>
              <w:rPr>
                <w:rFonts w:ascii="Arial" w:eastAsia="Arial" w:hAnsi="Arial" w:cs="Arial"/>
                <w:sz w:val="20"/>
                <w:szCs w:val="20"/>
              </w:rPr>
              <w:t xml:space="preserve"> as a condition of employment.</w:t>
            </w:r>
          </w:p>
          <w:p w14:paraId="00D71113" w14:textId="77777777" w:rsidR="009A198F" w:rsidRDefault="009A198F">
            <w:pPr>
              <w:ind w:left="-15" w:right="-15"/>
              <w:jc w:val="both"/>
              <w:rPr>
                <w:rFonts w:ascii="Arial" w:eastAsia="Arial" w:hAnsi="Arial" w:cs="Arial"/>
                <w:sz w:val="20"/>
                <w:szCs w:val="20"/>
              </w:rPr>
            </w:pPr>
          </w:p>
          <w:p w14:paraId="55B6B2A2" w14:textId="77777777" w:rsidR="009A198F" w:rsidRDefault="00D46D27">
            <w:pPr>
              <w:ind w:left="-15" w:right="-15"/>
              <w:jc w:val="both"/>
              <w:rPr>
                <w:rFonts w:ascii="Arial" w:eastAsia="Arial" w:hAnsi="Arial" w:cs="Arial"/>
                <w:sz w:val="20"/>
                <w:szCs w:val="20"/>
              </w:rPr>
            </w:pPr>
            <w:r>
              <w:rPr>
                <w:rFonts w:ascii="Arial" w:eastAsia="Arial" w:hAnsi="Arial" w:cs="Arial"/>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5CEFDB8D" w14:textId="77777777" w:rsidR="009A198F" w:rsidRDefault="009A198F">
            <w:pPr>
              <w:ind w:left="-15" w:right="-15"/>
              <w:jc w:val="both"/>
              <w:rPr>
                <w:rFonts w:ascii="Arial" w:eastAsia="Arial" w:hAnsi="Arial" w:cs="Arial"/>
                <w:sz w:val="20"/>
                <w:szCs w:val="20"/>
              </w:rPr>
            </w:pPr>
          </w:p>
          <w:p w14:paraId="78C68856" w14:textId="77777777" w:rsidR="009A198F" w:rsidRDefault="00D46D27">
            <w:pPr>
              <w:ind w:left="-15" w:right="-15"/>
              <w:jc w:val="both"/>
              <w:rPr>
                <w:rFonts w:ascii="Arial" w:eastAsia="Arial" w:hAnsi="Arial" w:cs="Arial"/>
                <w:color w:val="FF0000"/>
                <w:sz w:val="20"/>
                <w:szCs w:val="20"/>
              </w:rPr>
            </w:pPr>
            <w:r>
              <w:rPr>
                <w:rFonts w:ascii="Arial" w:eastAsia="Arial" w:hAnsi="Arial" w:cs="Arial"/>
                <w:sz w:val="20"/>
                <w:szCs w:val="20"/>
                <w:highlight w:val="white"/>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4">
              <w:r>
                <w:rPr>
                  <w:rFonts w:ascii="Arial" w:eastAsia="Arial" w:hAnsi="Arial" w:cs="Arial"/>
                  <w:color w:val="0000FF"/>
                  <w:sz w:val="20"/>
                  <w:szCs w:val="20"/>
                  <w:highlight w:val="white"/>
                  <w:u w:val="single"/>
                </w:rPr>
                <w:t>CSU Executive Order 1096</w:t>
              </w:r>
            </w:hyperlink>
            <w:r>
              <w:rPr>
                <w:rFonts w:ascii="Arial" w:eastAsia="Arial" w:hAnsi="Arial" w:cs="Arial"/>
                <w:sz w:val="20"/>
                <w:szCs w:val="20"/>
                <w:highlight w:val="white"/>
              </w:rPr>
              <w:t xml:space="preserve">. Reasonable accommodations will be provided for applicants with disabilities who self-disclose by contacting </w:t>
            </w:r>
            <w:r w:rsidR="00D74FE1">
              <w:rPr>
                <w:rFonts w:ascii="Arial" w:eastAsia="Arial" w:hAnsi="Arial" w:cs="Arial"/>
                <w:sz w:val="20"/>
                <w:szCs w:val="20"/>
                <w:highlight w:val="white"/>
              </w:rPr>
              <w:t>Faculty Affairs</w:t>
            </w:r>
            <w:r>
              <w:rPr>
                <w:rFonts w:ascii="Arial" w:eastAsia="Arial" w:hAnsi="Arial" w:cs="Arial"/>
                <w:sz w:val="20"/>
                <w:szCs w:val="20"/>
                <w:highlight w:val="white"/>
              </w:rPr>
              <w:t xml:space="preserve"> at (818) 677-2</w:t>
            </w:r>
            <w:r w:rsidR="00D74FE1">
              <w:rPr>
                <w:rFonts w:ascii="Arial" w:eastAsia="Arial" w:hAnsi="Arial" w:cs="Arial"/>
                <w:sz w:val="20"/>
                <w:szCs w:val="20"/>
                <w:highlight w:val="white"/>
              </w:rPr>
              <w:t>962</w:t>
            </w:r>
            <w:r>
              <w:rPr>
                <w:rFonts w:ascii="Arial" w:eastAsia="Arial" w:hAnsi="Arial" w:cs="Arial"/>
                <w:sz w:val="20"/>
                <w:szCs w:val="20"/>
                <w:highlight w:val="white"/>
              </w:rPr>
              <w:t>.</w:t>
            </w:r>
          </w:p>
        </w:tc>
      </w:tr>
    </w:tbl>
    <w:p w14:paraId="27414007" w14:textId="77777777" w:rsidR="009A198F" w:rsidRDefault="009A198F">
      <w:pPr>
        <w:jc w:val="both"/>
        <w:rPr>
          <w:rFonts w:ascii="Arial" w:eastAsia="Arial" w:hAnsi="Arial" w:cs="Arial"/>
          <w:sz w:val="20"/>
          <w:szCs w:val="20"/>
        </w:rPr>
      </w:pPr>
    </w:p>
    <w:sectPr w:rsidR="009A198F">
      <w:headerReference w:type="even" r:id="rId15"/>
      <w:headerReference w:type="default" r:id="rId16"/>
      <w:footerReference w:type="even" r:id="rId17"/>
      <w:footerReference w:type="default" r:id="rId18"/>
      <w:pgSz w:w="12240" w:h="15840"/>
      <w:pgMar w:top="806" w:right="1080" w:bottom="288"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FC3E" w14:textId="77777777" w:rsidR="001318E4" w:rsidRDefault="001318E4">
      <w:r>
        <w:separator/>
      </w:r>
    </w:p>
  </w:endnote>
  <w:endnote w:type="continuationSeparator" w:id="0">
    <w:p w14:paraId="49B1B8D0" w14:textId="77777777" w:rsidR="001318E4" w:rsidRDefault="0013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A9FF" w14:textId="609E30AF" w:rsidR="009A198F" w:rsidRDefault="00D46D27">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t xml:space="preserve">Page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1E68">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p>
  <w:p w14:paraId="23058E3E" w14:textId="77777777" w:rsidR="009A198F" w:rsidRDefault="009A1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2098" w14:textId="64A52F3D" w:rsidR="009A198F" w:rsidRDefault="00D46D27">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t xml:space="preserve">Page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1E68">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p>
  <w:p w14:paraId="1F802D0E" w14:textId="77777777" w:rsidR="009A198F" w:rsidRDefault="009A1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BBE7" w14:textId="77777777" w:rsidR="001318E4" w:rsidRDefault="001318E4">
      <w:r>
        <w:separator/>
      </w:r>
    </w:p>
  </w:footnote>
  <w:footnote w:type="continuationSeparator" w:id="0">
    <w:p w14:paraId="2D98FA50" w14:textId="77777777" w:rsidR="001318E4" w:rsidRDefault="0013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DDF3" w14:textId="77777777" w:rsidR="009A198F" w:rsidRDefault="009A1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CCFE" w14:textId="77777777" w:rsidR="009A198F" w:rsidRDefault="009A1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8F"/>
    <w:rsid w:val="0008581A"/>
    <w:rsid w:val="000D34C3"/>
    <w:rsid w:val="00103115"/>
    <w:rsid w:val="00107509"/>
    <w:rsid w:val="001318E4"/>
    <w:rsid w:val="0018634E"/>
    <w:rsid w:val="001B685D"/>
    <w:rsid w:val="001E3B5C"/>
    <w:rsid w:val="002531B4"/>
    <w:rsid w:val="00292248"/>
    <w:rsid w:val="00331B7C"/>
    <w:rsid w:val="004A1D4A"/>
    <w:rsid w:val="0052107B"/>
    <w:rsid w:val="00567186"/>
    <w:rsid w:val="00597BBB"/>
    <w:rsid w:val="005F4060"/>
    <w:rsid w:val="00601E68"/>
    <w:rsid w:val="006A3B6B"/>
    <w:rsid w:val="0074591F"/>
    <w:rsid w:val="0077592B"/>
    <w:rsid w:val="0078563D"/>
    <w:rsid w:val="00802892"/>
    <w:rsid w:val="00894917"/>
    <w:rsid w:val="00900CF0"/>
    <w:rsid w:val="009128BD"/>
    <w:rsid w:val="00956154"/>
    <w:rsid w:val="009A198F"/>
    <w:rsid w:val="009D5F57"/>
    <w:rsid w:val="00A175D8"/>
    <w:rsid w:val="00A22D4C"/>
    <w:rsid w:val="00AA1612"/>
    <w:rsid w:val="00B370A4"/>
    <w:rsid w:val="00B40476"/>
    <w:rsid w:val="00B51D2C"/>
    <w:rsid w:val="00BA1351"/>
    <w:rsid w:val="00BC2CAF"/>
    <w:rsid w:val="00C051DD"/>
    <w:rsid w:val="00D46D27"/>
    <w:rsid w:val="00D74FE1"/>
    <w:rsid w:val="00D944B4"/>
    <w:rsid w:val="00DA53B4"/>
    <w:rsid w:val="00DF15FE"/>
    <w:rsid w:val="00EE3EF5"/>
    <w:rsid w:val="00F5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6A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6B"/>
    <w:rPr>
      <w:rFonts w:ascii="Segoe UI" w:hAnsi="Segoe UI" w:cs="Segoe UI"/>
      <w:sz w:val="18"/>
      <w:szCs w:val="18"/>
    </w:rPr>
  </w:style>
  <w:style w:type="character" w:styleId="Hyperlink">
    <w:name w:val="Hyperlink"/>
    <w:basedOn w:val="DefaultParagraphFont"/>
    <w:uiPriority w:val="99"/>
    <w:unhideWhenUsed/>
    <w:rsid w:val="00C051DD"/>
    <w:rPr>
      <w:color w:val="0000FF"/>
      <w:u w:val="single"/>
    </w:rPr>
  </w:style>
  <w:style w:type="paragraph" w:styleId="Header">
    <w:name w:val="header"/>
    <w:basedOn w:val="Normal"/>
    <w:link w:val="HeaderChar"/>
    <w:uiPriority w:val="99"/>
    <w:unhideWhenUsed/>
    <w:rsid w:val="0077592B"/>
    <w:pPr>
      <w:tabs>
        <w:tab w:val="center" w:pos="4680"/>
        <w:tab w:val="right" w:pos="9360"/>
      </w:tabs>
    </w:pPr>
  </w:style>
  <w:style w:type="character" w:customStyle="1" w:styleId="HeaderChar">
    <w:name w:val="Header Char"/>
    <w:basedOn w:val="DefaultParagraphFont"/>
    <w:link w:val="Header"/>
    <w:uiPriority w:val="99"/>
    <w:rsid w:val="0077592B"/>
  </w:style>
  <w:style w:type="paragraph" w:styleId="Footer">
    <w:name w:val="footer"/>
    <w:basedOn w:val="Normal"/>
    <w:link w:val="FooterChar"/>
    <w:uiPriority w:val="99"/>
    <w:unhideWhenUsed/>
    <w:rsid w:val="0077592B"/>
    <w:pPr>
      <w:tabs>
        <w:tab w:val="center" w:pos="4680"/>
        <w:tab w:val="right" w:pos="9360"/>
      </w:tabs>
    </w:pPr>
  </w:style>
  <w:style w:type="character" w:customStyle="1" w:styleId="FooterChar">
    <w:name w:val="Footer Char"/>
    <w:basedOn w:val="DefaultParagraphFont"/>
    <w:link w:val="Footer"/>
    <w:uiPriority w:val="99"/>
    <w:rsid w:val="0077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un.edu/busecon" TargetMode="External"/><Relationship Id="rId13" Type="http://schemas.openxmlformats.org/officeDocument/2006/relationships/hyperlink" Target="https://www.calstate.edu/eo/EO-1083.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sun.edu/sites/default/files/clery-repor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pply.interfolio.com/6487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u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n.edu/blaw" TargetMode="External"/><Relationship Id="rId14" Type="http://schemas.openxmlformats.org/officeDocument/2006/relationships/hyperlink" Target="https://www.calstate.edu/eo/EO-1096-rev-10-5-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0166-5963-4A77-AF2A-0CDF2926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2019-07-01T21:06:00Z</dcterms:created>
  <dcterms:modified xsi:type="dcterms:W3CDTF">2019-07-01T21:06:00Z</dcterms:modified>
</cp:coreProperties>
</file>