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B16AF6" w:rsidTr="00316E29">
        <w:trPr>
          <w:cantSplit/>
          <w:trHeight w:val="720"/>
        </w:trPr>
        <w:tc>
          <w:tcPr>
            <w:tcW w:w="5406" w:type="dxa"/>
          </w:tcPr>
          <w:p w:rsidR="005D39BA" w:rsidRDefault="005D39BA" w:rsidP="00316E29">
            <w:pPr>
              <w:spacing w:after="60"/>
              <w:ind w:left="-105"/>
              <w:rPr>
                <w:sz w:val="20"/>
              </w:rPr>
            </w:pPr>
            <w:bookmarkStart w:id="0" w:name="_GoBack"/>
            <w:bookmarkEnd w:id="0"/>
            <w:r w:rsidRPr="00B16AF6">
              <w:rPr>
                <w:rFonts w:ascii="Calibri" w:eastAsia="Calibri" w:hAnsi="Calibri"/>
                <w:noProof/>
              </w:rPr>
              <w:drawing>
                <wp:inline distT="0" distB="0" distL="0" distR="0" wp14:anchorId="633C6768" wp14:editId="1F57F72C">
                  <wp:extent cx="295275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22910"/>
                          </a:xfrm>
                          <a:prstGeom prst="rect">
                            <a:avLst/>
                          </a:prstGeom>
                          <a:noFill/>
                          <a:ln>
                            <a:noFill/>
                          </a:ln>
                        </pic:spPr>
                      </pic:pic>
                    </a:graphicData>
                  </a:graphic>
                </wp:inline>
              </w:drawing>
            </w:r>
          </w:p>
        </w:tc>
        <w:tc>
          <w:tcPr>
            <w:tcW w:w="4494" w:type="dxa"/>
            <w:vAlign w:val="bottom"/>
          </w:tcPr>
          <w:p w:rsidR="000B7B01" w:rsidRPr="00A75239" w:rsidRDefault="000B7B01" w:rsidP="000B7B01">
            <w:pPr>
              <w:ind w:left="-120"/>
              <w:jc w:val="right"/>
              <w:rPr>
                <w:rStyle w:val="Memo"/>
                <w:rFonts w:ascii="Arial" w:hAnsi="Arial" w:cs="Arial"/>
                <w:b/>
                <w:w w:val="90"/>
                <w:sz w:val="24"/>
                <w:szCs w:val="28"/>
              </w:rPr>
            </w:pPr>
            <w:r w:rsidRPr="00A602CE">
              <w:rPr>
                <w:rStyle w:val="Memo"/>
                <w:rFonts w:ascii="Arial" w:hAnsi="Arial" w:cs="Arial"/>
                <w:b/>
                <w:w w:val="90"/>
                <w:sz w:val="26"/>
                <w:szCs w:val="28"/>
              </w:rPr>
              <w:t>FACULTY POSITION ANNOUNCEMENT</w:t>
            </w:r>
            <w:r>
              <w:rPr>
                <w:rStyle w:val="Memo"/>
                <w:rFonts w:ascii="Arial" w:hAnsi="Arial" w:cs="Arial"/>
                <w:b/>
                <w:w w:val="90"/>
                <w:sz w:val="28"/>
                <w:szCs w:val="28"/>
              </w:rPr>
              <w:br/>
            </w:r>
            <w:r>
              <w:rPr>
                <w:rStyle w:val="Memo"/>
                <w:rFonts w:ascii="Arial" w:hAnsi="Arial" w:cs="Arial"/>
                <w:b/>
                <w:w w:val="90"/>
                <w:sz w:val="24"/>
                <w:szCs w:val="28"/>
              </w:rPr>
              <w:t>TENURE-TRACK</w:t>
            </w:r>
          </w:p>
          <w:p w:rsidR="005D39BA" w:rsidRPr="00B16AF6" w:rsidRDefault="000B7B01" w:rsidP="000B7B01">
            <w:pPr>
              <w:jc w:val="right"/>
              <w:rPr>
                <w:smallCaps/>
                <w:w w:val="90"/>
                <w:sz w:val="22"/>
                <w:szCs w:val="22"/>
              </w:rPr>
            </w:pPr>
            <w:r>
              <w:rPr>
                <w:rStyle w:val="Memo"/>
                <w:b/>
                <w:w w:val="90"/>
                <w:sz w:val="28"/>
                <w:szCs w:val="28"/>
              </w:rPr>
              <w:t xml:space="preserve">    </w:t>
            </w:r>
            <w:r w:rsidRPr="00B16AF6">
              <w:rPr>
                <w:rStyle w:val="Memo"/>
                <w:b/>
                <w:w w:val="90"/>
                <w:sz w:val="22"/>
                <w:szCs w:val="22"/>
              </w:rPr>
              <w:tab/>
            </w:r>
            <w:r w:rsidRPr="00924458">
              <w:rPr>
                <w:rStyle w:val="Memo"/>
                <w:rFonts w:ascii="Arial" w:hAnsi="Arial" w:cs="Arial"/>
                <w:b/>
                <w:w w:val="90"/>
                <w:sz w:val="20"/>
                <w:szCs w:val="22"/>
              </w:rPr>
              <w:t>(formerly AA-1</w:t>
            </w:r>
            <w:r>
              <w:rPr>
                <w:rStyle w:val="Memo"/>
                <w:rFonts w:ascii="Arial" w:hAnsi="Arial" w:cs="Arial"/>
                <w:b/>
                <w:w w:val="90"/>
                <w:sz w:val="20"/>
                <w:szCs w:val="22"/>
              </w:rPr>
              <w:t>)</w:t>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5310"/>
        <w:gridCol w:w="4829"/>
      </w:tblGrid>
      <w:tr w:rsidR="00326D92" w:rsidRPr="001B1A65" w:rsidTr="00860069">
        <w:trPr>
          <w:trHeight w:val="619"/>
        </w:trPr>
        <w:tc>
          <w:tcPr>
            <w:tcW w:w="5310" w:type="dxa"/>
          </w:tcPr>
          <w:p w:rsidR="00326D92" w:rsidRPr="00860069" w:rsidRDefault="00326D92" w:rsidP="001B1A65">
            <w:pPr>
              <w:jc w:val="both"/>
              <w:rPr>
                <w:rFonts w:ascii="Arial" w:hAnsi="Arial" w:cs="Arial"/>
                <w:sz w:val="20"/>
              </w:rPr>
            </w:pPr>
            <w:r w:rsidRPr="001B1A65">
              <w:rPr>
                <w:rFonts w:ascii="Arial" w:hAnsi="Arial" w:cs="Arial"/>
                <w:b/>
                <w:sz w:val="20"/>
              </w:rPr>
              <w:t>Department:</w:t>
            </w:r>
            <w:r w:rsidR="00B34474" w:rsidRPr="001B1A65">
              <w:rPr>
                <w:rFonts w:ascii="Arial" w:hAnsi="Arial" w:cs="Arial"/>
                <w:b/>
                <w:sz w:val="20"/>
              </w:rPr>
              <w:t xml:space="preserve"> </w:t>
            </w:r>
            <w:r w:rsidR="00B34474" w:rsidRPr="001B1A65">
              <w:rPr>
                <w:rFonts w:ascii="Arial" w:hAnsi="Arial" w:cs="Arial"/>
                <w:sz w:val="20"/>
              </w:rPr>
              <w:t xml:space="preserve">  </w:t>
            </w:r>
            <w:r w:rsidR="00A24C4D" w:rsidRPr="00CF5406">
              <w:rPr>
                <w:rFonts w:ascii="Arial" w:hAnsi="Arial" w:cs="Arial"/>
                <w:b/>
                <w:sz w:val="20"/>
              </w:rPr>
              <w:t xml:space="preserve"> </w:t>
            </w:r>
            <w:r w:rsidR="00860069" w:rsidRPr="00860069">
              <w:rPr>
                <w:rFonts w:ascii="Arial" w:hAnsi="Arial" w:cs="Arial"/>
                <w:sz w:val="20"/>
              </w:rPr>
              <w:t>Geography and Environmental Studies</w:t>
            </w:r>
          </w:p>
          <w:p w:rsidR="006C5F56" w:rsidRPr="001B1A65" w:rsidRDefault="00860069" w:rsidP="00860069">
            <w:pPr>
              <w:jc w:val="both"/>
              <w:rPr>
                <w:rFonts w:ascii="Arial" w:hAnsi="Arial" w:cs="Arial"/>
                <w:sz w:val="20"/>
              </w:rPr>
            </w:pPr>
            <w:r>
              <w:rPr>
                <w:rFonts w:ascii="Arial" w:hAnsi="Arial" w:cs="Arial"/>
                <w:b/>
                <w:sz w:val="20"/>
              </w:rPr>
              <w:t xml:space="preserve">Faculty Hire Number: </w:t>
            </w:r>
            <w:r w:rsidRPr="00860069">
              <w:rPr>
                <w:rFonts w:ascii="Arial" w:hAnsi="Arial" w:cs="Arial"/>
                <w:sz w:val="20"/>
              </w:rPr>
              <w:t>18-04</w:t>
            </w:r>
          </w:p>
        </w:tc>
        <w:tc>
          <w:tcPr>
            <w:tcW w:w="4829" w:type="dxa"/>
          </w:tcPr>
          <w:p w:rsidR="00AE0BB6" w:rsidRPr="001B1A65" w:rsidRDefault="00326D92" w:rsidP="001B1A65">
            <w:pPr>
              <w:jc w:val="both"/>
              <w:rPr>
                <w:rFonts w:ascii="Arial" w:hAnsi="Arial" w:cs="Arial"/>
                <w:sz w:val="20"/>
              </w:rPr>
            </w:pPr>
            <w:r w:rsidRPr="001B1A65">
              <w:rPr>
                <w:rFonts w:ascii="Arial" w:hAnsi="Arial" w:cs="Arial"/>
                <w:b/>
                <w:sz w:val="20"/>
              </w:rPr>
              <w:t xml:space="preserve">Effective Date of </w:t>
            </w:r>
            <w:r w:rsidR="00AE0BB6" w:rsidRPr="001B1A65">
              <w:rPr>
                <w:rFonts w:ascii="Arial" w:hAnsi="Arial" w:cs="Arial"/>
                <w:b/>
                <w:sz w:val="20"/>
              </w:rPr>
              <w:t xml:space="preserve">Appointment: </w:t>
            </w:r>
            <w:r w:rsidR="00860069" w:rsidRPr="00860069">
              <w:rPr>
                <w:rFonts w:ascii="Arial" w:hAnsi="Arial" w:cs="Arial"/>
                <w:sz w:val="20"/>
              </w:rPr>
              <w:t>August 22, 2018</w:t>
            </w:r>
          </w:p>
          <w:p w:rsidR="00326D92" w:rsidRPr="001B1A65" w:rsidRDefault="00AE0BB6" w:rsidP="001B1A65">
            <w:pPr>
              <w:jc w:val="both"/>
              <w:rPr>
                <w:rFonts w:ascii="Arial" w:hAnsi="Arial" w:cs="Arial"/>
                <w:sz w:val="20"/>
              </w:rPr>
            </w:pPr>
            <w:r w:rsidRPr="001B1A65">
              <w:rPr>
                <w:rFonts w:ascii="Arial" w:hAnsi="Arial" w:cs="Arial"/>
                <w:sz w:val="20"/>
              </w:rPr>
              <w:t>(Subject</w:t>
            </w:r>
            <w:r w:rsidR="00326D92" w:rsidRPr="001B1A65">
              <w:rPr>
                <w:rFonts w:ascii="Arial" w:hAnsi="Arial" w:cs="Arial"/>
                <w:sz w:val="20"/>
              </w:rPr>
              <w:t xml:space="preserve"> to Budgetary Approval)</w:t>
            </w:r>
            <w:r w:rsidR="00326D92" w:rsidRPr="001B1A65">
              <w:rPr>
                <w:rFonts w:ascii="Arial" w:hAnsi="Arial" w:cs="Arial"/>
                <w:sz w:val="20"/>
              </w:rPr>
              <w:tab/>
            </w:r>
          </w:p>
          <w:p w:rsidR="00316E29" w:rsidRPr="001B1A65" w:rsidRDefault="00316E29" w:rsidP="001B1A65">
            <w:pPr>
              <w:jc w:val="both"/>
              <w:rPr>
                <w:rFonts w:ascii="Arial" w:hAnsi="Arial" w:cs="Arial"/>
                <w:sz w:val="20"/>
              </w:rPr>
            </w:pPr>
          </w:p>
        </w:tc>
      </w:tr>
      <w:tr w:rsidR="00326D92" w:rsidRPr="001B1A65" w:rsidTr="00860069">
        <w:trPr>
          <w:trHeight w:val="358"/>
        </w:trPr>
        <w:tc>
          <w:tcPr>
            <w:tcW w:w="5310" w:type="dxa"/>
          </w:tcPr>
          <w:p w:rsidR="005D39BA" w:rsidRPr="001B1A65" w:rsidRDefault="005D39BA" w:rsidP="001B1A65">
            <w:pPr>
              <w:jc w:val="both"/>
              <w:rPr>
                <w:rFonts w:ascii="Arial" w:hAnsi="Arial" w:cs="Arial"/>
                <w:sz w:val="20"/>
              </w:rPr>
            </w:pPr>
          </w:p>
          <w:p w:rsidR="00326D92" w:rsidRPr="001B1A65" w:rsidRDefault="00AE0BB6" w:rsidP="00933C04">
            <w:pPr>
              <w:jc w:val="both"/>
              <w:rPr>
                <w:rFonts w:ascii="Arial" w:hAnsi="Arial" w:cs="Arial"/>
                <w:sz w:val="20"/>
              </w:rPr>
            </w:pPr>
            <w:r w:rsidRPr="001B1A65">
              <w:rPr>
                <w:rFonts w:ascii="Arial" w:hAnsi="Arial" w:cs="Arial"/>
                <w:b/>
                <w:sz w:val="20"/>
              </w:rPr>
              <w:t>Rank:</w:t>
            </w:r>
            <w:r w:rsidR="00860069">
              <w:rPr>
                <w:rFonts w:ascii="Arial" w:hAnsi="Arial" w:cs="Arial"/>
                <w:b/>
                <w:sz w:val="20"/>
              </w:rPr>
              <w:t xml:space="preserve"> </w:t>
            </w:r>
            <w:r w:rsidR="000A1380">
              <w:rPr>
                <w:rFonts w:ascii="Arial" w:hAnsi="Arial" w:cs="Arial"/>
                <w:sz w:val="20"/>
              </w:rPr>
              <w:t>Assistant/Associate</w:t>
            </w:r>
            <w:r w:rsidR="00860069" w:rsidRPr="00860069">
              <w:rPr>
                <w:rFonts w:ascii="Arial" w:hAnsi="Arial" w:cs="Arial"/>
                <w:sz w:val="20"/>
              </w:rPr>
              <w:t>/or Full</w:t>
            </w:r>
            <w:r w:rsidR="00933C04">
              <w:rPr>
                <w:rFonts w:ascii="Arial" w:hAnsi="Arial" w:cs="Arial"/>
                <w:sz w:val="20"/>
              </w:rPr>
              <w:t xml:space="preserve"> </w:t>
            </w:r>
            <w:r w:rsidR="00860069" w:rsidRPr="00860069">
              <w:rPr>
                <w:rFonts w:ascii="Arial" w:hAnsi="Arial" w:cs="Arial"/>
                <w:sz w:val="20"/>
              </w:rPr>
              <w:t>Professor with tenure; 12 month appointment</w:t>
            </w:r>
          </w:p>
        </w:tc>
        <w:tc>
          <w:tcPr>
            <w:tcW w:w="4829" w:type="dxa"/>
          </w:tcPr>
          <w:p w:rsidR="005775B8" w:rsidRPr="001B1A65" w:rsidRDefault="005775B8" w:rsidP="001B1A65">
            <w:pPr>
              <w:jc w:val="both"/>
              <w:rPr>
                <w:rFonts w:ascii="Arial" w:hAnsi="Arial" w:cs="Arial"/>
                <w:sz w:val="20"/>
              </w:rPr>
            </w:pPr>
          </w:p>
          <w:p w:rsidR="00326D92" w:rsidRPr="001B1A65" w:rsidRDefault="00AE0BB6" w:rsidP="001B1A65">
            <w:pPr>
              <w:jc w:val="both"/>
              <w:rPr>
                <w:rFonts w:ascii="Arial" w:hAnsi="Arial" w:cs="Arial"/>
                <w:sz w:val="20"/>
              </w:rPr>
            </w:pPr>
            <w:r w:rsidRPr="00A34903">
              <w:rPr>
                <w:rFonts w:ascii="Arial" w:hAnsi="Arial" w:cs="Arial"/>
                <w:b/>
                <w:sz w:val="20"/>
              </w:rPr>
              <w:t>Salary:</w:t>
            </w:r>
            <w:r w:rsidRPr="001B1A65">
              <w:rPr>
                <w:rFonts w:ascii="Arial" w:hAnsi="Arial" w:cs="Arial"/>
                <w:sz w:val="20"/>
              </w:rPr>
              <w:t xml:space="preserve"> </w:t>
            </w:r>
            <w:r w:rsidR="0023757A" w:rsidRPr="001B1A65">
              <w:rPr>
                <w:rFonts w:ascii="Arial" w:hAnsi="Arial" w:cs="Arial"/>
                <w:sz w:val="20"/>
              </w:rPr>
              <w:t>Dependent upon qualifications</w:t>
            </w:r>
          </w:p>
        </w:tc>
      </w:tr>
    </w:tbl>
    <w:p w:rsidR="000A2404" w:rsidRPr="001B1A65" w:rsidRDefault="000A2404" w:rsidP="001B1A65">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B1A65" w:rsidTr="00E12DA0">
        <w:tc>
          <w:tcPr>
            <w:tcW w:w="10296" w:type="dxa"/>
          </w:tcPr>
          <w:p w:rsidR="00C3601B" w:rsidRPr="001B1A65" w:rsidRDefault="003F58F6" w:rsidP="001B1A65">
            <w:pPr>
              <w:jc w:val="both"/>
              <w:rPr>
                <w:rFonts w:ascii="Arial" w:hAnsi="Arial" w:cs="Arial"/>
                <w:b/>
                <w:sz w:val="20"/>
              </w:rPr>
            </w:pPr>
            <w:r w:rsidRPr="001B1A65">
              <w:rPr>
                <w:rFonts w:ascii="Arial" w:hAnsi="Arial" w:cs="Arial"/>
                <w:b/>
                <w:sz w:val="20"/>
              </w:rPr>
              <w:t xml:space="preserve">About the </w:t>
            </w:r>
            <w:r w:rsidR="00E12DA0" w:rsidRPr="001B1A65">
              <w:rPr>
                <w:rFonts w:ascii="Arial" w:hAnsi="Arial" w:cs="Arial"/>
                <w:b/>
                <w:sz w:val="20"/>
              </w:rPr>
              <w:t>University:</w:t>
            </w:r>
          </w:p>
          <w:p w:rsidR="00F06142" w:rsidRPr="001B1A65" w:rsidRDefault="00F06142" w:rsidP="001B1A65">
            <w:pPr>
              <w:jc w:val="both"/>
              <w:rPr>
                <w:rFonts w:ascii="Arial" w:hAnsi="Arial" w:cs="Arial"/>
                <w:sz w:val="20"/>
              </w:rPr>
            </w:pPr>
            <w:r w:rsidRPr="001B1A65">
              <w:rPr>
                <w:rFonts w:ascii="Arial" w:hAnsi="Arial" w:cs="Arial"/>
                <w:sz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1B1A65">
              <w:rPr>
                <w:rFonts w:ascii="Arial" w:hAnsi="Arial" w:cs="Arial"/>
                <w:sz w:val="20"/>
                <w:vertAlign w:val="superscript"/>
              </w:rPr>
              <w:t>th</w:t>
            </w:r>
            <w:r w:rsidRPr="001B1A65">
              <w:rPr>
                <w:rFonts w:ascii="Arial" w:hAnsi="Arial" w:cs="Arial"/>
                <w:sz w:val="20"/>
              </w:rPr>
              <w:t xml:space="preserve"> in awarding bachelor’s degrees to </w:t>
            </w:r>
            <w:r w:rsidR="00316E29" w:rsidRPr="001B1A65">
              <w:rPr>
                <w:rFonts w:ascii="Arial" w:hAnsi="Arial" w:cs="Arial"/>
                <w:sz w:val="20"/>
              </w:rPr>
              <w:t>traditionally underserved</w:t>
            </w:r>
            <w:r w:rsidRPr="001B1A65">
              <w:rPr>
                <w:rFonts w:ascii="Arial" w:hAnsi="Arial" w:cs="Arial"/>
                <w:sz w:val="20"/>
              </w:rPr>
              <w:t xml:space="preserve"> students and </w:t>
            </w:r>
            <w:r w:rsidR="001B1A65">
              <w:rPr>
                <w:rFonts w:ascii="Arial" w:hAnsi="Arial" w:cs="Arial"/>
                <w:sz w:val="20"/>
              </w:rPr>
              <w:t>enrolls the largest number of Deaf and Hard-of-H</w:t>
            </w:r>
            <w:r w:rsidRPr="001B1A65">
              <w:rPr>
                <w:rFonts w:ascii="Arial" w:hAnsi="Arial" w:cs="Arial"/>
                <w:sz w:val="20"/>
              </w:rPr>
              <w:t>earing students of any U.S. state university. The journal </w:t>
            </w:r>
            <w:r w:rsidRPr="001B1A65">
              <w:rPr>
                <w:rFonts w:ascii="Arial" w:hAnsi="Arial" w:cs="Arial"/>
                <w:i/>
                <w:iCs/>
                <w:sz w:val="20"/>
              </w:rPr>
              <w:t>Nature</w:t>
            </w:r>
            <w:r w:rsidRPr="001B1A65">
              <w:rPr>
                <w:rFonts w:ascii="Arial" w:hAnsi="Arial" w:cs="Arial"/>
                <w:sz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3F58F6" w:rsidRPr="001B1A65" w:rsidRDefault="003F58F6" w:rsidP="001B1A65">
            <w:pPr>
              <w:jc w:val="both"/>
              <w:rPr>
                <w:rFonts w:ascii="Arial" w:hAnsi="Arial" w:cs="Arial"/>
                <w:color w:val="000000"/>
                <w:sz w:val="20"/>
              </w:rPr>
            </w:pPr>
          </w:p>
          <w:p w:rsidR="00C3601B" w:rsidRPr="001B1A65" w:rsidRDefault="00C3601B" w:rsidP="001B1A65">
            <w:pPr>
              <w:jc w:val="both"/>
              <w:rPr>
                <w:rFonts w:ascii="Arial" w:hAnsi="Arial" w:cs="Arial"/>
                <w:b/>
                <w:color w:val="000000"/>
                <w:sz w:val="20"/>
              </w:rPr>
            </w:pPr>
            <w:r w:rsidRPr="001B1A65">
              <w:rPr>
                <w:rFonts w:ascii="Arial" w:hAnsi="Arial" w:cs="Arial"/>
                <w:b/>
                <w:color w:val="000000"/>
                <w:sz w:val="20"/>
              </w:rPr>
              <w:t>CSUN’s Commitment to You:</w:t>
            </w:r>
          </w:p>
          <w:p w:rsidR="00C3601B" w:rsidRPr="001B1A65" w:rsidRDefault="00C3601B" w:rsidP="001B1A65">
            <w:pPr>
              <w:jc w:val="both"/>
              <w:rPr>
                <w:rFonts w:ascii="Arial" w:hAnsi="Arial" w:cs="Arial"/>
                <w:sz w:val="20"/>
              </w:rPr>
            </w:pPr>
            <w:r w:rsidRPr="001B1A65">
              <w:rPr>
                <w:rFonts w:ascii="Arial" w:hAnsi="Arial" w:cs="Arial"/>
                <w:sz w:val="20"/>
              </w:rPr>
              <w:t xml:space="preserve">CSUN is committed to achieving excellence through teaching, scholarship, </w:t>
            </w:r>
            <w:r w:rsidR="001B1A65">
              <w:rPr>
                <w:rFonts w:ascii="Arial" w:hAnsi="Arial" w:cs="Arial"/>
                <w:sz w:val="20"/>
              </w:rPr>
              <w:t xml:space="preserve">learning and </w:t>
            </w:r>
            <w:r w:rsidR="00261D5A">
              <w:rPr>
                <w:rFonts w:ascii="Arial" w:hAnsi="Arial" w:cs="Arial"/>
                <w:sz w:val="20"/>
              </w:rPr>
              <w:t>inclusion</w:t>
            </w:r>
            <w:r w:rsidR="001B1A65">
              <w:rPr>
                <w:rFonts w:ascii="Arial" w:hAnsi="Arial" w:cs="Arial"/>
                <w:sz w:val="20"/>
              </w:rPr>
              <w:t>. </w:t>
            </w:r>
            <w:r w:rsidRPr="001B1A65">
              <w:rPr>
                <w:rFonts w:ascii="Arial" w:hAnsi="Arial" w:cs="Arial"/>
                <w:sz w:val="20"/>
              </w:rPr>
              <w:t xml:space="preserve">Our values include a respect for all people, building </w:t>
            </w:r>
            <w:r w:rsidR="002E2346">
              <w:rPr>
                <w:rFonts w:ascii="Arial" w:hAnsi="Arial" w:cs="Arial"/>
                <w:sz w:val="20"/>
              </w:rPr>
              <w:t>partnerships</w:t>
            </w:r>
            <w:r w:rsidRPr="001B1A65">
              <w:rPr>
                <w:rFonts w:ascii="Arial" w:hAnsi="Arial" w:cs="Arial"/>
                <w:sz w:val="20"/>
              </w:rPr>
              <w:t xml:space="preserve"> with the community and the encouragement of innovation, experimentation and cr</w:t>
            </w:r>
            <w:r w:rsidR="002E2346">
              <w:rPr>
                <w:rFonts w:ascii="Arial" w:hAnsi="Arial" w:cs="Arial"/>
                <w:sz w:val="20"/>
              </w:rPr>
              <w:t>eativity.</w:t>
            </w:r>
            <w:r w:rsidRPr="001B1A65">
              <w:rPr>
                <w:rFonts w:ascii="Arial" w:hAnsi="Arial" w:cs="Arial"/>
                <w:sz w:val="20"/>
              </w:rPr>
              <w:t xml:space="preserve"> </w:t>
            </w:r>
            <w:r w:rsidR="003B6A75">
              <w:rPr>
                <w:rFonts w:ascii="Arial" w:hAnsi="Arial" w:cs="Arial"/>
                <w:sz w:val="20"/>
              </w:rPr>
              <w:t xml:space="preserve">CSUN </w:t>
            </w:r>
            <w:r w:rsidR="001B1A65" w:rsidRPr="001B1A65">
              <w:rPr>
                <w:rFonts w:ascii="Arial" w:hAnsi="Arial" w:cs="Arial"/>
                <w:sz w:val="20"/>
              </w:rPr>
              <w:t xml:space="preserve">strives to </w:t>
            </w:r>
            <w:r w:rsidR="003B6A75">
              <w:rPr>
                <w:rFonts w:ascii="Arial" w:hAnsi="Arial" w:cs="Arial"/>
                <w:sz w:val="20"/>
              </w:rPr>
              <w:t>cultivate</w:t>
            </w:r>
            <w:r w:rsidR="001B1A65" w:rsidRPr="001B1A65">
              <w:rPr>
                <w:rFonts w:ascii="Arial" w:hAnsi="Arial" w:cs="Arial"/>
                <w:sz w:val="20"/>
              </w:rPr>
              <w:t xml:space="preserve"> a community in which a diverse popu</w:t>
            </w:r>
            <w:r w:rsidR="00261D5A">
              <w:rPr>
                <w:rFonts w:ascii="Arial" w:hAnsi="Arial" w:cs="Arial"/>
                <w:sz w:val="20"/>
              </w:rPr>
              <w:t>lation can learn and work</w:t>
            </w:r>
            <w:r w:rsidR="001B1A65" w:rsidRPr="001B1A65">
              <w:rPr>
                <w:rFonts w:ascii="Arial" w:hAnsi="Arial" w:cs="Arial"/>
                <w:sz w:val="20"/>
              </w:rPr>
              <w:t xml:space="preserve"> in an atmosphere of civ</w:t>
            </w:r>
            <w:r w:rsidR="00261D5A">
              <w:rPr>
                <w:rFonts w:ascii="Arial" w:hAnsi="Arial" w:cs="Arial"/>
                <w:sz w:val="20"/>
              </w:rPr>
              <w:t>ility and respect</w:t>
            </w:r>
            <w:r w:rsidR="003B6A75">
              <w:rPr>
                <w:rFonts w:ascii="Arial" w:hAnsi="Arial" w:cs="Arial"/>
                <w:sz w:val="20"/>
              </w:rPr>
              <w:t xml:space="preserve">. </w:t>
            </w:r>
            <w:r w:rsidR="00A2296A">
              <w:rPr>
                <w:rFonts w:ascii="Arial" w:hAnsi="Arial" w:cs="Arial"/>
                <w:sz w:val="20"/>
              </w:rPr>
              <w:t>CSUN</w:t>
            </w:r>
            <w:r w:rsidR="003B6A75">
              <w:rPr>
                <w:rFonts w:ascii="Arial" w:hAnsi="Arial" w:cs="Arial"/>
                <w:sz w:val="20"/>
              </w:rPr>
              <w:t xml:space="preserve"> is especially interested in candidates who </w:t>
            </w:r>
            <w:r w:rsidR="00A2296A">
              <w:rPr>
                <w:rFonts w:ascii="Arial" w:hAnsi="Arial" w:cs="Arial"/>
                <w:sz w:val="20"/>
              </w:rPr>
              <w:t xml:space="preserve">make </w:t>
            </w:r>
            <w:r w:rsidR="00FE76EE" w:rsidRPr="00FE76EE">
              <w:rPr>
                <w:rFonts w:ascii="Arial" w:hAnsi="Arial" w:cs="Arial"/>
                <w:sz w:val="20"/>
              </w:rPr>
              <w:t xml:space="preserve">contributions to </w:t>
            </w:r>
            <w:r w:rsidR="00A2296A">
              <w:rPr>
                <w:rFonts w:ascii="Arial" w:hAnsi="Arial" w:cs="Arial"/>
                <w:sz w:val="20"/>
              </w:rPr>
              <w:t xml:space="preserve">equity and inclusion in the pursuit of excellence </w:t>
            </w:r>
            <w:r w:rsidR="00FE76EE" w:rsidRPr="00FE76EE">
              <w:rPr>
                <w:rFonts w:ascii="Arial" w:hAnsi="Arial" w:cs="Arial"/>
                <w:sz w:val="20"/>
              </w:rPr>
              <w:t xml:space="preserve">for all members of the </w:t>
            </w:r>
            <w:r w:rsidR="00A2296A">
              <w:rPr>
                <w:rFonts w:ascii="Arial" w:hAnsi="Arial" w:cs="Arial"/>
                <w:sz w:val="20"/>
              </w:rPr>
              <w:t>university</w:t>
            </w:r>
            <w:r w:rsidR="00FE76EE" w:rsidRPr="00FE76EE">
              <w:rPr>
                <w:rFonts w:ascii="Arial" w:hAnsi="Arial" w:cs="Arial"/>
                <w:sz w:val="20"/>
              </w:rPr>
              <w:t xml:space="preserve"> community.</w:t>
            </w:r>
          </w:p>
          <w:p w:rsidR="00C3601B" w:rsidRPr="001B1A65" w:rsidRDefault="00C3601B" w:rsidP="001B1A65">
            <w:pPr>
              <w:jc w:val="both"/>
              <w:rPr>
                <w:rFonts w:ascii="Arial" w:hAnsi="Arial" w:cs="Arial"/>
                <w:sz w:val="20"/>
              </w:rPr>
            </w:pPr>
          </w:p>
          <w:p w:rsidR="003F58F6" w:rsidRPr="001B1A65" w:rsidRDefault="003F58F6" w:rsidP="001B1A65">
            <w:pPr>
              <w:jc w:val="both"/>
              <w:rPr>
                <w:rFonts w:ascii="Arial" w:hAnsi="Arial" w:cs="Arial"/>
                <w:color w:val="0000FF"/>
                <w:sz w:val="20"/>
                <w:u w:val="single"/>
              </w:rPr>
            </w:pPr>
            <w:r w:rsidRPr="001B1A65">
              <w:rPr>
                <w:rFonts w:ascii="Arial" w:hAnsi="Arial" w:cs="Arial"/>
                <w:sz w:val="20"/>
              </w:rPr>
              <w:t>For more information about the University, check our website</w:t>
            </w:r>
            <w:r w:rsidR="00A34903">
              <w:rPr>
                <w:rFonts w:ascii="Arial" w:hAnsi="Arial" w:cs="Arial"/>
                <w:sz w:val="20"/>
              </w:rPr>
              <w:t xml:space="preserve"> at</w:t>
            </w:r>
            <w:r w:rsidRPr="001B1A65">
              <w:rPr>
                <w:rFonts w:ascii="Arial" w:hAnsi="Arial" w:cs="Arial"/>
                <w:sz w:val="20"/>
              </w:rPr>
              <w:t xml:space="preserve">: </w:t>
            </w:r>
            <w:hyperlink r:id="rId8" w:history="1">
              <w:r w:rsidR="00C3601B" w:rsidRPr="001B1A65">
                <w:rPr>
                  <w:rStyle w:val="Hyperlink"/>
                  <w:rFonts w:ascii="Arial" w:hAnsi="Arial" w:cs="Arial"/>
                  <w:sz w:val="20"/>
                </w:rPr>
                <w:t>http://www.csun.edu</w:t>
              </w:r>
            </w:hyperlink>
          </w:p>
          <w:p w:rsidR="004A66E7" w:rsidRPr="001B1A65" w:rsidRDefault="004A66E7" w:rsidP="001B1A65">
            <w:pPr>
              <w:jc w:val="both"/>
              <w:rPr>
                <w:rFonts w:ascii="Arial" w:hAnsi="Arial" w:cs="Arial"/>
                <w:sz w:val="20"/>
              </w:rPr>
            </w:pPr>
          </w:p>
        </w:tc>
      </w:tr>
    </w:tbl>
    <w:p w:rsidR="00860069" w:rsidRDefault="00860069" w:rsidP="00A34903">
      <w:pPr>
        <w:ind w:left="180" w:right="90"/>
        <w:jc w:val="both"/>
        <w:rPr>
          <w:rFonts w:ascii="Arial" w:hAnsi="Arial" w:cs="Arial"/>
          <w:b/>
          <w:sz w:val="20"/>
        </w:rPr>
      </w:pPr>
    </w:p>
    <w:p w:rsidR="00860069" w:rsidRPr="006D6A5F" w:rsidRDefault="00860069" w:rsidP="0086006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r w:rsidRPr="006D6A5F">
        <w:rPr>
          <w:rFonts w:asciiTheme="minorHAnsi" w:hAnsiTheme="minorHAnsi"/>
          <w:b/>
          <w:szCs w:val="24"/>
        </w:rPr>
        <w:t>Director, Institute for Sustainability</w:t>
      </w:r>
    </w:p>
    <w:p w:rsidR="00860069" w:rsidRPr="00860069" w:rsidRDefault="00860069" w:rsidP="0086006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860069">
        <w:rPr>
          <w:rFonts w:ascii="Arial" w:hAnsi="Arial" w:cs="Arial"/>
          <w:color w:val="212121"/>
          <w:sz w:val="20"/>
        </w:rPr>
        <w:t>We seek a qualified candidate, with expertise in Sustainability, Geography, Environmental Science (Atmospheric/Climate/Water Science), or related cognate fields, to join the Department of Geography and Environmental Studies at California State University, Northridge.  We are recruiting for an open-rank faculty position to fulfill the role of the campus-wide Director of the Institute for Sustainability (IS).  This is a great opportunity for an innovative and strategic leader to build on the campus’s exemplary efforts and accomplishments in sustainability.  CSUN is emerging as a national leader in this area, recently garnering multiple awards and accolades.  We seek an individual who can maintain and enhance the academic rigor, innovation, scholarship, community engagement, and collaborative spirit espoused by the Institute.  This is a tenure-line position in Geography with a 12 month administrative buy-out to be the Director of the Institute for Sustainability. The position of Director is for a renewable three-year term and will report to the Provost, or his designee. Within the Department of Geography, the Director will teach a total of two courses (one each semester) per academic year in his/her field of specialization.  The Director will collaboratively establish and implement campus and IS priorities to move CSUN and its community forward towards a more sustainable future.  Given the robust and broad goals of the IS, the Director must be an astute leader, with broad and deep experience dealing with diverse stakeholders, including students, staff, faculty, administrators, other campuses, government officials and agencies, school districts, and peers at the national level.  The Director shall foster widespread student and faculty engagement in, nurture broader community relationships with, and enhance the scholarly activities and funding of the Institute.  All of this will be accomplished in collaboration with a talented and dedicated team of staff and faculty who are deeply engaged with many aspects of CSUN’s sustainability plans.  </w:t>
      </w:r>
    </w:p>
    <w:p w:rsidR="00860069" w:rsidRDefault="00860069" w:rsidP="00A34903">
      <w:pPr>
        <w:ind w:left="180" w:right="90"/>
        <w:jc w:val="both"/>
        <w:rPr>
          <w:rFonts w:ascii="Arial" w:hAnsi="Arial" w:cs="Arial"/>
          <w:b/>
          <w:sz w:val="20"/>
        </w:rPr>
      </w:pPr>
    </w:p>
    <w:p w:rsidR="000A2404" w:rsidRPr="00A34903" w:rsidRDefault="000A2404" w:rsidP="00860069">
      <w:pPr>
        <w:ind w:right="90"/>
        <w:jc w:val="both"/>
        <w:rPr>
          <w:rFonts w:ascii="Arial" w:hAnsi="Arial" w:cs="Arial"/>
          <w:b/>
          <w:sz w:val="20"/>
        </w:rPr>
      </w:pPr>
      <w:r w:rsidRPr="00A34903">
        <w:rPr>
          <w:rFonts w:ascii="Arial" w:hAnsi="Arial" w:cs="Arial"/>
          <w:b/>
          <w:sz w:val="20"/>
        </w:rPr>
        <w:t>Qualifications:</w:t>
      </w:r>
      <w:r w:rsidR="00FE3483" w:rsidRPr="00A34903">
        <w:rPr>
          <w:rFonts w:ascii="Arial" w:hAnsi="Arial" w:cs="Arial"/>
          <w:b/>
          <w:sz w:val="20"/>
        </w:rPr>
        <w:t xml:space="preserve"> </w:t>
      </w:r>
      <w:r w:rsidR="00B34474" w:rsidRPr="00A34903">
        <w:rPr>
          <w:rFonts w:ascii="Arial" w:hAnsi="Arial" w:cs="Arial"/>
          <w:b/>
          <w:sz w:val="20"/>
        </w:rPr>
        <w:t xml:space="preserve">  </w:t>
      </w:r>
    </w:p>
    <w:p w:rsidR="00F1348C" w:rsidRPr="001B1A65" w:rsidRDefault="00F1348C" w:rsidP="00A34903">
      <w:pPr>
        <w:ind w:left="180" w:right="90"/>
        <w:jc w:val="both"/>
        <w:rPr>
          <w:rFonts w:ascii="Arial" w:hAnsi="Arial" w:cs="Arial"/>
          <w:sz w:val="20"/>
        </w:rPr>
      </w:pPr>
    </w:p>
    <w:p w:rsidR="00A30D78" w:rsidRPr="00860069" w:rsidRDefault="00860069" w:rsidP="00A34903">
      <w:pPr>
        <w:ind w:left="180" w:right="90"/>
        <w:jc w:val="both"/>
        <w:rPr>
          <w:rFonts w:ascii="Arial" w:hAnsi="Arial" w:cs="Arial"/>
          <w:sz w:val="20"/>
        </w:rPr>
      </w:pPr>
      <w:r w:rsidRPr="00860069">
        <w:rPr>
          <w:rFonts w:ascii="Arial" w:hAnsi="Arial" w:cs="Arial"/>
          <w:sz w:val="20"/>
        </w:rPr>
        <w:lastRenderedPageBreak/>
        <w:t>Doctorate (PhD) from an accredited university in, but not limited to Geography, Environmental Science, Atmospheric/Climate Science, Water Science, or Sustainability. Proven research in specialization and experience in sustainability-related practices and applications. Excellent analytical and data analysis skills. Demonstrated record of teaching excellence in area of specialization.</w:t>
      </w:r>
    </w:p>
    <w:p w:rsidR="00860069" w:rsidRDefault="00860069" w:rsidP="00A34903">
      <w:pPr>
        <w:ind w:left="180" w:right="90"/>
        <w:jc w:val="both"/>
        <w:rPr>
          <w:rFonts w:ascii="Arial" w:hAnsi="Arial" w:cs="Arial"/>
          <w:sz w:val="20"/>
        </w:rPr>
      </w:pPr>
    </w:p>
    <w:p w:rsidR="00F1348C" w:rsidRDefault="00A30D78" w:rsidP="00A34903">
      <w:pPr>
        <w:ind w:left="180" w:right="90"/>
        <w:jc w:val="both"/>
        <w:rPr>
          <w:rFonts w:ascii="Arial" w:hAnsi="Arial" w:cs="Arial"/>
          <w:sz w:val="20"/>
        </w:rPr>
      </w:pPr>
      <w:r w:rsidRPr="001B1A65">
        <w:rPr>
          <w:rFonts w:ascii="Arial" w:hAnsi="Arial" w:cs="Arial"/>
          <w:sz w:val="20"/>
        </w:rPr>
        <w:t>At time of appointment, the successful candidate, if not a U.S. citizen, must have authorization from the Bureau of Citizenship and Immigration Services to work in the United States.</w:t>
      </w:r>
    </w:p>
    <w:p w:rsidR="00860069" w:rsidRDefault="00860069" w:rsidP="00A34903">
      <w:pPr>
        <w:ind w:left="180" w:right="90"/>
        <w:jc w:val="both"/>
        <w:rPr>
          <w:rFonts w:ascii="Arial" w:hAnsi="Arial" w:cs="Arial"/>
          <w:sz w:val="20"/>
        </w:rPr>
      </w:pPr>
    </w:p>
    <w:p w:rsidR="00860069" w:rsidRPr="00860069" w:rsidRDefault="00860069" w:rsidP="0086006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Pr>
          <w:rFonts w:ascii="Arial" w:hAnsi="Arial" w:cs="Arial"/>
          <w:b/>
          <w:sz w:val="20"/>
        </w:rPr>
        <w:t xml:space="preserve">   </w:t>
      </w:r>
      <w:r w:rsidRPr="00860069">
        <w:rPr>
          <w:rFonts w:ascii="Arial" w:hAnsi="Arial" w:cs="Arial"/>
          <w:b/>
          <w:sz w:val="20"/>
        </w:rPr>
        <w:t>Desired Qualifications</w:t>
      </w:r>
    </w:p>
    <w:p w:rsidR="00860069" w:rsidRPr="00860069" w:rsidRDefault="00860069" w:rsidP="00860069">
      <w:pPr>
        <w:ind w:left="180" w:right="90"/>
        <w:jc w:val="both"/>
        <w:rPr>
          <w:rFonts w:ascii="Arial" w:hAnsi="Arial" w:cs="Arial"/>
          <w:sz w:val="20"/>
        </w:rPr>
      </w:pPr>
      <w:r w:rsidRPr="00860069">
        <w:rPr>
          <w:rFonts w:ascii="Arial" w:hAnsi="Arial" w:cs="Arial"/>
          <w:sz w:val="20"/>
        </w:rPr>
        <w:t>A demonstrated record of leadership experience and success. A track record of collaborative engagement with and/or management of projects. Experience with grantsmanship. Experience supervising staff and developing budgets and managing program expenses.</w:t>
      </w:r>
    </w:p>
    <w:p w:rsidR="00F1348C" w:rsidRPr="001B1A65" w:rsidRDefault="00F1348C" w:rsidP="00A34903">
      <w:pPr>
        <w:ind w:left="180" w:right="90"/>
        <w:jc w:val="both"/>
        <w:rPr>
          <w:rFonts w:ascii="Arial" w:hAnsi="Arial" w:cs="Arial"/>
          <w:sz w:val="20"/>
        </w:rPr>
      </w:pPr>
    </w:p>
    <w:p w:rsidR="00D36C34" w:rsidRPr="00A34903" w:rsidRDefault="000A2404" w:rsidP="00A34903">
      <w:pPr>
        <w:ind w:left="180" w:right="90"/>
        <w:jc w:val="both"/>
        <w:rPr>
          <w:rFonts w:ascii="Arial" w:hAnsi="Arial" w:cs="Arial"/>
          <w:b/>
          <w:sz w:val="20"/>
        </w:rPr>
      </w:pPr>
      <w:r w:rsidRPr="00A34903">
        <w:rPr>
          <w:rFonts w:ascii="Arial" w:hAnsi="Arial" w:cs="Arial"/>
          <w:b/>
          <w:sz w:val="20"/>
        </w:rPr>
        <w:t>Responsibilities</w:t>
      </w:r>
      <w:r w:rsidR="00AE0BB6" w:rsidRPr="00A34903">
        <w:rPr>
          <w:rFonts w:ascii="Arial" w:hAnsi="Arial" w:cs="Arial"/>
          <w:b/>
          <w:sz w:val="20"/>
        </w:rPr>
        <w:t>:</w:t>
      </w:r>
      <w:r w:rsidR="00FE3483" w:rsidRPr="00A34903">
        <w:rPr>
          <w:rFonts w:ascii="Arial" w:hAnsi="Arial" w:cs="Arial"/>
          <w:b/>
          <w:sz w:val="20"/>
        </w:rPr>
        <w:t xml:space="preserve"> </w:t>
      </w:r>
      <w:r w:rsidR="00B34474" w:rsidRPr="00A34903">
        <w:rPr>
          <w:rFonts w:ascii="Arial" w:hAnsi="Arial" w:cs="Arial"/>
          <w:b/>
          <w:sz w:val="20"/>
        </w:rPr>
        <w:t xml:space="preserve"> </w:t>
      </w:r>
    </w:p>
    <w:p w:rsidR="00F1348C" w:rsidRPr="001B1A65" w:rsidRDefault="00F1348C" w:rsidP="00A34903">
      <w:pPr>
        <w:ind w:left="180" w:right="90"/>
        <w:jc w:val="both"/>
        <w:rPr>
          <w:rFonts w:ascii="Arial" w:hAnsi="Arial" w:cs="Arial"/>
          <w:sz w:val="20"/>
        </w:rPr>
      </w:pPr>
    </w:p>
    <w:p w:rsidR="00860069" w:rsidRPr="00860069" w:rsidRDefault="00860069" w:rsidP="0086006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firstLine="180"/>
        <w:jc w:val="both"/>
        <w:rPr>
          <w:rFonts w:ascii="Arial" w:hAnsi="Arial" w:cs="Arial"/>
          <w:sz w:val="20"/>
        </w:rPr>
      </w:pPr>
      <w:r w:rsidRPr="00860069">
        <w:rPr>
          <w:rFonts w:ascii="Arial" w:hAnsi="Arial" w:cs="Arial"/>
          <w:b/>
          <w:sz w:val="20"/>
        </w:rPr>
        <w:t>Director Responsibilities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Collaboratively implement the Campus Sustainability and Climate Action Plans working with the Director of Energy and Sustainability (Facilities) and Green Core Team</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Facilitate the research, analysis, and reporting of university resource use – water use, energy use, greenhouse gas inventory, commuting, and other related resource us activities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Incentivize and support sustainability research and projects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Lead efforts to seek extramural funding for IS activities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Serve as a consultant to university leadership on planning and policy in sustainability</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Act as liaison with on and off-campus partners and serve on relevant local, regional and national committees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Establish and manage priorities for various existing working groups and committees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Support university-wide curriculum and curriculum development in sustainability</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Manage and coordinate the organic food garden and composting operations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Engage with outside stakeholders, including various communities and community groups, in education, training, and research activities in sustainability</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w:t>
      </w:r>
      <w:r w:rsidRPr="00860069">
        <w:rPr>
          <w:rFonts w:ascii="Arial" w:hAnsi="Arial" w:cs="Arial"/>
          <w:bCs/>
          <w:color w:val="212121"/>
          <w:sz w:val="20"/>
        </w:rPr>
        <w:t>Develop partners and initiatives for collaborative work on sustainability related activities across the region (e.g., local governments and through the CSU5) and to expand our efforts and funding for clean technology and sustainability</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Manage the Institute’s budget and supervise office staff and employees</w:t>
      </w:r>
    </w:p>
    <w:p w:rsidR="00860069" w:rsidRPr="00860069" w:rsidRDefault="00860069" w:rsidP="00860069">
      <w:pPr>
        <w:shd w:val="clear" w:color="auto" w:fill="FFFFFF"/>
        <w:rPr>
          <w:rFonts w:ascii="Arial" w:hAnsi="Arial" w:cs="Arial"/>
          <w:color w:val="212121"/>
          <w:sz w:val="20"/>
        </w:rPr>
      </w:pPr>
      <w:r w:rsidRPr="00860069">
        <w:rPr>
          <w:rFonts w:ascii="Arial" w:hAnsi="Arial" w:cs="Arial"/>
          <w:color w:val="212121"/>
          <w:sz w:val="20"/>
        </w:rPr>
        <w:t>• Direct all IS outreach efforts</w:t>
      </w:r>
    </w:p>
    <w:p w:rsidR="00860069" w:rsidRDefault="00860069" w:rsidP="00860069">
      <w:pPr>
        <w:shd w:val="clear" w:color="auto" w:fill="FFFFFF"/>
        <w:rPr>
          <w:rFonts w:asciiTheme="minorHAnsi" w:hAnsiTheme="minorHAnsi" w:cs="Segoe UI"/>
          <w:color w:val="212121"/>
          <w:sz w:val="20"/>
        </w:rPr>
      </w:pPr>
      <w:r w:rsidRPr="00860069">
        <w:rPr>
          <w:rFonts w:ascii="Arial" w:hAnsi="Arial" w:cs="Arial"/>
          <w:color w:val="212121"/>
          <w:sz w:val="20"/>
        </w:rPr>
        <w:t>• Teach one course per semester in area of specialization</w:t>
      </w:r>
    </w:p>
    <w:p w:rsidR="00B86EBE" w:rsidRPr="001B1A65" w:rsidRDefault="00B86EBE" w:rsidP="00A34903">
      <w:pPr>
        <w:ind w:left="180" w:right="90"/>
        <w:jc w:val="both"/>
        <w:rPr>
          <w:rFonts w:ascii="Arial" w:hAnsi="Arial" w:cs="Arial"/>
          <w:sz w:val="20"/>
        </w:rPr>
      </w:pPr>
    </w:p>
    <w:p w:rsidR="001B7463" w:rsidRPr="00A34903" w:rsidRDefault="00AE0BB6" w:rsidP="00A34903">
      <w:pPr>
        <w:ind w:left="180" w:right="90"/>
        <w:jc w:val="both"/>
        <w:rPr>
          <w:rFonts w:ascii="Arial" w:hAnsi="Arial" w:cs="Arial"/>
          <w:b/>
          <w:sz w:val="20"/>
        </w:rPr>
      </w:pPr>
      <w:r w:rsidRPr="00A34903">
        <w:rPr>
          <w:rFonts w:ascii="Arial" w:hAnsi="Arial" w:cs="Arial"/>
          <w:b/>
          <w:sz w:val="20"/>
        </w:rPr>
        <w:t xml:space="preserve">Application Deadline: </w:t>
      </w:r>
    </w:p>
    <w:p w:rsidR="00A34903" w:rsidRPr="00860069" w:rsidRDefault="00282047" w:rsidP="00A34903">
      <w:pPr>
        <w:ind w:left="180" w:right="90"/>
        <w:jc w:val="both"/>
        <w:rPr>
          <w:rFonts w:ascii="Arial" w:hAnsi="Arial" w:cs="Arial"/>
          <w:sz w:val="20"/>
        </w:rPr>
      </w:pPr>
      <w:r w:rsidRPr="00860069">
        <w:rPr>
          <w:rFonts w:ascii="Arial" w:hAnsi="Arial" w:cs="Arial"/>
          <w:sz w:val="20"/>
        </w:rPr>
        <w:t>Screening of applications will begin</w:t>
      </w:r>
      <w:r w:rsidR="00CF5406" w:rsidRPr="00860069">
        <w:rPr>
          <w:rFonts w:ascii="Arial" w:hAnsi="Arial" w:cs="Arial"/>
          <w:sz w:val="20"/>
        </w:rPr>
        <w:t xml:space="preserve"> </w:t>
      </w:r>
      <w:r w:rsidR="005539AB">
        <w:rPr>
          <w:rFonts w:ascii="Arial" w:hAnsi="Arial" w:cs="Arial"/>
          <w:sz w:val="20"/>
        </w:rPr>
        <w:t>October 13</w:t>
      </w:r>
      <w:r w:rsidR="00860069" w:rsidRPr="00860069">
        <w:rPr>
          <w:rFonts w:ascii="Arial" w:hAnsi="Arial" w:cs="Arial"/>
          <w:sz w:val="20"/>
        </w:rPr>
        <w:t>, 2017</w:t>
      </w:r>
      <w:r w:rsidR="00B86EBE" w:rsidRPr="00860069">
        <w:rPr>
          <w:rFonts w:ascii="Arial" w:hAnsi="Arial" w:cs="Arial"/>
          <w:sz w:val="20"/>
        </w:rPr>
        <w:t xml:space="preserve">.  </w:t>
      </w:r>
      <w:r w:rsidRPr="00860069">
        <w:rPr>
          <w:rFonts w:ascii="Arial" w:hAnsi="Arial" w:cs="Arial"/>
          <w:sz w:val="20"/>
        </w:rPr>
        <w:t>Priority will be given to applicants wh</w:t>
      </w:r>
      <w:r w:rsidR="00A34903" w:rsidRPr="00860069">
        <w:rPr>
          <w:rFonts w:ascii="Arial" w:hAnsi="Arial" w:cs="Arial"/>
          <w:sz w:val="20"/>
        </w:rPr>
        <w:t>o meet the screening deadline; h</w:t>
      </w:r>
      <w:r w:rsidRPr="00860069">
        <w:rPr>
          <w:rFonts w:ascii="Arial" w:hAnsi="Arial" w:cs="Arial"/>
          <w:sz w:val="20"/>
        </w:rPr>
        <w:t>owever, the position will remain open until filled.</w:t>
      </w:r>
    </w:p>
    <w:p w:rsidR="00A34903" w:rsidRDefault="00A34903" w:rsidP="00A34903">
      <w:pPr>
        <w:ind w:left="180" w:right="90"/>
        <w:jc w:val="both"/>
        <w:rPr>
          <w:rFonts w:ascii="Arial" w:hAnsi="Arial" w:cs="Arial"/>
          <w:sz w:val="20"/>
        </w:rPr>
      </w:pPr>
    </w:p>
    <w:p w:rsidR="000A1380" w:rsidRPr="000A1380" w:rsidRDefault="000A1380" w:rsidP="00A34903">
      <w:pPr>
        <w:ind w:left="180" w:right="90"/>
        <w:jc w:val="both"/>
        <w:rPr>
          <w:rFonts w:ascii="Arial" w:hAnsi="Arial" w:cs="Arial"/>
          <w:b/>
          <w:sz w:val="20"/>
        </w:rPr>
      </w:pPr>
      <w:r w:rsidRPr="000A1380">
        <w:rPr>
          <w:rFonts w:ascii="Arial" w:hAnsi="Arial" w:cs="Arial"/>
          <w:b/>
          <w:sz w:val="20"/>
        </w:rPr>
        <w:t>How to Apply:</w:t>
      </w:r>
    </w:p>
    <w:p w:rsidR="000A2404" w:rsidRPr="004401B0" w:rsidRDefault="00282047" w:rsidP="00A34903">
      <w:pPr>
        <w:ind w:left="180" w:right="90"/>
        <w:jc w:val="both"/>
        <w:rPr>
          <w:rFonts w:ascii="Arial" w:hAnsi="Arial" w:cs="Arial"/>
          <w:sz w:val="20"/>
        </w:rPr>
      </w:pPr>
      <w:r w:rsidRPr="004401B0">
        <w:rPr>
          <w:rFonts w:ascii="Arial" w:hAnsi="Arial" w:cs="Arial"/>
          <w:sz w:val="20"/>
        </w:rPr>
        <w:t xml:space="preserve">Applicants </w:t>
      </w:r>
      <w:r w:rsidR="00A34903" w:rsidRPr="004401B0">
        <w:rPr>
          <w:rFonts w:ascii="Arial" w:hAnsi="Arial" w:cs="Arial"/>
          <w:sz w:val="20"/>
        </w:rPr>
        <w:t>must</w:t>
      </w:r>
      <w:r w:rsidR="00264693" w:rsidRPr="004401B0">
        <w:rPr>
          <w:rFonts w:ascii="Arial" w:hAnsi="Arial" w:cs="Arial"/>
          <w:sz w:val="20"/>
        </w:rPr>
        <w:t xml:space="preserve"> submit </w:t>
      </w:r>
      <w:r w:rsidR="004401B0" w:rsidRPr="004401B0">
        <w:rPr>
          <w:rFonts w:ascii="Arial" w:hAnsi="Arial" w:cs="Arial"/>
          <w:sz w:val="20"/>
        </w:rPr>
        <w:t>a letter of application, curriculum vitae, and three current letters of recommendation</w:t>
      </w:r>
      <w:r w:rsidR="005E220E" w:rsidRPr="004401B0">
        <w:rPr>
          <w:rFonts w:ascii="Arial" w:hAnsi="Arial" w:cs="Arial"/>
          <w:sz w:val="20"/>
        </w:rPr>
        <w:t xml:space="preserve"> to the address below.  </w:t>
      </w:r>
      <w:r w:rsidRPr="004401B0">
        <w:rPr>
          <w:rFonts w:ascii="Arial" w:hAnsi="Arial" w:cs="Arial"/>
          <w:sz w:val="20"/>
        </w:rPr>
        <w:t>In later phases of the search process, applicants may be requested to provide verification of terminal degrees, licenses and certificates.</w:t>
      </w:r>
      <w:r w:rsidR="000A1380">
        <w:rPr>
          <w:rFonts w:ascii="Arial" w:hAnsi="Arial" w:cs="Arial"/>
          <w:sz w:val="20"/>
        </w:rPr>
        <w:t xml:space="preserve"> </w:t>
      </w:r>
      <w:r w:rsidRPr="004401B0">
        <w:rPr>
          <w:rFonts w:ascii="Arial" w:hAnsi="Arial" w:cs="Arial"/>
          <w:sz w:val="20"/>
        </w:rPr>
        <w:t xml:space="preserve"> </w:t>
      </w:r>
    </w:p>
    <w:p w:rsidR="00B86EBE" w:rsidRPr="001B1A65" w:rsidRDefault="00B86EBE" w:rsidP="00A34903">
      <w:pPr>
        <w:ind w:left="180" w:right="90"/>
        <w:jc w:val="both"/>
        <w:rPr>
          <w:rFonts w:ascii="Arial" w:hAnsi="Arial" w:cs="Arial"/>
          <w:sz w:val="20"/>
        </w:rPr>
      </w:pPr>
    </w:p>
    <w:p w:rsidR="00394D07" w:rsidRPr="00F315C3" w:rsidRDefault="000A2404" w:rsidP="00A34903">
      <w:pPr>
        <w:ind w:left="180" w:right="90"/>
        <w:jc w:val="both"/>
        <w:rPr>
          <w:rFonts w:ascii="Arial" w:hAnsi="Arial" w:cs="Arial"/>
          <w:b/>
          <w:sz w:val="20"/>
        </w:rPr>
      </w:pPr>
      <w:r w:rsidRPr="00F315C3">
        <w:rPr>
          <w:rFonts w:ascii="Arial" w:hAnsi="Arial" w:cs="Arial"/>
          <w:b/>
          <w:sz w:val="20"/>
        </w:rPr>
        <w:t xml:space="preserve">Inquiries and </w:t>
      </w:r>
      <w:r w:rsidR="00C573FC" w:rsidRPr="00F315C3">
        <w:rPr>
          <w:rFonts w:ascii="Arial" w:hAnsi="Arial" w:cs="Arial"/>
          <w:b/>
          <w:sz w:val="20"/>
        </w:rPr>
        <w:t>applications</w:t>
      </w:r>
      <w:r w:rsidRPr="00F315C3">
        <w:rPr>
          <w:rFonts w:ascii="Arial" w:hAnsi="Arial" w:cs="Arial"/>
          <w:b/>
          <w:sz w:val="20"/>
        </w:rPr>
        <w:t xml:space="preserve"> </w:t>
      </w:r>
      <w:r w:rsidR="006170AB">
        <w:rPr>
          <w:rFonts w:ascii="Arial" w:hAnsi="Arial" w:cs="Arial"/>
          <w:b/>
          <w:sz w:val="20"/>
        </w:rPr>
        <w:t>must</w:t>
      </w:r>
      <w:r w:rsidRPr="00F315C3">
        <w:rPr>
          <w:rFonts w:ascii="Arial" w:hAnsi="Arial" w:cs="Arial"/>
          <w:b/>
          <w:sz w:val="20"/>
        </w:rPr>
        <w:t xml:space="preserve"> </w:t>
      </w:r>
      <w:r w:rsidR="00AE0BB6" w:rsidRPr="00F315C3">
        <w:rPr>
          <w:rFonts w:ascii="Arial" w:hAnsi="Arial" w:cs="Arial"/>
          <w:b/>
          <w:sz w:val="20"/>
        </w:rPr>
        <w:t>be addressed to:</w:t>
      </w:r>
      <w:r w:rsidR="00394D07" w:rsidRPr="00F315C3">
        <w:rPr>
          <w:rFonts w:ascii="Arial" w:hAnsi="Arial" w:cs="Arial"/>
          <w:b/>
          <w:sz w:val="20"/>
        </w:rPr>
        <w:t xml:space="preserve"> </w:t>
      </w:r>
    </w:p>
    <w:p w:rsidR="005A488B" w:rsidRPr="001B1A65" w:rsidRDefault="005A488B" w:rsidP="00A34903">
      <w:pPr>
        <w:ind w:left="180" w:right="90"/>
        <w:jc w:val="both"/>
        <w:rPr>
          <w:rFonts w:ascii="Arial" w:hAnsi="Arial" w:cs="Arial"/>
          <w:sz w:val="20"/>
        </w:rPr>
      </w:pPr>
    </w:p>
    <w:p w:rsidR="009A4D43" w:rsidRPr="000A1380" w:rsidRDefault="000A1380" w:rsidP="00A34903">
      <w:pPr>
        <w:ind w:left="180" w:right="90"/>
        <w:jc w:val="both"/>
        <w:rPr>
          <w:rFonts w:ascii="Arial" w:hAnsi="Arial" w:cs="Arial"/>
          <w:sz w:val="20"/>
        </w:rPr>
      </w:pPr>
      <w:r w:rsidRPr="000A1380">
        <w:rPr>
          <w:rFonts w:ascii="Arial" w:hAnsi="Arial" w:cs="Arial"/>
          <w:sz w:val="20"/>
        </w:rPr>
        <w:t>This institution is using Interfolio’s ByCommittee to conduct this search. Applicants to this position receive a free Dossier account and can send all application materials, including confidential letters of recommendation, free of charge to:</w:t>
      </w:r>
    </w:p>
    <w:p w:rsidR="005539AB" w:rsidRDefault="00717667" w:rsidP="005539AB">
      <w:pPr>
        <w:ind w:left="180" w:right="90"/>
        <w:jc w:val="center"/>
        <w:rPr>
          <w:rStyle w:val="ng-scope"/>
          <w:rFonts w:ascii="Arial" w:hAnsi="Arial" w:cs="Arial"/>
          <w:sz w:val="20"/>
        </w:rPr>
      </w:pPr>
      <w:hyperlink r:id="rId9" w:history="1">
        <w:r w:rsidR="005539AB" w:rsidRPr="005539AB">
          <w:rPr>
            <w:rStyle w:val="Hyperlink"/>
            <w:rFonts w:ascii="Arial" w:hAnsi="Arial" w:cs="Arial"/>
            <w:sz w:val="20"/>
          </w:rPr>
          <w:t>https://apply.interfolio.com/45019</w:t>
        </w:r>
      </w:hyperlink>
    </w:p>
    <w:p w:rsidR="005539AB" w:rsidRPr="005539AB" w:rsidRDefault="005539AB" w:rsidP="005539AB">
      <w:pPr>
        <w:ind w:left="180" w:right="90"/>
        <w:jc w:val="cente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rsidTr="00326D92">
        <w:tc>
          <w:tcPr>
            <w:tcW w:w="10296" w:type="dxa"/>
          </w:tcPr>
          <w:p w:rsidR="000B7B01" w:rsidRPr="00A34903" w:rsidRDefault="000B7B01" w:rsidP="000B7B01">
            <w:pPr>
              <w:ind w:left="75" w:right="-15"/>
              <w:jc w:val="both"/>
              <w:rPr>
                <w:rFonts w:ascii="Arial" w:hAnsi="Arial" w:cs="Arial"/>
                <w:b/>
                <w:sz w:val="20"/>
              </w:rPr>
            </w:pPr>
            <w:r w:rsidRPr="00A34903">
              <w:rPr>
                <w:rFonts w:ascii="Arial" w:hAnsi="Arial" w:cs="Arial"/>
                <w:b/>
                <w:sz w:val="20"/>
              </w:rPr>
              <w:t>General Information:</w:t>
            </w:r>
          </w:p>
          <w:p w:rsidR="000B7B01" w:rsidRPr="001B1A65" w:rsidRDefault="000B7B01" w:rsidP="000B7B01">
            <w:pPr>
              <w:ind w:left="7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0" w:history="1">
              <w:r w:rsidRPr="00F315C3">
                <w:rPr>
                  <w:rStyle w:val="Hyperlink"/>
                  <w:rFonts w:ascii="Arial" w:hAnsi="Arial" w:cs="Arial"/>
                  <w:sz w:val="20"/>
                </w:rPr>
                <w:t>here</w:t>
              </w:r>
            </w:hyperlink>
            <w:r w:rsidRPr="00D05969">
              <w:rPr>
                <w:rFonts w:ascii="Arial" w:hAnsi="Arial" w:cs="Arial"/>
                <w:iCs/>
                <w:sz w:val="20"/>
              </w:rPr>
              <w:t xml:space="preserve">. Print copies </w:t>
            </w:r>
            <w:r>
              <w:rPr>
                <w:rFonts w:ascii="Arial" w:hAnsi="Arial" w:cs="Arial"/>
                <w:iCs/>
                <w:sz w:val="20"/>
              </w:rPr>
              <w:t>are available</w:t>
            </w:r>
            <w:r w:rsidRPr="00D05969">
              <w:rPr>
                <w:rFonts w:ascii="Arial" w:hAnsi="Arial" w:cs="Arial"/>
                <w:iCs/>
                <w:sz w:val="20"/>
              </w:rPr>
              <w:t xml:space="preserve"> by request from the </w:t>
            </w:r>
            <w:r>
              <w:rPr>
                <w:rFonts w:ascii="Arial" w:hAnsi="Arial" w:cs="Arial"/>
                <w:sz w:val="20"/>
              </w:rPr>
              <w:t xml:space="preserve">Department of Police Services, </w:t>
            </w:r>
            <w:r>
              <w:rPr>
                <w:rFonts w:ascii="Arial" w:hAnsi="Arial" w:cs="Arial"/>
                <w:iCs/>
                <w:sz w:val="20"/>
              </w:rPr>
              <w:t>the Office for</w:t>
            </w:r>
            <w:r w:rsidRPr="00D05969">
              <w:rPr>
                <w:rFonts w:ascii="Arial" w:hAnsi="Arial" w:cs="Arial"/>
                <w:iCs/>
                <w:sz w:val="20"/>
              </w:rPr>
              <w:t xml:space="preserve"> Faculty Affairs</w:t>
            </w:r>
            <w:r>
              <w:rPr>
                <w:rFonts w:ascii="Arial" w:hAnsi="Arial" w:cs="Arial"/>
                <w:iCs/>
                <w:sz w:val="20"/>
              </w:rPr>
              <w:t>, and the Office of Equity and Diversity</w:t>
            </w:r>
            <w:r w:rsidRPr="00D05969">
              <w:rPr>
                <w:rFonts w:ascii="Arial" w:hAnsi="Arial" w:cs="Arial"/>
                <w:iCs/>
                <w:sz w:val="20"/>
              </w:rPr>
              <w:t>.</w:t>
            </w:r>
          </w:p>
          <w:p w:rsidR="000B7B01" w:rsidRPr="001B1A65" w:rsidRDefault="000B7B01" w:rsidP="000B7B01">
            <w:pPr>
              <w:ind w:left="75" w:right="-15"/>
              <w:jc w:val="both"/>
              <w:rPr>
                <w:rFonts w:ascii="Arial" w:hAnsi="Arial" w:cs="Arial"/>
                <w:iCs/>
                <w:sz w:val="20"/>
              </w:rPr>
            </w:pPr>
          </w:p>
          <w:p w:rsidR="000B7B01" w:rsidRPr="001B1A65" w:rsidRDefault="000B7B01" w:rsidP="000B7B01">
            <w:pPr>
              <w:ind w:left="75" w:right="-15"/>
              <w:jc w:val="both"/>
              <w:rPr>
                <w:rFonts w:ascii="Arial" w:hAnsi="Arial" w:cs="Arial"/>
                <w:iCs/>
                <w:sz w:val="20"/>
              </w:rPr>
            </w:pPr>
            <w:r w:rsidRPr="001B1A65">
              <w:rPr>
                <w:rFonts w:ascii="Arial" w:hAnsi="Arial" w:cs="Arial"/>
                <w:iCs/>
                <w:sz w:val="20"/>
              </w:rPr>
              <w:lastRenderedPageBreak/>
              <w:t xml:space="preserve">The person holding this position is considered a 'mandated reporter' under the California Child Abuse and Neglect Reporting Act and is required to comply with the requirements set forth in </w:t>
            </w:r>
            <w:hyperlink r:id="rId11"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rsidR="000B7B01" w:rsidRPr="001B1A65" w:rsidRDefault="000B7B01" w:rsidP="000B7B01">
            <w:pPr>
              <w:ind w:left="75" w:right="-15"/>
              <w:jc w:val="both"/>
              <w:rPr>
                <w:rFonts w:ascii="Arial" w:hAnsi="Arial" w:cs="Arial"/>
                <w:iCs/>
                <w:sz w:val="20"/>
              </w:rPr>
            </w:pPr>
          </w:p>
          <w:p w:rsidR="000B7B01" w:rsidRPr="001B1A65" w:rsidRDefault="000B7B01" w:rsidP="000B7B01">
            <w:pPr>
              <w:ind w:left="75" w:right="-1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B7B01" w:rsidRPr="001B1A65" w:rsidRDefault="000B7B01" w:rsidP="000B7B01">
            <w:pPr>
              <w:ind w:left="75" w:right="-15"/>
              <w:jc w:val="both"/>
              <w:rPr>
                <w:rFonts w:ascii="Arial" w:hAnsi="Arial" w:cs="Arial"/>
                <w:iCs/>
                <w:sz w:val="20"/>
              </w:rPr>
            </w:pPr>
          </w:p>
          <w:p w:rsidR="006108C3" w:rsidRPr="001B1A65" w:rsidRDefault="000B7B01" w:rsidP="000B7B01">
            <w:pPr>
              <w:ind w:left="75" w:right="-1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2"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Reasonable accommodations will be provided for applicants with disabilities who self-disclose by contacting Recruitment Services at (818) 677-2101.</w:t>
            </w:r>
          </w:p>
        </w:tc>
      </w:tr>
    </w:tbl>
    <w:p w:rsidR="00285114" w:rsidRPr="001B1A65" w:rsidRDefault="00285114" w:rsidP="001B1A65">
      <w:pPr>
        <w:jc w:val="both"/>
        <w:rPr>
          <w:rFonts w:ascii="Arial" w:hAnsi="Arial" w:cs="Arial"/>
          <w:sz w:val="20"/>
        </w:rPr>
      </w:pPr>
    </w:p>
    <w:sectPr w:rsidR="00285114" w:rsidRPr="001B1A65" w:rsidSect="00B86EBE">
      <w:headerReference w:type="even" r:id="rId13"/>
      <w:headerReference w:type="default" r:id="rId14"/>
      <w:footerReference w:type="even" r:id="rId15"/>
      <w:footerReference w:type="default" r:id="rId16"/>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67" w:rsidRDefault="00717667">
      <w:r>
        <w:separator/>
      </w:r>
    </w:p>
  </w:endnote>
  <w:endnote w:type="continuationSeparator" w:id="0">
    <w:p w:rsidR="00717667" w:rsidRDefault="0071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B3" w:rsidRPr="00B2399A" w:rsidRDefault="001B1A65">
    <w:pPr>
      <w:pStyle w:val="Footer"/>
      <w:rPr>
        <w:rFonts w:ascii="Arial" w:hAnsi="Arial" w:cs="Arial"/>
        <w:b/>
        <w:color w:val="808080" w:themeColor="background1" w:themeShade="80"/>
        <w:sz w:val="20"/>
        <w:szCs w:val="16"/>
      </w:rPr>
    </w:pPr>
    <w:r w:rsidRPr="00B2399A">
      <w:rPr>
        <w:rFonts w:ascii="Arial" w:hAnsi="Arial" w:cs="Arial"/>
        <w:b/>
        <w:color w:val="808080" w:themeColor="background1" w:themeShade="80"/>
        <w:sz w:val="20"/>
        <w:szCs w:val="16"/>
      </w:rPr>
      <w:t>R</w:t>
    </w:r>
    <w:r w:rsidR="00B2399A">
      <w:rPr>
        <w:rFonts w:ascii="Arial" w:hAnsi="Arial" w:cs="Arial"/>
        <w:b/>
        <w:color w:val="808080" w:themeColor="background1" w:themeShade="80"/>
        <w:sz w:val="20"/>
        <w:szCs w:val="16"/>
      </w:rPr>
      <w:t>ev 07/21</w:t>
    </w:r>
    <w:r w:rsidRPr="00B2399A">
      <w:rPr>
        <w:rFonts w:ascii="Arial" w:hAnsi="Arial" w:cs="Arial"/>
        <w:b/>
        <w:color w:val="808080" w:themeColor="background1" w:themeShade="80"/>
        <w:sz w:val="20"/>
        <w:szCs w:val="16"/>
      </w:rPr>
      <w:t>/17</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DD5272">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DD5272">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67" w:rsidRDefault="00717667">
      <w:r>
        <w:separator/>
      </w:r>
    </w:p>
  </w:footnote>
  <w:footnote w:type="continuationSeparator" w:id="0">
    <w:p w:rsidR="00717667" w:rsidRDefault="0071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903C2"/>
    <w:rsid w:val="00090555"/>
    <w:rsid w:val="0009128B"/>
    <w:rsid w:val="000A1380"/>
    <w:rsid w:val="000A2404"/>
    <w:rsid w:val="000B1D78"/>
    <w:rsid w:val="000B7B01"/>
    <w:rsid w:val="000D22F0"/>
    <w:rsid w:val="000F4A19"/>
    <w:rsid w:val="000F4BBC"/>
    <w:rsid w:val="000F5813"/>
    <w:rsid w:val="000F7B55"/>
    <w:rsid w:val="00105F66"/>
    <w:rsid w:val="00106DF5"/>
    <w:rsid w:val="00112847"/>
    <w:rsid w:val="001316CD"/>
    <w:rsid w:val="001379F0"/>
    <w:rsid w:val="001522CC"/>
    <w:rsid w:val="00171C41"/>
    <w:rsid w:val="001B1A65"/>
    <w:rsid w:val="001B486D"/>
    <w:rsid w:val="001B7463"/>
    <w:rsid w:val="001C746C"/>
    <w:rsid w:val="001D2DC1"/>
    <w:rsid w:val="001E10C2"/>
    <w:rsid w:val="00210C9A"/>
    <w:rsid w:val="00211565"/>
    <w:rsid w:val="002115C4"/>
    <w:rsid w:val="00221778"/>
    <w:rsid w:val="00226DDE"/>
    <w:rsid w:val="0023757A"/>
    <w:rsid w:val="00261D5A"/>
    <w:rsid w:val="00264693"/>
    <w:rsid w:val="00274821"/>
    <w:rsid w:val="002800D9"/>
    <w:rsid w:val="00282047"/>
    <w:rsid w:val="00285114"/>
    <w:rsid w:val="00286AF2"/>
    <w:rsid w:val="002C1D59"/>
    <w:rsid w:val="002D7C00"/>
    <w:rsid w:val="002E2346"/>
    <w:rsid w:val="002E6254"/>
    <w:rsid w:val="002F5F64"/>
    <w:rsid w:val="00314595"/>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F1926"/>
    <w:rsid w:val="003F58F6"/>
    <w:rsid w:val="003F6F01"/>
    <w:rsid w:val="00431C32"/>
    <w:rsid w:val="004401B0"/>
    <w:rsid w:val="00443CD8"/>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539AB"/>
    <w:rsid w:val="005775B8"/>
    <w:rsid w:val="0057797B"/>
    <w:rsid w:val="005832BB"/>
    <w:rsid w:val="005933A6"/>
    <w:rsid w:val="0059760E"/>
    <w:rsid w:val="005A488B"/>
    <w:rsid w:val="005B02CD"/>
    <w:rsid w:val="005B6357"/>
    <w:rsid w:val="005C3066"/>
    <w:rsid w:val="005D39BA"/>
    <w:rsid w:val="005E220E"/>
    <w:rsid w:val="005E2BA4"/>
    <w:rsid w:val="005F3ED0"/>
    <w:rsid w:val="005F54F0"/>
    <w:rsid w:val="006108C3"/>
    <w:rsid w:val="00611E32"/>
    <w:rsid w:val="00613C69"/>
    <w:rsid w:val="006170AB"/>
    <w:rsid w:val="006176FD"/>
    <w:rsid w:val="00624110"/>
    <w:rsid w:val="006416E9"/>
    <w:rsid w:val="006577EA"/>
    <w:rsid w:val="00661657"/>
    <w:rsid w:val="00670105"/>
    <w:rsid w:val="00687807"/>
    <w:rsid w:val="0069096C"/>
    <w:rsid w:val="006A22CE"/>
    <w:rsid w:val="006C57F8"/>
    <w:rsid w:val="006C5F56"/>
    <w:rsid w:val="006E5207"/>
    <w:rsid w:val="006E747A"/>
    <w:rsid w:val="00717667"/>
    <w:rsid w:val="00721051"/>
    <w:rsid w:val="00721689"/>
    <w:rsid w:val="00722835"/>
    <w:rsid w:val="007277D4"/>
    <w:rsid w:val="00731D9D"/>
    <w:rsid w:val="007342C7"/>
    <w:rsid w:val="00745644"/>
    <w:rsid w:val="0076482D"/>
    <w:rsid w:val="00781EB3"/>
    <w:rsid w:val="007B53E8"/>
    <w:rsid w:val="007C1DC9"/>
    <w:rsid w:val="008054B8"/>
    <w:rsid w:val="008219C7"/>
    <w:rsid w:val="00822C44"/>
    <w:rsid w:val="0084221C"/>
    <w:rsid w:val="00860069"/>
    <w:rsid w:val="00866BB6"/>
    <w:rsid w:val="00890BD3"/>
    <w:rsid w:val="00891EDB"/>
    <w:rsid w:val="00894637"/>
    <w:rsid w:val="00897351"/>
    <w:rsid w:val="008A2CB3"/>
    <w:rsid w:val="008C357B"/>
    <w:rsid w:val="008C791D"/>
    <w:rsid w:val="008D3366"/>
    <w:rsid w:val="008D3D86"/>
    <w:rsid w:val="00903CB5"/>
    <w:rsid w:val="00910CC8"/>
    <w:rsid w:val="00933C04"/>
    <w:rsid w:val="009341C8"/>
    <w:rsid w:val="0094071A"/>
    <w:rsid w:val="00960EFD"/>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0CAE"/>
    <w:rsid w:val="00AF40BD"/>
    <w:rsid w:val="00AF781D"/>
    <w:rsid w:val="00B0194F"/>
    <w:rsid w:val="00B2399A"/>
    <w:rsid w:val="00B24328"/>
    <w:rsid w:val="00B266BB"/>
    <w:rsid w:val="00B34474"/>
    <w:rsid w:val="00B3495D"/>
    <w:rsid w:val="00B41A5D"/>
    <w:rsid w:val="00B43CAA"/>
    <w:rsid w:val="00B44DDE"/>
    <w:rsid w:val="00B458E0"/>
    <w:rsid w:val="00B510B3"/>
    <w:rsid w:val="00B62C1A"/>
    <w:rsid w:val="00B86EBE"/>
    <w:rsid w:val="00BA7A94"/>
    <w:rsid w:val="00BD674C"/>
    <w:rsid w:val="00BE1FB8"/>
    <w:rsid w:val="00C3601B"/>
    <w:rsid w:val="00C36E11"/>
    <w:rsid w:val="00C50872"/>
    <w:rsid w:val="00C573FC"/>
    <w:rsid w:val="00C64B40"/>
    <w:rsid w:val="00C83074"/>
    <w:rsid w:val="00CA3D26"/>
    <w:rsid w:val="00CB678E"/>
    <w:rsid w:val="00CC29E8"/>
    <w:rsid w:val="00CD4DBF"/>
    <w:rsid w:val="00CF5406"/>
    <w:rsid w:val="00D00333"/>
    <w:rsid w:val="00D03D6F"/>
    <w:rsid w:val="00D05969"/>
    <w:rsid w:val="00D36C34"/>
    <w:rsid w:val="00D754AE"/>
    <w:rsid w:val="00D84406"/>
    <w:rsid w:val="00D9575F"/>
    <w:rsid w:val="00DD5272"/>
    <w:rsid w:val="00DE11A1"/>
    <w:rsid w:val="00DE7C46"/>
    <w:rsid w:val="00E00827"/>
    <w:rsid w:val="00E12DA0"/>
    <w:rsid w:val="00E20E07"/>
    <w:rsid w:val="00E45E35"/>
    <w:rsid w:val="00E87A76"/>
    <w:rsid w:val="00EA76FA"/>
    <w:rsid w:val="00EB587B"/>
    <w:rsid w:val="00EB76BA"/>
    <w:rsid w:val="00EC3F6E"/>
    <w:rsid w:val="00F007F1"/>
    <w:rsid w:val="00F06142"/>
    <w:rsid w:val="00F1348C"/>
    <w:rsid w:val="00F2527E"/>
    <w:rsid w:val="00F315C3"/>
    <w:rsid w:val="00F33528"/>
    <w:rsid w:val="00F42D69"/>
    <w:rsid w:val="00F541DA"/>
    <w:rsid w:val="00F64CAB"/>
    <w:rsid w:val="00F71CD3"/>
    <w:rsid w:val="00F82FB8"/>
    <w:rsid w:val="00F83705"/>
    <w:rsid w:val="00FA715B"/>
    <w:rsid w:val="00FB087E"/>
    <w:rsid w:val="00FC299D"/>
    <w:rsid w:val="00FC2E25"/>
    <w:rsid w:val="00FE0F8B"/>
    <w:rsid w:val="00FE1D75"/>
    <w:rsid w:val="00FE3483"/>
    <w:rsid w:val="00FE76EE"/>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
    <w:name w:val="Mention"/>
    <w:basedOn w:val="DefaultParagraphFont"/>
    <w:uiPriority w:val="99"/>
    <w:semiHidden/>
    <w:unhideWhenUsed/>
    <w:rsid w:val="00F541DA"/>
    <w:rPr>
      <w:color w:val="2B579A"/>
      <w:shd w:val="clear" w:color="auto" w:fill="E6E6E6"/>
    </w:rPr>
  </w:style>
  <w:style w:type="character" w:customStyle="1" w:styleId="ng-scope">
    <w:name w:val="ng-scope"/>
    <w:basedOn w:val="DefaultParagraphFont"/>
    <w:rsid w:val="0055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96-rev-10-5-1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8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n.edu/sites/default/files/clery-report.pdf" TargetMode="External"/><Relationship Id="rId4" Type="http://schemas.openxmlformats.org/officeDocument/2006/relationships/webSettings" Target="webSettings.xml"/><Relationship Id="rId9" Type="http://schemas.openxmlformats.org/officeDocument/2006/relationships/hyperlink" Target="https://apply.interfolio.com/450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3B80-C1D9-482C-B322-3C35C28D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9346</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Boroushaki, Soheil</cp:lastModifiedBy>
  <cp:revision>2</cp:revision>
  <cp:lastPrinted>2017-08-09T21:48:00Z</cp:lastPrinted>
  <dcterms:created xsi:type="dcterms:W3CDTF">2017-09-14T18:09:00Z</dcterms:created>
  <dcterms:modified xsi:type="dcterms:W3CDTF">2017-09-14T18:09:00Z</dcterms:modified>
</cp:coreProperties>
</file>