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9471A9">
        <w:rPr>
          <w:rFonts w:ascii="Times New Roman" w:hAnsi="Times New Roman"/>
          <w:b/>
          <w:sz w:val="20"/>
          <w:szCs w:val="20"/>
        </w:rPr>
        <w:t>018-2019</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201</w:t>
      </w:r>
      <w:r w:rsidR="009471A9" w:rsidRPr="008B421D">
        <w:rPr>
          <w:rFonts w:ascii="Times New Roman" w:hAnsi="Times New Roman"/>
          <w:b/>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E03C5C">
        <w:rPr>
          <w:rFonts w:ascii="Times New Roman" w:hAnsi="Times New Roman"/>
          <w:b/>
          <w:sz w:val="20"/>
          <w:szCs w:val="20"/>
        </w:rPr>
        <w:t>College of Social and Behavioral Sciences</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E03C5C">
        <w:rPr>
          <w:rFonts w:ascii="Times New Roman" w:hAnsi="Times New Roman"/>
          <w:b/>
          <w:sz w:val="20"/>
          <w:szCs w:val="20"/>
        </w:rPr>
        <w:t>Anthropology</w:t>
      </w:r>
    </w:p>
    <w:p w:rsidR="00281389" w:rsidRPr="00897D80" w:rsidRDefault="00E03C5C" w:rsidP="00281389">
      <w:pPr>
        <w:rPr>
          <w:rFonts w:ascii="Times New Roman" w:hAnsi="Times New Roman"/>
          <w:b/>
          <w:sz w:val="20"/>
          <w:szCs w:val="20"/>
        </w:rPr>
      </w:pPr>
      <w:r>
        <w:rPr>
          <w:rFonts w:ascii="Times New Roman" w:hAnsi="Times New Roman"/>
          <w:b/>
          <w:sz w:val="20"/>
          <w:szCs w:val="20"/>
        </w:rPr>
        <w:t>Program:</w:t>
      </w:r>
      <w:r w:rsidR="00AF64AE">
        <w:rPr>
          <w:rFonts w:ascii="Times New Roman" w:hAnsi="Times New Roman"/>
          <w:b/>
          <w:sz w:val="20"/>
          <w:szCs w:val="20"/>
        </w:rPr>
        <w:t xml:space="preserve"> Undergraduate</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E03C5C">
        <w:rPr>
          <w:rFonts w:ascii="Times New Roman" w:hAnsi="Times New Roman"/>
          <w:b/>
          <w:sz w:val="20"/>
          <w:szCs w:val="20"/>
        </w:rPr>
        <w:t>Chin-hsin Liu</w:t>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__</w:t>
      </w:r>
      <w:r w:rsidR="00E03C5C">
        <w:rPr>
          <w:rFonts w:ascii="Times New Roman" w:hAnsi="Times New Roman"/>
          <w:b/>
          <w:sz w:val="20"/>
          <w:szCs w:val="20"/>
        </w:rPr>
        <w:t>x</w:t>
      </w:r>
      <w:r w:rsidRPr="00897D80">
        <w:rPr>
          <w:rFonts w:ascii="Times New Roman" w:hAnsi="Times New Roman"/>
          <w:b/>
          <w:sz w:val="20"/>
          <w:szCs w:val="20"/>
        </w:rPr>
        <w:t xml:space="preserve">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281389" w:rsidRDefault="00281389" w:rsidP="00281389">
      <w:pPr>
        <w:pStyle w:val="MediumGrid1-Accent21"/>
        <w:ind w:left="360"/>
        <w:rPr>
          <w:rFonts w:ascii="Times New Roman" w:hAnsi="Times New Roman"/>
          <w:b/>
          <w:sz w:val="20"/>
          <w:szCs w:val="20"/>
        </w:rPr>
      </w:pPr>
      <w:proofErr w:type="gramStart"/>
      <w:r>
        <w:rPr>
          <w:rFonts w:ascii="Times New Roman" w:hAnsi="Times New Roman"/>
          <w:b/>
          <w:sz w:val="20"/>
          <w:szCs w:val="20"/>
        </w:rPr>
        <w:t>C.  _</w:t>
      </w:r>
      <w:proofErr w:type="gramEnd"/>
      <w:r>
        <w:rPr>
          <w:rFonts w:ascii="Times New Roman" w:hAnsi="Times New Roman"/>
          <w:b/>
          <w:sz w:val="20"/>
          <w:szCs w:val="20"/>
        </w:rPr>
        <w:t xml:space="preserve">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w:t>
      </w:r>
      <w:proofErr w:type="gramStart"/>
      <w:r>
        <w:rPr>
          <w:rFonts w:ascii="Times New Roman" w:hAnsi="Times New Roman"/>
          <w:b/>
          <w:sz w:val="20"/>
          <w:szCs w:val="20"/>
        </w:rPr>
        <w:t>Focused</w:t>
      </w:r>
      <w:proofErr w:type="gramEnd"/>
      <w:r>
        <w:rPr>
          <w:rFonts w:ascii="Times New Roman" w:hAnsi="Times New Roman"/>
          <w:b/>
          <w:sz w:val="20"/>
          <w:szCs w:val="20"/>
        </w:rPr>
        <w:t xml:space="preserve"> exclusively on the direct assessment measurement of General Education </w:t>
      </w:r>
      <w:r w:rsidR="009471A9">
        <w:rPr>
          <w:rFonts w:ascii="Times New Roman" w:hAnsi="Times New Roman"/>
          <w:b/>
          <w:sz w:val="20"/>
          <w:szCs w:val="20"/>
        </w:rPr>
        <w:t>Arts and Humanities</w:t>
      </w:r>
      <w:r w:rsidR="00B11847">
        <w:rPr>
          <w:rFonts w:ascii="Times New Roman" w:hAnsi="Times New Roman"/>
          <w:b/>
          <w:sz w:val="20"/>
          <w:szCs w:val="20"/>
        </w:rPr>
        <w:t xml:space="preserve"> </w:t>
      </w:r>
      <w:r w:rsidR="008B421D">
        <w:rPr>
          <w:rFonts w:ascii="Times New Roman" w:hAnsi="Times New Roman"/>
          <w:b/>
          <w:sz w:val="20"/>
          <w:szCs w:val="20"/>
        </w:rPr>
        <w:t xml:space="preserve">student </w:t>
      </w:r>
      <w:r w:rsidR="00B11847">
        <w:rPr>
          <w:rFonts w:ascii="Times New Roman" w:hAnsi="Times New Roman"/>
          <w:b/>
          <w:sz w:val="20"/>
          <w:szCs w:val="20"/>
        </w:rPr>
        <w:t xml:space="preserve">learning </w:t>
      </w:r>
      <w:r>
        <w:rPr>
          <w:rFonts w:ascii="Times New Roman" w:hAnsi="Times New Roman"/>
          <w:b/>
          <w:sz w:val="20"/>
          <w:szCs w:val="20"/>
        </w:rPr>
        <w:t>outcomes</w:t>
      </w:r>
    </w:p>
    <w:p w:rsidR="00281389" w:rsidRPr="00897D80" w:rsidRDefault="00281389" w:rsidP="00281389">
      <w:pPr>
        <w:pStyle w:val="MediumGrid1-Accent21"/>
        <w:ind w:left="360"/>
        <w:rPr>
          <w:rFonts w:ascii="Times New Roman" w:hAnsi="Times New Roman"/>
          <w:b/>
          <w:sz w:val="20"/>
          <w:szCs w:val="20"/>
        </w:rPr>
      </w:pP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rsidR="00281389" w:rsidRDefault="00281389" w:rsidP="00281389">
      <w:pPr>
        <w:pStyle w:val="MediumGrid1-Accent21"/>
        <w:ind w:left="0"/>
        <w:rPr>
          <w:rFonts w:ascii="Times New Roman" w:hAnsi="Times New Roman"/>
          <w:b/>
          <w:sz w:val="20"/>
          <w:szCs w:val="20"/>
        </w:rPr>
      </w:pPr>
    </w:p>
    <w:p w:rsidR="00281389" w:rsidRDefault="00281389" w:rsidP="00162A3E">
      <w:pPr>
        <w:pStyle w:val="MediumGrid1-Accent21"/>
        <w:numPr>
          <w:ilvl w:val="0"/>
          <w:numId w:val="1"/>
        </w:numPr>
        <w:rPr>
          <w:rFonts w:ascii="Times New Roman" w:hAnsi="Times New Roman"/>
          <w:sz w:val="20"/>
          <w:szCs w:val="20"/>
        </w:rPr>
      </w:pPr>
      <w:r w:rsidRPr="00162A3E">
        <w:rPr>
          <w:rFonts w:ascii="Times New Roman" w:hAnsi="Times New Roman"/>
          <w:b/>
          <w:sz w:val="20"/>
          <w:szCs w:val="20"/>
        </w:rPr>
        <w:t>Previ</w:t>
      </w:r>
      <w:r>
        <w:rPr>
          <w:rFonts w:ascii="Times New Roman" w:hAnsi="Times New Roman"/>
          <w:b/>
          <w:sz w:val="20"/>
          <w:szCs w:val="20"/>
        </w:rPr>
        <w:t>ew of planned assessment activities for 20</w:t>
      </w:r>
      <w:r w:rsidR="009471A9">
        <w:rPr>
          <w:rFonts w:ascii="Times New Roman" w:hAnsi="Times New Roman"/>
          <w:b/>
          <w:sz w:val="20"/>
          <w:szCs w:val="20"/>
        </w:rPr>
        <w:t>19-20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CB4D1A" w:rsidRDefault="00CB4D1A" w:rsidP="00C843F0">
      <w:pPr>
        <w:pStyle w:val="MediumGrid1-Accent21"/>
        <w:ind w:left="0"/>
        <w:rPr>
          <w:rFonts w:ascii="Times New Roman" w:hAnsi="Times New Roman"/>
          <w:b/>
          <w:sz w:val="20"/>
          <w:szCs w:val="20"/>
        </w:rPr>
        <w:sectPr w:rsidR="00CB4D1A" w:rsidSect="00281389">
          <w:footerReference w:type="even" r:id="rId8"/>
          <w:footerReference w:type="default" r:id="rId9"/>
          <w:pgSz w:w="15840" w:h="12240" w:orient="landscape"/>
          <w:pgMar w:top="1152" w:right="1440" w:bottom="1152" w:left="1440" w:header="720" w:footer="720" w:gutter="0"/>
          <w:cols w:space="720"/>
          <w:titlePg/>
          <w:docGrid w:linePitch="360"/>
        </w:sectPr>
      </w:pPr>
    </w:p>
    <w:p w:rsidR="00AF113D" w:rsidRPr="00A85BA9" w:rsidRDefault="00CB4D1A" w:rsidP="00A85BA9">
      <w:pPr>
        <w:pStyle w:val="Heading1"/>
        <w:rPr>
          <w:rFonts w:ascii="Times New Roman" w:hAnsi="Times New Roman" w:cs="Times New Roman"/>
          <w:b/>
          <w:color w:val="auto"/>
          <w:sz w:val="28"/>
        </w:rPr>
      </w:pPr>
      <w:r w:rsidRPr="007C0334">
        <w:rPr>
          <w:rFonts w:ascii="Times New Roman" w:hAnsi="Times New Roman" w:cs="Times New Roman"/>
          <w:b/>
          <w:color w:val="auto"/>
          <w:sz w:val="28"/>
        </w:rPr>
        <w:lastRenderedPageBreak/>
        <w:t xml:space="preserve">2. </w:t>
      </w:r>
      <w:r w:rsidR="00E03C5C" w:rsidRPr="007C0334">
        <w:rPr>
          <w:rFonts w:ascii="Times New Roman" w:hAnsi="Times New Roman" w:cs="Times New Roman"/>
          <w:b/>
          <w:color w:val="auto"/>
          <w:sz w:val="28"/>
        </w:rPr>
        <w:t>Overvie</w:t>
      </w:r>
      <w:r w:rsidRPr="007C0334">
        <w:rPr>
          <w:rFonts w:ascii="Times New Roman" w:hAnsi="Times New Roman" w:cs="Times New Roman"/>
          <w:b/>
          <w:color w:val="auto"/>
          <w:sz w:val="28"/>
        </w:rPr>
        <w:t>w of Annual Assessment Project</w:t>
      </w:r>
    </w:p>
    <w:p w:rsidR="00AB7CE4" w:rsidRPr="00A85BA9" w:rsidRDefault="00CB4D1A" w:rsidP="00A85BA9">
      <w:pPr>
        <w:pStyle w:val="Heading2"/>
        <w:rPr>
          <w:rFonts w:ascii="Times New Roman" w:hAnsi="Times New Roman" w:cs="Times New Roman"/>
          <w:b/>
          <w:color w:val="auto"/>
          <w:sz w:val="24"/>
        </w:rPr>
      </w:pPr>
      <w:r w:rsidRPr="00A85BA9">
        <w:rPr>
          <w:rFonts w:ascii="Times New Roman" w:hAnsi="Times New Roman" w:cs="Times New Roman"/>
          <w:b/>
          <w:color w:val="auto"/>
          <w:sz w:val="24"/>
        </w:rPr>
        <w:t xml:space="preserve">A. </w:t>
      </w:r>
      <w:r w:rsidR="00C843F0" w:rsidRPr="00A85BA9">
        <w:rPr>
          <w:rFonts w:ascii="Times New Roman" w:hAnsi="Times New Roman" w:cs="Times New Roman"/>
          <w:b/>
          <w:color w:val="auto"/>
          <w:sz w:val="24"/>
        </w:rPr>
        <w:t>Assessment Rationale</w:t>
      </w:r>
    </w:p>
    <w:p w:rsidR="00C843F0" w:rsidRPr="00C27182" w:rsidRDefault="00AB7CE4" w:rsidP="00A85BA9">
      <w:pPr>
        <w:pStyle w:val="MediumGrid1-Accent21"/>
        <w:spacing w:line="360" w:lineRule="auto"/>
        <w:ind w:left="0" w:firstLine="720"/>
        <w:rPr>
          <w:rFonts w:ascii="Times New Roman" w:hAnsi="Times New Roman"/>
          <w:sz w:val="24"/>
          <w:szCs w:val="24"/>
        </w:rPr>
      </w:pPr>
      <w:r w:rsidRPr="00C27182">
        <w:rPr>
          <w:rFonts w:ascii="Times New Roman" w:hAnsi="Times New Roman"/>
          <w:sz w:val="24"/>
          <w:szCs w:val="24"/>
        </w:rPr>
        <w:t>This year’s assessment plan was designed 1) to execute one of the assessment activities planned during AY17-18 for AY 18-19 and 2) to evaluate the effectiveness of the Department</w:t>
      </w:r>
      <w:r w:rsidR="003967B8" w:rsidRPr="00C27182">
        <w:rPr>
          <w:rFonts w:ascii="Times New Roman" w:hAnsi="Times New Roman"/>
          <w:sz w:val="24"/>
          <w:szCs w:val="24"/>
        </w:rPr>
        <w:t>’</w:t>
      </w:r>
      <w:r w:rsidRPr="00C27182">
        <w:rPr>
          <w:rFonts w:ascii="Times New Roman" w:hAnsi="Times New Roman"/>
          <w:sz w:val="24"/>
          <w:szCs w:val="24"/>
        </w:rPr>
        <w:t xml:space="preserve">s AY18-19 teaching theme “Engaging Evidence”. In the </w:t>
      </w:r>
      <w:r w:rsidR="003967B8" w:rsidRPr="00C27182">
        <w:rPr>
          <w:rFonts w:ascii="Times New Roman" w:hAnsi="Times New Roman"/>
          <w:sz w:val="24"/>
          <w:szCs w:val="24"/>
        </w:rPr>
        <w:t>AY17-18 assessment report</w:t>
      </w:r>
      <w:r w:rsidRPr="00C27182">
        <w:rPr>
          <w:rFonts w:ascii="Times New Roman" w:hAnsi="Times New Roman"/>
          <w:sz w:val="24"/>
          <w:szCs w:val="24"/>
        </w:rPr>
        <w:t xml:space="preserve">, </w:t>
      </w:r>
      <w:r w:rsidR="003967B8" w:rsidRPr="00C27182">
        <w:rPr>
          <w:rFonts w:ascii="Times New Roman" w:hAnsi="Times New Roman"/>
          <w:sz w:val="24"/>
          <w:szCs w:val="24"/>
        </w:rPr>
        <w:t xml:space="preserve">one of the planned items was </w:t>
      </w:r>
      <w:r w:rsidRPr="00C27182">
        <w:rPr>
          <w:rFonts w:ascii="Times New Roman" w:hAnsi="Times New Roman"/>
          <w:sz w:val="24"/>
          <w:szCs w:val="24"/>
        </w:rPr>
        <w:t xml:space="preserve">“… to more closely evaluate the overall performance of students in our courses, in keeping with the University goals set by the 2025 initiative, in order to decrease the DFU rates and close the achievement gaps where they exist.” As the </w:t>
      </w:r>
      <w:r w:rsidR="00B81C76" w:rsidRPr="00C27182">
        <w:rPr>
          <w:rFonts w:ascii="Times New Roman" w:hAnsi="Times New Roman"/>
          <w:sz w:val="24"/>
          <w:szCs w:val="24"/>
        </w:rPr>
        <w:t xml:space="preserve">Department and its faculty members continue to implement policies and pedagogical strategies to reach the goals of the Graduate Initiative 2025, </w:t>
      </w:r>
      <w:r w:rsidR="003967B8" w:rsidRPr="00C27182">
        <w:rPr>
          <w:rFonts w:ascii="Times New Roman" w:hAnsi="Times New Roman"/>
          <w:sz w:val="24"/>
          <w:szCs w:val="24"/>
        </w:rPr>
        <w:t xml:space="preserve">for AY 18-19 </w:t>
      </w:r>
      <w:r w:rsidR="00B81C76" w:rsidRPr="00C27182">
        <w:rPr>
          <w:rFonts w:ascii="Times New Roman" w:hAnsi="Times New Roman"/>
          <w:sz w:val="24"/>
          <w:szCs w:val="24"/>
        </w:rPr>
        <w:t>it was fitting to assess the</w:t>
      </w:r>
      <w:r w:rsidR="003967B8" w:rsidRPr="00C27182">
        <w:rPr>
          <w:rFonts w:ascii="Times New Roman" w:hAnsi="Times New Roman"/>
          <w:sz w:val="24"/>
          <w:szCs w:val="24"/>
        </w:rPr>
        <w:t>se</w:t>
      </w:r>
      <w:r w:rsidR="00B81C76" w:rsidRPr="00C27182">
        <w:rPr>
          <w:rFonts w:ascii="Times New Roman" w:hAnsi="Times New Roman"/>
          <w:sz w:val="24"/>
          <w:szCs w:val="24"/>
        </w:rPr>
        <w:t xml:space="preserve"> efforts as reflected by students’ performance. In addition, </w:t>
      </w:r>
      <w:r w:rsidR="00071649" w:rsidRPr="00C27182">
        <w:rPr>
          <w:rFonts w:ascii="Times New Roman" w:hAnsi="Times New Roman"/>
          <w:sz w:val="24"/>
          <w:szCs w:val="24"/>
        </w:rPr>
        <w:t xml:space="preserve">with full support of the faculty </w:t>
      </w:r>
      <w:r w:rsidR="00B81C76" w:rsidRPr="00C27182">
        <w:rPr>
          <w:rFonts w:ascii="Times New Roman" w:hAnsi="Times New Roman"/>
          <w:sz w:val="24"/>
          <w:szCs w:val="24"/>
        </w:rPr>
        <w:t xml:space="preserve">the Department selected “Engaging Evidence” as the teaching theme </w:t>
      </w:r>
      <w:r w:rsidR="003967B8" w:rsidRPr="00C27182">
        <w:rPr>
          <w:rFonts w:ascii="Times New Roman" w:hAnsi="Times New Roman"/>
          <w:sz w:val="24"/>
          <w:szCs w:val="24"/>
        </w:rPr>
        <w:t>for AY</w:t>
      </w:r>
      <w:r w:rsidR="00071649" w:rsidRPr="00C27182">
        <w:rPr>
          <w:rFonts w:ascii="Times New Roman" w:hAnsi="Times New Roman"/>
          <w:sz w:val="24"/>
          <w:szCs w:val="24"/>
        </w:rPr>
        <w:t>18-19</w:t>
      </w:r>
      <w:r w:rsidR="00B81C76" w:rsidRPr="00C27182">
        <w:rPr>
          <w:rFonts w:ascii="Times New Roman" w:hAnsi="Times New Roman"/>
          <w:sz w:val="24"/>
          <w:szCs w:val="24"/>
        </w:rPr>
        <w:t>. Wi</w:t>
      </w:r>
      <w:r w:rsidR="00B81523" w:rsidRPr="00C27182">
        <w:rPr>
          <w:rFonts w:ascii="Times New Roman" w:hAnsi="Times New Roman"/>
          <w:sz w:val="24"/>
          <w:szCs w:val="24"/>
        </w:rPr>
        <w:t>th anthropology being an all-encompassing</w:t>
      </w:r>
      <w:r w:rsidR="00B81C76" w:rsidRPr="00C27182">
        <w:rPr>
          <w:rFonts w:ascii="Times New Roman" w:hAnsi="Times New Roman"/>
          <w:sz w:val="24"/>
          <w:szCs w:val="24"/>
        </w:rPr>
        <w:t xml:space="preserve"> discipline, </w:t>
      </w:r>
      <w:r w:rsidR="00B81523" w:rsidRPr="00C27182">
        <w:rPr>
          <w:rFonts w:ascii="Times New Roman" w:hAnsi="Times New Roman"/>
          <w:sz w:val="24"/>
          <w:szCs w:val="24"/>
        </w:rPr>
        <w:t>our curriculum is designed to offer a variety of courses in major sub</w:t>
      </w:r>
      <w:r w:rsidR="00071649" w:rsidRPr="00C27182">
        <w:rPr>
          <w:rFonts w:ascii="Times New Roman" w:hAnsi="Times New Roman"/>
          <w:sz w:val="24"/>
          <w:szCs w:val="24"/>
        </w:rPr>
        <w:t>disciplines</w:t>
      </w:r>
      <w:r w:rsidR="00B81523" w:rsidRPr="00C27182">
        <w:rPr>
          <w:rFonts w:ascii="Times New Roman" w:hAnsi="Times New Roman"/>
          <w:sz w:val="24"/>
          <w:szCs w:val="24"/>
        </w:rPr>
        <w:t xml:space="preserve"> (sociocultural anthropology, archaeology, and biological anthropology). Students majoring and minoring in anthropology have an extent of freedom to choose courses that would most fulfil their specific interests in anthropology. The goals of establishing a teaching theme is to deepen students’ knowledge of an important concept in anthropology by ampli</w:t>
      </w:r>
      <w:r w:rsidR="00071649" w:rsidRPr="00C27182">
        <w:rPr>
          <w:rFonts w:ascii="Times New Roman" w:hAnsi="Times New Roman"/>
          <w:sz w:val="24"/>
          <w:szCs w:val="24"/>
        </w:rPr>
        <w:t>fyi</w:t>
      </w:r>
      <w:r w:rsidR="00A361EF" w:rsidRPr="00C27182">
        <w:rPr>
          <w:rFonts w:ascii="Times New Roman" w:hAnsi="Times New Roman"/>
          <w:sz w:val="24"/>
          <w:szCs w:val="24"/>
        </w:rPr>
        <w:t xml:space="preserve">ng the discussion around it, </w:t>
      </w:r>
      <w:r w:rsidR="00071649" w:rsidRPr="00C27182">
        <w:rPr>
          <w:rFonts w:ascii="Times New Roman" w:hAnsi="Times New Roman"/>
          <w:sz w:val="24"/>
          <w:szCs w:val="24"/>
        </w:rPr>
        <w:t>to demonstrate to students how the subdisciplines of anthropology “speak” to one another to form a holistic social science</w:t>
      </w:r>
      <w:r w:rsidR="00A361EF" w:rsidRPr="00C27182">
        <w:rPr>
          <w:rFonts w:ascii="Times New Roman" w:hAnsi="Times New Roman"/>
          <w:sz w:val="24"/>
          <w:szCs w:val="24"/>
        </w:rPr>
        <w:t xml:space="preserve">, and </w:t>
      </w:r>
      <w:r w:rsidR="00071649" w:rsidRPr="00C27182">
        <w:rPr>
          <w:rFonts w:ascii="Times New Roman" w:hAnsi="Times New Roman"/>
          <w:sz w:val="24"/>
          <w:szCs w:val="24"/>
        </w:rPr>
        <w:t xml:space="preserve">to </w:t>
      </w:r>
      <w:r w:rsidR="00B81523" w:rsidRPr="00C27182">
        <w:rPr>
          <w:rFonts w:ascii="Times New Roman" w:hAnsi="Times New Roman"/>
          <w:sz w:val="24"/>
          <w:szCs w:val="24"/>
        </w:rPr>
        <w:t>promote cohesiveness</w:t>
      </w:r>
      <w:r w:rsidR="00A361EF" w:rsidRPr="00C27182">
        <w:rPr>
          <w:rFonts w:ascii="Times New Roman" w:hAnsi="Times New Roman"/>
          <w:sz w:val="24"/>
          <w:szCs w:val="24"/>
        </w:rPr>
        <w:t xml:space="preserve"> across the curriculum. Since the teaching theme is a new approach for the Department, in consultation with the Department Chair, the assessment liaison and committee members collectively decided to incorporate assessing the effectiveness of this approach into the AY18-19 assessment activities. </w:t>
      </w:r>
    </w:p>
    <w:p w:rsidR="00A361EF" w:rsidRPr="00A85BA9" w:rsidRDefault="00A361EF" w:rsidP="00A85BA9">
      <w:pPr>
        <w:pStyle w:val="Heading2"/>
        <w:rPr>
          <w:rFonts w:ascii="Times New Roman" w:hAnsi="Times New Roman" w:cs="Times New Roman"/>
          <w:b/>
          <w:color w:val="auto"/>
          <w:sz w:val="24"/>
        </w:rPr>
      </w:pPr>
      <w:r w:rsidRPr="00A85BA9">
        <w:rPr>
          <w:rFonts w:ascii="Times New Roman" w:hAnsi="Times New Roman" w:cs="Times New Roman"/>
          <w:b/>
          <w:color w:val="auto"/>
          <w:sz w:val="24"/>
        </w:rPr>
        <w:t>B. Assessment Design</w:t>
      </w:r>
    </w:p>
    <w:p w:rsidR="00CB4D1A" w:rsidRPr="00C27182" w:rsidRDefault="00A361EF" w:rsidP="00AF113D">
      <w:pPr>
        <w:pStyle w:val="MediumGrid1-Accent21"/>
        <w:spacing w:after="240" w:line="360" w:lineRule="auto"/>
        <w:ind w:left="0" w:firstLine="720"/>
        <w:rPr>
          <w:rFonts w:ascii="Times New Roman" w:hAnsi="Times New Roman"/>
          <w:sz w:val="24"/>
          <w:szCs w:val="24"/>
        </w:rPr>
      </w:pPr>
      <w:r w:rsidRPr="00C27182">
        <w:rPr>
          <w:rFonts w:ascii="Times New Roman" w:hAnsi="Times New Roman"/>
          <w:sz w:val="24"/>
          <w:szCs w:val="24"/>
        </w:rPr>
        <w:t xml:space="preserve">To best integrate the above assessment goals, the committee chose to assess a portion of </w:t>
      </w:r>
      <w:r w:rsidR="0045145D" w:rsidRPr="00C27182">
        <w:rPr>
          <w:rFonts w:ascii="Times New Roman" w:hAnsi="Times New Roman"/>
          <w:sz w:val="24"/>
          <w:szCs w:val="24"/>
        </w:rPr>
        <w:t xml:space="preserve">the Undergraduate Program Learning Outcome </w:t>
      </w:r>
      <w:r w:rsidR="0045145D" w:rsidRPr="00C27182">
        <w:rPr>
          <w:rFonts w:ascii="Times New Roman" w:hAnsi="Times New Roman"/>
          <w:b/>
          <w:sz w:val="24"/>
          <w:szCs w:val="24"/>
        </w:rPr>
        <w:t xml:space="preserve">(PLO) 5 </w:t>
      </w:r>
      <w:r w:rsidR="0045145D" w:rsidRPr="00C27182">
        <w:rPr>
          <w:rFonts w:ascii="Times New Roman" w:hAnsi="Times New Roman"/>
          <w:sz w:val="24"/>
          <w:szCs w:val="24"/>
        </w:rPr>
        <w:t>“</w:t>
      </w:r>
      <w:r w:rsidR="0045145D" w:rsidRPr="009054F3">
        <w:rPr>
          <w:rFonts w:ascii="Times New Roman" w:hAnsi="Times New Roman"/>
          <w:b/>
          <w:sz w:val="24"/>
          <w:szCs w:val="24"/>
        </w:rPr>
        <w:t>Demonstrate the ability to conceptualize, collect, describe, analyze, interpret, and communicate anthropological evidence according to generally accepted professional practice and ethics</w:t>
      </w:r>
      <w:r w:rsidR="0045145D" w:rsidRPr="00C27182">
        <w:rPr>
          <w:rFonts w:ascii="Times New Roman" w:hAnsi="Times New Roman"/>
          <w:sz w:val="24"/>
          <w:szCs w:val="24"/>
        </w:rPr>
        <w:t>”. We decided to focus on the “</w:t>
      </w:r>
      <w:r w:rsidR="0045145D" w:rsidRPr="00C27182">
        <w:rPr>
          <w:rFonts w:ascii="Times New Roman" w:hAnsi="Times New Roman"/>
          <w:b/>
          <w:sz w:val="24"/>
          <w:szCs w:val="24"/>
        </w:rPr>
        <w:t>analyze and interpret</w:t>
      </w:r>
      <w:r w:rsidR="0045145D" w:rsidRPr="00C27182">
        <w:rPr>
          <w:rFonts w:ascii="Times New Roman" w:hAnsi="Times New Roman"/>
          <w:sz w:val="24"/>
          <w:szCs w:val="24"/>
        </w:rPr>
        <w:t xml:space="preserve">” aspects of </w:t>
      </w:r>
      <w:r w:rsidR="007534FC">
        <w:rPr>
          <w:rFonts w:ascii="Times New Roman" w:hAnsi="Times New Roman"/>
          <w:sz w:val="24"/>
          <w:szCs w:val="24"/>
        </w:rPr>
        <w:t>PLO5 to best align assessment with</w:t>
      </w:r>
      <w:r w:rsidR="0045145D" w:rsidRPr="00C27182">
        <w:rPr>
          <w:rFonts w:ascii="Times New Roman" w:hAnsi="Times New Roman"/>
          <w:sz w:val="24"/>
          <w:szCs w:val="24"/>
        </w:rPr>
        <w:t xml:space="preserve"> the teaching theme “Engaging Evidence”. </w:t>
      </w:r>
    </w:p>
    <w:p w:rsidR="00C063C6" w:rsidRDefault="0045145D" w:rsidP="009054F3">
      <w:pPr>
        <w:spacing w:after="240" w:line="360" w:lineRule="auto"/>
        <w:ind w:firstLine="720"/>
        <w:rPr>
          <w:rFonts w:ascii="Times New Roman" w:hAnsi="Times New Roman"/>
          <w:sz w:val="24"/>
          <w:szCs w:val="24"/>
        </w:rPr>
      </w:pPr>
      <w:r w:rsidRPr="00C27182">
        <w:rPr>
          <w:rFonts w:ascii="Times New Roman" w:hAnsi="Times New Roman"/>
          <w:sz w:val="24"/>
          <w:szCs w:val="24"/>
        </w:rPr>
        <w:t xml:space="preserve">To control for level of difficulty and </w:t>
      </w:r>
      <w:r w:rsidR="004E0D8B" w:rsidRPr="00C27182">
        <w:rPr>
          <w:rFonts w:ascii="Times New Roman" w:hAnsi="Times New Roman"/>
          <w:sz w:val="24"/>
          <w:szCs w:val="24"/>
        </w:rPr>
        <w:t xml:space="preserve">to </w:t>
      </w:r>
      <w:r w:rsidRPr="00C27182">
        <w:rPr>
          <w:rFonts w:ascii="Times New Roman" w:hAnsi="Times New Roman"/>
          <w:sz w:val="24"/>
          <w:szCs w:val="24"/>
        </w:rPr>
        <w:t>meas</w:t>
      </w:r>
      <w:r w:rsidR="007534FC">
        <w:rPr>
          <w:rFonts w:ascii="Times New Roman" w:hAnsi="Times New Roman"/>
          <w:sz w:val="24"/>
          <w:szCs w:val="24"/>
        </w:rPr>
        <w:t>ure</w:t>
      </w:r>
      <w:r w:rsidRPr="00C27182">
        <w:rPr>
          <w:rFonts w:ascii="Times New Roman" w:hAnsi="Times New Roman"/>
          <w:sz w:val="24"/>
          <w:szCs w:val="24"/>
        </w:rPr>
        <w:t xml:space="preserve"> performance represented by students majoring/minoring in anthropology, three </w:t>
      </w:r>
      <w:r w:rsidR="004E0D8B" w:rsidRPr="00C27182">
        <w:rPr>
          <w:rFonts w:ascii="Times New Roman" w:hAnsi="Times New Roman"/>
          <w:sz w:val="24"/>
          <w:szCs w:val="24"/>
        </w:rPr>
        <w:t xml:space="preserve">(3) </w:t>
      </w:r>
      <w:r w:rsidRPr="00C27182">
        <w:rPr>
          <w:rFonts w:ascii="Times New Roman" w:hAnsi="Times New Roman"/>
          <w:sz w:val="24"/>
          <w:szCs w:val="24"/>
        </w:rPr>
        <w:t xml:space="preserve">400 level courses offered in </w:t>
      </w:r>
      <w:proofErr w:type="gramStart"/>
      <w:r w:rsidRPr="00C27182">
        <w:rPr>
          <w:rFonts w:ascii="Times New Roman" w:hAnsi="Times New Roman"/>
          <w:sz w:val="24"/>
          <w:szCs w:val="24"/>
        </w:rPr>
        <w:t>Fall</w:t>
      </w:r>
      <w:proofErr w:type="gramEnd"/>
      <w:r w:rsidRPr="00C27182">
        <w:rPr>
          <w:rFonts w:ascii="Times New Roman" w:hAnsi="Times New Roman"/>
          <w:sz w:val="24"/>
          <w:szCs w:val="24"/>
        </w:rPr>
        <w:t xml:space="preserve"> 2018 were chosen for assessment, one</w:t>
      </w:r>
      <w:r w:rsidR="004E0D8B" w:rsidRPr="00C27182">
        <w:rPr>
          <w:rFonts w:ascii="Times New Roman" w:hAnsi="Times New Roman"/>
          <w:sz w:val="24"/>
          <w:szCs w:val="24"/>
        </w:rPr>
        <w:t xml:space="preserve"> in each subdiscipline. They were </w:t>
      </w:r>
      <w:r w:rsidRPr="00C27182">
        <w:rPr>
          <w:rFonts w:ascii="Times New Roman" w:hAnsi="Times New Roman"/>
          <w:b/>
          <w:sz w:val="24"/>
          <w:szCs w:val="24"/>
        </w:rPr>
        <w:t>ANTH 490C</w:t>
      </w:r>
      <w:r w:rsidR="004E0D8B" w:rsidRPr="00C27182">
        <w:rPr>
          <w:rFonts w:ascii="Times New Roman" w:hAnsi="Times New Roman"/>
          <w:b/>
          <w:sz w:val="24"/>
          <w:szCs w:val="24"/>
        </w:rPr>
        <w:t xml:space="preserve"> (Seminar in Cultural Anthropology: </w:t>
      </w:r>
      <w:r w:rsidR="004E0D8B" w:rsidRPr="00C27182">
        <w:rPr>
          <w:rFonts w:ascii="Times New Roman" w:hAnsi="Times New Roman"/>
          <w:b/>
          <w:sz w:val="24"/>
          <w:szCs w:val="24"/>
        </w:rPr>
        <w:lastRenderedPageBreak/>
        <w:t>Anthropology of Tourism)</w:t>
      </w:r>
      <w:r w:rsidRPr="00C27182">
        <w:rPr>
          <w:rFonts w:ascii="Times New Roman" w:hAnsi="Times New Roman"/>
          <w:b/>
          <w:sz w:val="24"/>
          <w:szCs w:val="24"/>
        </w:rPr>
        <w:t>, ANTH 426</w:t>
      </w:r>
      <w:r w:rsidR="004E0D8B" w:rsidRPr="00C27182">
        <w:rPr>
          <w:rFonts w:ascii="Times New Roman" w:hAnsi="Times New Roman"/>
          <w:b/>
          <w:sz w:val="24"/>
          <w:szCs w:val="24"/>
        </w:rPr>
        <w:t xml:space="preserve"> (Old World Archaeology)</w:t>
      </w:r>
      <w:r w:rsidRPr="00C27182">
        <w:rPr>
          <w:rFonts w:ascii="Times New Roman" w:hAnsi="Times New Roman"/>
          <w:b/>
          <w:sz w:val="24"/>
          <w:szCs w:val="24"/>
        </w:rPr>
        <w:t>, and ANTH 440</w:t>
      </w:r>
      <w:r w:rsidR="004E0D8B" w:rsidRPr="00C27182">
        <w:rPr>
          <w:rFonts w:ascii="Times New Roman" w:hAnsi="Times New Roman"/>
          <w:b/>
          <w:sz w:val="24"/>
          <w:szCs w:val="24"/>
        </w:rPr>
        <w:t xml:space="preserve"> (Bioarchaeology)</w:t>
      </w:r>
      <w:r w:rsidRPr="00C27182">
        <w:rPr>
          <w:rFonts w:ascii="Times New Roman" w:hAnsi="Times New Roman"/>
          <w:sz w:val="24"/>
          <w:szCs w:val="24"/>
        </w:rPr>
        <w:t>.</w:t>
      </w:r>
      <w:r w:rsidR="00735A6D">
        <w:rPr>
          <w:rFonts w:ascii="Times New Roman" w:hAnsi="Times New Roman"/>
          <w:sz w:val="24"/>
          <w:szCs w:val="24"/>
        </w:rPr>
        <w:t xml:space="preserve"> </w:t>
      </w:r>
    </w:p>
    <w:p w:rsidR="00C063C6" w:rsidRDefault="00735A6D" w:rsidP="009054F3">
      <w:pPr>
        <w:spacing w:after="240" w:line="360" w:lineRule="auto"/>
        <w:ind w:firstLine="720"/>
        <w:rPr>
          <w:rFonts w:ascii="Times New Roman" w:hAnsi="Times New Roman"/>
          <w:sz w:val="24"/>
          <w:szCs w:val="24"/>
        </w:rPr>
      </w:pPr>
      <w:r>
        <w:rPr>
          <w:rFonts w:ascii="Times New Roman" w:hAnsi="Times New Roman"/>
          <w:sz w:val="24"/>
          <w:szCs w:val="24"/>
        </w:rPr>
        <w:t xml:space="preserve">Direct assessment of signature assignments was employed. </w:t>
      </w:r>
      <w:r w:rsidR="00C063C6" w:rsidRPr="00C27182">
        <w:rPr>
          <w:rFonts w:ascii="Times New Roman" w:hAnsi="Times New Roman"/>
          <w:sz w:val="24"/>
          <w:szCs w:val="24"/>
        </w:rPr>
        <w:t xml:space="preserve">Culminating work by all students in each class </w:t>
      </w:r>
      <w:r w:rsidR="00C063C6">
        <w:rPr>
          <w:rFonts w:ascii="Times New Roman" w:hAnsi="Times New Roman"/>
          <w:sz w:val="24"/>
          <w:szCs w:val="24"/>
        </w:rPr>
        <w:t>was desig</w:t>
      </w:r>
      <w:r w:rsidR="007534FC">
        <w:rPr>
          <w:rFonts w:ascii="Times New Roman" w:hAnsi="Times New Roman"/>
          <w:sz w:val="24"/>
          <w:szCs w:val="24"/>
        </w:rPr>
        <w:t xml:space="preserve">nated as signature assignments: </w:t>
      </w:r>
    </w:p>
    <w:p w:rsidR="00C063C6" w:rsidRDefault="00C063C6" w:rsidP="009054F3">
      <w:pPr>
        <w:spacing w:after="240" w:line="360" w:lineRule="auto"/>
        <w:ind w:firstLine="720"/>
        <w:rPr>
          <w:rFonts w:ascii="Times New Roman" w:hAnsi="Times New Roman"/>
          <w:sz w:val="24"/>
          <w:szCs w:val="24"/>
        </w:rPr>
      </w:pPr>
      <w:r>
        <w:rPr>
          <w:rFonts w:ascii="Times New Roman" w:hAnsi="Times New Roman"/>
          <w:sz w:val="24"/>
          <w:szCs w:val="24"/>
        </w:rPr>
        <w:t xml:space="preserve">ANTH 490C &amp; ANTH 440: </w:t>
      </w:r>
      <w:r w:rsidR="0045145D" w:rsidRPr="00C27182">
        <w:rPr>
          <w:rFonts w:ascii="Times New Roman" w:hAnsi="Times New Roman"/>
          <w:sz w:val="24"/>
          <w:szCs w:val="24"/>
        </w:rPr>
        <w:t>final</w:t>
      </w:r>
      <w:r w:rsidR="004E0D8B" w:rsidRPr="00C27182">
        <w:rPr>
          <w:rFonts w:ascii="Times New Roman" w:hAnsi="Times New Roman"/>
          <w:sz w:val="24"/>
          <w:szCs w:val="24"/>
        </w:rPr>
        <w:t xml:space="preserve"> research</w:t>
      </w:r>
      <w:r w:rsidR="0045145D" w:rsidRPr="00C27182">
        <w:rPr>
          <w:rFonts w:ascii="Times New Roman" w:hAnsi="Times New Roman"/>
          <w:sz w:val="24"/>
          <w:szCs w:val="24"/>
        </w:rPr>
        <w:t xml:space="preserve"> papers</w:t>
      </w:r>
    </w:p>
    <w:p w:rsidR="00C063C6" w:rsidRDefault="00C063C6" w:rsidP="00C063C6">
      <w:pPr>
        <w:spacing w:after="240" w:line="360" w:lineRule="auto"/>
        <w:ind w:firstLine="720"/>
        <w:rPr>
          <w:rFonts w:ascii="Times New Roman" w:hAnsi="Times New Roman"/>
          <w:sz w:val="24"/>
          <w:szCs w:val="24"/>
        </w:rPr>
      </w:pPr>
      <w:r>
        <w:rPr>
          <w:rFonts w:ascii="Times New Roman" w:hAnsi="Times New Roman"/>
          <w:sz w:val="24"/>
          <w:szCs w:val="24"/>
        </w:rPr>
        <w:t xml:space="preserve">ANTH 426: </w:t>
      </w:r>
      <w:r w:rsidR="0045145D" w:rsidRPr="00C27182">
        <w:rPr>
          <w:rFonts w:ascii="Times New Roman" w:hAnsi="Times New Roman"/>
          <w:sz w:val="24"/>
          <w:szCs w:val="24"/>
        </w:rPr>
        <w:t>final exam essays</w:t>
      </w:r>
    </w:p>
    <w:p w:rsidR="00E67E44" w:rsidRPr="00C27182" w:rsidRDefault="004E0D8B" w:rsidP="00C063C6">
      <w:pPr>
        <w:spacing w:after="240" w:line="360" w:lineRule="auto"/>
        <w:ind w:firstLine="720"/>
        <w:rPr>
          <w:rFonts w:ascii="Times New Roman" w:hAnsi="Times New Roman"/>
          <w:sz w:val="24"/>
          <w:szCs w:val="24"/>
        </w:rPr>
      </w:pPr>
      <w:r w:rsidRPr="00C27182">
        <w:rPr>
          <w:rFonts w:ascii="Times New Roman" w:hAnsi="Times New Roman"/>
          <w:sz w:val="24"/>
          <w:szCs w:val="24"/>
        </w:rPr>
        <w:t xml:space="preserve">The </w:t>
      </w:r>
      <w:r w:rsidR="00AF113D" w:rsidRPr="00C27182">
        <w:rPr>
          <w:rFonts w:ascii="Times New Roman" w:hAnsi="Times New Roman"/>
          <w:sz w:val="24"/>
          <w:szCs w:val="24"/>
        </w:rPr>
        <w:t xml:space="preserve">assessment </w:t>
      </w:r>
      <w:r w:rsidRPr="00C27182">
        <w:rPr>
          <w:rFonts w:ascii="Times New Roman" w:hAnsi="Times New Roman"/>
          <w:sz w:val="24"/>
          <w:szCs w:val="24"/>
        </w:rPr>
        <w:t xml:space="preserve">committee chair </w:t>
      </w:r>
      <w:r w:rsidR="00AF113D" w:rsidRPr="00C27182">
        <w:rPr>
          <w:rFonts w:ascii="Times New Roman" w:hAnsi="Times New Roman"/>
          <w:sz w:val="24"/>
          <w:szCs w:val="24"/>
        </w:rPr>
        <w:t xml:space="preserve">(= liaison) </w:t>
      </w:r>
      <w:r w:rsidRPr="00C27182">
        <w:rPr>
          <w:rFonts w:ascii="Times New Roman" w:hAnsi="Times New Roman"/>
          <w:sz w:val="24"/>
          <w:szCs w:val="24"/>
        </w:rPr>
        <w:t xml:space="preserve">developed and finalized the following assessment rubric, with the committee members’ input. The assessment activities were divided among the committee </w:t>
      </w:r>
      <w:r w:rsidR="00AF113D" w:rsidRPr="00C27182">
        <w:rPr>
          <w:rFonts w:ascii="Times New Roman" w:hAnsi="Times New Roman"/>
          <w:sz w:val="24"/>
          <w:szCs w:val="24"/>
        </w:rPr>
        <w:t xml:space="preserve">chair and its </w:t>
      </w:r>
      <w:r w:rsidR="007534FC">
        <w:rPr>
          <w:rFonts w:ascii="Times New Roman" w:hAnsi="Times New Roman"/>
          <w:sz w:val="24"/>
          <w:szCs w:val="24"/>
        </w:rPr>
        <w:t xml:space="preserve">two </w:t>
      </w:r>
      <w:r w:rsidR="009054F3">
        <w:rPr>
          <w:rFonts w:ascii="Times New Roman" w:hAnsi="Times New Roman"/>
          <w:sz w:val="24"/>
          <w:szCs w:val="24"/>
        </w:rPr>
        <w:t>members.</w:t>
      </w:r>
      <w:r w:rsidR="007534FC">
        <w:rPr>
          <w:rFonts w:ascii="Times New Roman" w:hAnsi="Times New Roman"/>
          <w:sz w:val="24"/>
          <w:szCs w:val="24"/>
        </w:rPr>
        <w:t xml:space="preserve"> The committee chair and each</w:t>
      </w:r>
      <w:r w:rsidRPr="00C27182">
        <w:rPr>
          <w:rFonts w:ascii="Times New Roman" w:hAnsi="Times New Roman"/>
          <w:sz w:val="24"/>
          <w:szCs w:val="24"/>
        </w:rPr>
        <w:t xml:space="preserve"> </w:t>
      </w:r>
      <w:r w:rsidR="009054F3">
        <w:rPr>
          <w:rFonts w:ascii="Times New Roman" w:hAnsi="Times New Roman"/>
          <w:sz w:val="24"/>
          <w:szCs w:val="24"/>
        </w:rPr>
        <w:t xml:space="preserve">committee member </w:t>
      </w:r>
      <w:r w:rsidRPr="00C27182">
        <w:rPr>
          <w:rFonts w:ascii="Times New Roman" w:hAnsi="Times New Roman"/>
          <w:sz w:val="24"/>
          <w:szCs w:val="24"/>
        </w:rPr>
        <w:t>had</w:t>
      </w:r>
      <w:r w:rsidR="00AF113D" w:rsidRPr="00C27182">
        <w:rPr>
          <w:rFonts w:ascii="Times New Roman" w:hAnsi="Times New Roman"/>
          <w:sz w:val="24"/>
          <w:szCs w:val="24"/>
        </w:rPr>
        <w:t xml:space="preserve"> sufficient knowledge of the subject matter to evaluate students’ performance against the rubric. </w:t>
      </w:r>
    </w:p>
    <w:p w:rsidR="00E67E44" w:rsidRPr="00C27182" w:rsidRDefault="00E67E44" w:rsidP="00E67E44">
      <w:pPr>
        <w:spacing w:after="240" w:line="360" w:lineRule="auto"/>
        <w:ind w:firstLine="720"/>
        <w:jc w:val="center"/>
        <w:rPr>
          <w:rFonts w:ascii="Times New Roman" w:hAnsi="Times New Roman"/>
          <w:sz w:val="24"/>
          <w:szCs w:val="24"/>
        </w:rPr>
      </w:pPr>
      <w:r w:rsidRPr="00C27182">
        <w:rPr>
          <w:rFonts w:ascii="Times New Roman" w:hAnsi="Times New Roman"/>
          <w:b/>
          <w:sz w:val="24"/>
          <w:szCs w:val="24"/>
        </w:rPr>
        <w:t>Assessment Rubric</w:t>
      </w:r>
    </w:p>
    <w:tbl>
      <w:tblPr>
        <w:tblStyle w:val="TableGrid"/>
        <w:tblW w:w="0" w:type="auto"/>
        <w:tblLook w:val="04A0" w:firstRow="1" w:lastRow="0" w:firstColumn="1" w:lastColumn="0" w:noHBand="0" w:noVBand="1"/>
        <w:tblCaption w:val="Assessment Rubric"/>
        <w:tblDescription w:val="Rubric used to assess signature assignments"/>
      </w:tblPr>
      <w:tblGrid>
        <w:gridCol w:w="1894"/>
        <w:gridCol w:w="2134"/>
        <w:gridCol w:w="1937"/>
        <w:gridCol w:w="1889"/>
        <w:gridCol w:w="2072"/>
      </w:tblGrid>
      <w:tr w:rsidR="0045145D" w:rsidRPr="00C27182" w:rsidTr="00162A3E">
        <w:trPr>
          <w:tblHeader/>
        </w:trPr>
        <w:tc>
          <w:tcPr>
            <w:tcW w:w="2110" w:type="dxa"/>
            <w:tcBorders>
              <w:top w:val="single" w:sz="4" w:space="0" w:color="auto"/>
              <w:left w:val="single" w:sz="4" w:space="0" w:color="auto"/>
              <w:bottom w:val="single" w:sz="4" w:space="0" w:color="auto"/>
              <w:right w:val="single" w:sz="4" w:space="0" w:color="auto"/>
            </w:tcBorders>
          </w:tcPr>
          <w:p w:rsidR="0045145D" w:rsidRPr="00C27182" w:rsidRDefault="0045145D" w:rsidP="002433F5">
            <w:pPr>
              <w:spacing w:after="0" w:line="240" w:lineRule="auto"/>
              <w:rPr>
                <w:rFonts w:ascii="Times New Roman" w:eastAsiaTheme="minorEastAsia" w:hAnsi="Times New Roman"/>
                <w:b/>
                <w:sz w:val="24"/>
                <w:szCs w:val="24"/>
              </w:rPr>
            </w:pPr>
          </w:p>
        </w:tc>
        <w:tc>
          <w:tcPr>
            <w:tcW w:w="2565"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b/>
                <w:sz w:val="24"/>
                <w:szCs w:val="24"/>
              </w:rPr>
            </w:pPr>
            <w:r w:rsidRPr="00C27182">
              <w:rPr>
                <w:rFonts w:ascii="Times New Roman" w:hAnsi="Times New Roman"/>
                <w:b/>
                <w:sz w:val="24"/>
                <w:szCs w:val="24"/>
              </w:rPr>
              <w:t>1. Unsatisfactory</w:t>
            </w:r>
          </w:p>
        </w:tc>
        <w:tc>
          <w:tcPr>
            <w:tcW w:w="252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b/>
                <w:sz w:val="24"/>
                <w:szCs w:val="24"/>
              </w:rPr>
            </w:pPr>
            <w:r w:rsidRPr="00C27182">
              <w:rPr>
                <w:rFonts w:ascii="Times New Roman" w:hAnsi="Times New Roman"/>
                <w:b/>
                <w:sz w:val="24"/>
                <w:szCs w:val="24"/>
              </w:rPr>
              <w:t>2. Developing</w:t>
            </w:r>
          </w:p>
        </w:tc>
        <w:tc>
          <w:tcPr>
            <w:tcW w:w="252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b/>
                <w:sz w:val="24"/>
                <w:szCs w:val="24"/>
              </w:rPr>
            </w:pPr>
            <w:r w:rsidRPr="00C27182">
              <w:rPr>
                <w:rFonts w:ascii="Times New Roman" w:hAnsi="Times New Roman"/>
                <w:b/>
                <w:sz w:val="24"/>
                <w:szCs w:val="24"/>
              </w:rPr>
              <w:t>3. Proficient</w:t>
            </w:r>
          </w:p>
        </w:tc>
        <w:tc>
          <w:tcPr>
            <w:tcW w:w="261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b/>
                <w:sz w:val="24"/>
                <w:szCs w:val="24"/>
              </w:rPr>
            </w:pPr>
            <w:r w:rsidRPr="00C27182">
              <w:rPr>
                <w:rFonts w:ascii="Times New Roman" w:hAnsi="Times New Roman"/>
                <w:b/>
                <w:sz w:val="24"/>
                <w:szCs w:val="24"/>
              </w:rPr>
              <w:t>4. Exemplary</w:t>
            </w:r>
          </w:p>
        </w:tc>
      </w:tr>
      <w:tr w:rsidR="0045145D" w:rsidRPr="00C27182" w:rsidTr="002433F5">
        <w:tc>
          <w:tcPr>
            <w:tcW w:w="211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b/>
                <w:sz w:val="24"/>
                <w:szCs w:val="24"/>
              </w:rPr>
            </w:pPr>
            <w:r w:rsidRPr="00C27182">
              <w:rPr>
                <w:rFonts w:ascii="Times New Roman" w:hAnsi="Times New Roman"/>
                <w:b/>
                <w:sz w:val="24"/>
                <w:szCs w:val="24"/>
              </w:rPr>
              <w:t>Analysis</w:t>
            </w:r>
          </w:p>
        </w:tc>
        <w:tc>
          <w:tcPr>
            <w:tcW w:w="2565"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sz w:val="24"/>
                <w:szCs w:val="24"/>
              </w:rPr>
            </w:pPr>
            <w:r w:rsidRPr="00C27182">
              <w:rPr>
                <w:rFonts w:ascii="Times New Roman" w:hAnsi="Times New Roman"/>
                <w:sz w:val="24"/>
                <w:szCs w:val="24"/>
              </w:rPr>
              <w:t>Analyses of data are not conducted or are conducted entirely incorrectly for the type(s) of evidence analyzed.</w:t>
            </w:r>
          </w:p>
        </w:tc>
        <w:tc>
          <w:tcPr>
            <w:tcW w:w="2520" w:type="dxa"/>
            <w:tcBorders>
              <w:top w:val="single" w:sz="4" w:space="0" w:color="auto"/>
              <w:left w:val="single" w:sz="4" w:space="0" w:color="auto"/>
              <w:bottom w:val="single" w:sz="4" w:space="0" w:color="auto"/>
              <w:right w:val="single" w:sz="4" w:space="0" w:color="auto"/>
            </w:tcBorders>
          </w:tcPr>
          <w:p w:rsidR="0045145D" w:rsidRPr="00C27182" w:rsidRDefault="0045145D" w:rsidP="002433F5">
            <w:pPr>
              <w:spacing w:after="0" w:line="240" w:lineRule="auto"/>
              <w:rPr>
                <w:rFonts w:ascii="Times New Roman" w:hAnsi="Times New Roman"/>
                <w:sz w:val="24"/>
                <w:szCs w:val="24"/>
              </w:rPr>
            </w:pPr>
            <w:r w:rsidRPr="00C27182">
              <w:rPr>
                <w:rFonts w:ascii="Times New Roman" w:hAnsi="Times New Roman"/>
                <w:sz w:val="24"/>
                <w:szCs w:val="24"/>
              </w:rPr>
              <w:t>Analyses of data are conducted.</w:t>
            </w:r>
          </w:p>
          <w:p w:rsidR="0045145D" w:rsidRPr="00C27182" w:rsidRDefault="0045145D" w:rsidP="002433F5">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sz w:val="24"/>
                <w:szCs w:val="24"/>
              </w:rPr>
            </w:pPr>
            <w:r w:rsidRPr="00C27182">
              <w:rPr>
                <w:rFonts w:ascii="Times New Roman" w:hAnsi="Times New Roman"/>
                <w:sz w:val="24"/>
                <w:szCs w:val="24"/>
              </w:rPr>
              <w:t>Analyses of data are conducted without errors for the type(s) of evidence analyzed.</w:t>
            </w:r>
          </w:p>
        </w:tc>
        <w:tc>
          <w:tcPr>
            <w:tcW w:w="261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sz w:val="24"/>
                <w:szCs w:val="24"/>
              </w:rPr>
            </w:pPr>
            <w:r w:rsidRPr="00C27182">
              <w:rPr>
                <w:rFonts w:ascii="Times New Roman" w:hAnsi="Times New Roman"/>
                <w:sz w:val="24"/>
                <w:szCs w:val="24"/>
              </w:rPr>
              <w:t xml:space="preserve">Analyses of data are conducted sophistically for the type(s) of evidence analyzed. </w:t>
            </w:r>
          </w:p>
        </w:tc>
      </w:tr>
      <w:tr w:rsidR="0045145D" w:rsidRPr="00C27182" w:rsidTr="002433F5">
        <w:tc>
          <w:tcPr>
            <w:tcW w:w="211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b/>
                <w:sz w:val="24"/>
                <w:szCs w:val="24"/>
              </w:rPr>
            </w:pPr>
            <w:r w:rsidRPr="00C27182">
              <w:rPr>
                <w:rFonts w:ascii="Times New Roman" w:hAnsi="Times New Roman"/>
                <w:b/>
                <w:sz w:val="24"/>
                <w:szCs w:val="24"/>
              </w:rPr>
              <w:t>Interpretation</w:t>
            </w:r>
          </w:p>
        </w:tc>
        <w:tc>
          <w:tcPr>
            <w:tcW w:w="2565"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sz w:val="24"/>
                <w:szCs w:val="24"/>
              </w:rPr>
            </w:pPr>
            <w:r w:rsidRPr="00C27182">
              <w:rPr>
                <w:rFonts w:ascii="Times New Roman" w:hAnsi="Times New Roman"/>
                <w:sz w:val="24"/>
                <w:szCs w:val="24"/>
              </w:rPr>
              <w:t xml:space="preserve">No connection between argument and evidence is made or is attempted with significant logical flaws. </w:t>
            </w:r>
          </w:p>
        </w:tc>
        <w:tc>
          <w:tcPr>
            <w:tcW w:w="252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sz w:val="24"/>
                <w:szCs w:val="24"/>
              </w:rPr>
            </w:pPr>
            <w:r w:rsidRPr="00C27182">
              <w:rPr>
                <w:rFonts w:ascii="Times New Roman" w:hAnsi="Times New Roman"/>
                <w:sz w:val="24"/>
                <w:szCs w:val="24"/>
              </w:rPr>
              <w:t>The connection between argument and evidence is not clearly articulated and/or with some logical flaws.</w:t>
            </w:r>
          </w:p>
        </w:tc>
        <w:tc>
          <w:tcPr>
            <w:tcW w:w="252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sz w:val="24"/>
                <w:szCs w:val="24"/>
              </w:rPr>
            </w:pPr>
            <w:r w:rsidRPr="00C27182">
              <w:rPr>
                <w:rFonts w:ascii="Times New Roman" w:hAnsi="Times New Roman"/>
                <w:sz w:val="24"/>
                <w:szCs w:val="24"/>
              </w:rPr>
              <w:t xml:space="preserve">The connection between argument and evidence is articulated logically and clearly. </w:t>
            </w:r>
          </w:p>
        </w:tc>
        <w:tc>
          <w:tcPr>
            <w:tcW w:w="2610" w:type="dxa"/>
            <w:tcBorders>
              <w:top w:val="single" w:sz="4" w:space="0" w:color="auto"/>
              <w:left w:val="single" w:sz="4" w:space="0" w:color="auto"/>
              <w:bottom w:val="single" w:sz="4" w:space="0" w:color="auto"/>
              <w:right w:val="single" w:sz="4" w:space="0" w:color="auto"/>
            </w:tcBorders>
            <w:hideMark/>
          </w:tcPr>
          <w:p w:rsidR="0045145D" w:rsidRPr="00C27182" w:rsidRDefault="0045145D" w:rsidP="002433F5">
            <w:pPr>
              <w:spacing w:after="0" w:line="240" w:lineRule="auto"/>
              <w:rPr>
                <w:rFonts w:ascii="Times New Roman" w:hAnsi="Times New Roman"/>
                <w:sz w:val="24"/>
                <w:szCs w:val="24"/>
              </w:rPr>
            </w:pPr>
            <w:r w:rsidRPr="00C27182">
              <w:rPr>
                <w:rFonts w:ascii="Times New Roman" w:hAnsi="Times New Roman"/>
                <w:sz w:val="24"/>
                <w:szCs w:val="24"/>
              </w:rPr>
              <w:t>The connection between argument and evidence is articulated logically, clearly and compellingly.</w:t>
            </w:r>
          </w:p>
        </w:tc>
      </w:tr>
    </w:tbl>
    <w:p w:rsidR="00E67E44" w:rsidRPr="00C27182" w:rsidRDefault="00E67E44" w:rsidP="00E67E44">
      <w:pPr>
        <w:ind w:firstLine="720"/>
        <w:rPr>
          <w:rFonts w:ascii="Times New Roman" w:hAnsi="Times New Roman"/>
          <w:sz w:val="24"/>
          <w:szCs w:val="24"/>
        </w:rPr>
      </w:pPr>
    </w:p>
    <w:p w:rsidR="009054F3" w:rsidRPr="00C27182" w:rsidRDefault="00AF113D" w:rsidP="00C063C6">
      <w:pPr>
        <w:spacing w:line="360" w:lineRule="auto"/>
        <w:ind w:firstLine="720"/>
        <w:rPr>
          <w:rFonts w:ascii="Times New Roman" w:hAnsi="Times New Roman"/>
          <w:sz w:val="24"/>
          <w:szCs w:val="24"/>
        </w:rPr>
      </w:pPr>
      <w:r w:rsidRPr="00C27182">
        <w:rPr>
          <w:rFonts w:ascii="Times New Roman" w:hAnsi="Times New Roman"/>
          <w:sz w:val="24"/>
          <w:szCs w:val="24"/>
        </w:rPr>
        <w:t xml:space="preserve">Digital version of the </w:t>
      </w:r>
      <w:r w:rsidR="007534FC">
        <w:rPr>
          <w:rFonts w:ascii="Times New Roman" w:hAnsi="Times New Roman"/>
          <w:sz w:val="24"/>
          <w:szCs w:val="24"/>
        </w:rPr>
        <w:t xml:space="preserve">signature assignments </w:t>
      </w:r>
      <w:r w:rsidRPr="00C27182">
        <w:rPr>
          <w:rFonts w:ascii="Times New Roman" w:hAnsi="Times New Roman"/>
          <w:sz w:val="24"/>
          <w:szCs w:val="24"/>
        </w:rPr>
        <w:t xml:space="preserve">from each course was collected at the beginning of </w:t>
      </w:r>
      <w:proofErr w:type="gramStart"/>
      <w:r w:rsidRPr="00C27182">
        <w:rPr>
          <w:rFonts w:ascii="Times New Roman" w:hAnsi="Times New Roman"/>
          <w:sz w:val="24"/>
          <w:szCs w:val="24"/>
        </w:rPr>
        <w:t>Spring</w:t>
      </w:r>
      <w:proofErr w:type="gramEnd"/>
      <w:r w:rsidRPr="00C27182">
        <w:rPr>
          <w:rFonts w:ascii="Times New Roman" w:hAnsi="Times New Roman"/>
          <w:sz w:val="24"/>
          <w:szCs w:val="24"/>
        </w:rPr>
        <w:t xml:space="preserve"> 2019. Instructor of each course removed all identifiable student information prior to submitting the </w:t>
      </w:r>
      <w:r w:rsidR="007534FC">
        <w:rPr>
          <w:rFonts w:ascii="Times New Roman" w:hAnsi="Times New Roman"/>
          <w:sz w:val="24"/>
          <w:szCs w:val="24"/>
        </w:rPr>
        <w:t xml:space="preserve">assignments to the </w:t>
      </w:r>
      <w:r w:rsidRPr="00C27182">
        <w:rPr>
          <w:rFonts w:ascii="Times New Roman" w:hAnsi="Times New Roman"/>
          <w:sz w:val="24"/>
          <w:szCs w:val="24"/>
        </w:rPr>
        <w:t>committee chair. The committee chair then verified and organized the files into folder</w:t>
      </w:r>
      <w:r w:rsidR="007534FC">
        <w:rPr>
          <w:rFonts w:ascii="Times New Roman" w:hAnsi="Times New Roman"/>
          <w:sz w:val="24"/>
          <w:szCs w:val="24"/>
        </w:rPr>
        <w:t>s</w:t>
      </w:r>
      <w:r w:rsidRPr="00C27182">
        <w:rPr>
          <w:rFonts w:ascii="Times New Roman" w:hAnsi="Times New Roman"/>
          <w:sz w:val="24"/>
          <w:szCs w:val="24"/>
        </w:rPr>
        <w:t xml:space="preserve"> and distributed securely to committee members. All assess</w:t>
      </w:r>
      <w:r w:rsidR="00CB4D1A" w:rsidRPr="00C27182">
        <w:rPr>
          <w:rFonts w:ascii="Times New Roman" w:hAnsi="Times New Roman"/>
          <w:sz w:val="24"/>
          <w:szCs w:val="24"/>
        </w:rPr>
        <w:t xml:space="preserve">ment </w:t>
      </w:r>
      <w:r w:rsidRPr="00C27182">
        <w:rPr>
          <w:rFonts w:ascii="Times New Roman" w:hAnsi="Times New Roman"/>
          <w:sz w:val="24"/>
          <w:szCs w:val="24"/>
        </w:rPr>
        <w:t>activities were</w:t>
      </w:r>
      <w:r w:rsidR="00CB4D1A" w:rsidRPr="00C27182">
        <w:rPr>
          <w:rFonts w:ascii="Times New Roman" w:hAnsi="Times New Roman"/>
          <w:sz w:val="24"/>
          <w:szCs w:val="24"/>
        </w:rPr>
        <w:t xml:space="preserve"> completed by the end of March 2019</w:t>
      </w:r>
      <w:r w:rsidRPr="00C27182">
        <w:rPr>
          <w:rFonts w:ascii="Times New Roman" w:hAnsi="Times New Roman"/>
          <w:sz w:val="24"/>
          <w:szCs w:val="24"/>
        </w:rPr>
        <w:t xml:space="preserve"> and results were collected by the committee chair</w:t>
      </w:r>
      <w:r w:rsidR="00CB4D1A" w:rsidRPr="00C27182">
        <w:rPr>
          <w:rFonts w:ascii="Times New Roman" w:hAnsi="Times New Roman"/>
          <w:sz w:val="24"/>
          <w:szCs w:val="24"/>
        </w:rPr>
        <w:t xml:space="preserve">. </w:t>
      </w:r>
      <w:r w:rsidR="005E14A5">
        <w:rPr>
          <w:rFonts w:ascii="Times New Roman" w:hAnsi="Times New Roman"/>
          <w:sz w:val="24"/>
          <w:szCs w:val="24"/>
        </w:rPr>
        <w:t xml:space="preserve"> </w:t>
      </w:r>
    </w:p>
    <w:p w:rsidR="00C27182" w:rsidRPr="00A85BA9" w:rsidRDefault="00E67E44" w:rsidP="00A85BA9">
      <w:pPr>
        <w:pStyle w:val="Heading2"/>
        <w:rPr>
          <w:rFonts w:ascii="Times New Roman" w:hAnsi="Times New Roman" w:cs="Times New Roman"/>
          <w:b/>
          <w:color w:val="auto"/>
          <w:sz w:val="24"/>
        </w:rPr>
      </w:pPr>
      <w:r w:rsidRPr="00A85BA9">
        <w:rPr>
          <w:rFonts w:ascii="Times New Roman" w:hAnsi="Times New Roman" w:cs="Times New Roman"/>
          <w:b/>
          <w:color w:val="auto"/>
          <w:sz w:val="24"/>
        </w:rPr>
        <w:lastRenderedPageBreak/>
        <w:t>C. Results &amp; Interpretations</w:t>
      </w:r>
    </w:p>
    <w:p w:rsidR="009054F3" w:rsidRPr="009054F3" w:rsidRDefault="009054F3" w:rsidP="009054F3">
      <w:pPr>
        <w:spacing w:line="360" w:lineRule="auto"/>
        <w:ind w:firstLine="720"/>
        <w:rPr>
          <w:rFonts w:ascii="Times New Roman" w:hAnsi="Times New Roman"/>
          <w:sz w:val="24"/>
          <w:szCs w:val="24"/>
        </w:rPr>
      </w:pPr>
      <w:r w:rsidRPr="009054F3">
        <w:rPr>
          <w:rFonts w:ascii="Times New Roman" w:hAnsi="Times New Roman"/>
          <w:sz w:val="24"/>
          <w:szCs w:val="24"/>
        </w:rPr>
        <w:t xml:space="preserve">Below are the </w:t>
      </w:r>
      <w:r w:rsidR="00D60E14">
        <w:rPr>
          <w:rFonts w:ascii="Times New Roman" w:hAnsi="Times New Roman"/>
          <w:sz w:val="24"/>
          <w:szCs w:val="24"/>
        </w:rPr>
        <w:t xml:space="preserve">tabulated </w:t>
      </w:r>
      <w:r w:rsidRPr="009054F3">
        <w:rPr>
          <w:rFonts w:ascii="Times New Roman" w:hAnsi="Times New Roman"/>
          <w:sz w:val="24"/>
          <w:szCs w:val="24"/>
        </w:rPr>
        <w:t xml:space="preserve">results </w:t>
      </w:r>
      <w:r w:rsidR="00D60E14">
        <w:rPr>
          <w:rFonts w:ascii="Times New Roman" w:hAnsi="Times New Roman"/>
          <w:sz w:val="24"/>
          <w:szCs w:val="24"/>
        </w:rPr>
        <w:t xml:space="preserve">(number of students; %) </w:t>
      </w:r>
      <w:r w:rsidRPr="009054F3">
        <w:rPr>
          <w:rFonts w:ascii="Times New Roman" w:hAnsi="Times New Roman"/>
          <w:sz w:val="24"/>
          <w:szCs w:val="24"/>
        </w:rPr>
        <w:t>of assessment for each course.</w:t>
      </w:r>
    </w:p>
    <w:p w:rsidR="00C27182" w:rsidRPr="009054F3" w:rsidRDefault="009054F3" w:rsidP="009054F3">
      <w:pPr>
        <w:spacing w:line="360" w:lineRule="auto"/>
        <w:rPr>
          <w:rFonts w:ascii="Times New Roman" w:hAnsi="Times New Roman"/>
          <w:b/>
          <w:sz w:val="24"/>
          <w:szCs w:val="24"/>
        </w:rPr>
      </w:pPr>
      <w:r w:rsidRPr="009054F3">
        <w:rPr>
          <w:rFonts w:ascii="Times New Roman" w:hAnsi="Times New Roman"/>
          <w:b/>
          <w:sz w:val="24"/>
          <w:szCs w:val="24"/>
        </w:rPr>
        <w:t>ANTH 490C (Seminar in Cultural Anthropology: Anthropology of Tourism)</w:t>
      </w:r>
    </w:p>
    <w:tbl>
      <w:tblPr>
        <w:tblW w:w="9936" w:type="dxa"/>
        <w:tblCellMar>
          <w:left w:w="0" w:type="dxa"/>
          <w:right w:w="0" w:type="dxa"/>
        </w:tblCellMar>
        <w:tblLook w:val="04A0" w:firstRow="1" w:lastRow="0" w:firstColumn="1" w:lastColumn="0" w:noHBand="0" w:noVBand="1"/>
      </w:tblPr>
      <w:tblGrid>
        <w:gridCol w:w="2060"/>
        <w:gridCol w:w="1951"/>
        <w:gridCol w:w="1994"/>
        <w:gridCol w:w="1917"/>
        <w:gridCol w:w="2014"/>
      </w:tblGrid>
      <w:tr w:rsidR="009054F3" w:rsidRPr="009054F3" w:rsidTr="005E14A5">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4F3" w:rsidRPr="009054F3" w:rsidRDefault="005E14A5" w:rsidP="00CF0EA6">
            <w:pPr>
              <w:pStyle w:val="NormalWeb"/>
            </w:pPr>
            <w:r>
              <w:rPr>
                <w:b/>
                <w:bCs/>
              </w:rPr>
              <w:t xml:space="preserve"># of students= </w:t>
            </w:r>
            <w:r w:rsidR="00AE0CA0">
              <w:rPr>
                <w:b/>
                <w:bCs/>
              </w:rPr>
              <w:t>27</w:t>
            </w:r>
          </w:p>
        </w:tc>
        <w:tc>
          <w:tcPr>
            <w:tcW w:w="1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center"/>
            </w:pPr>
            <w:r w:rsidRPr="009054F3">
              <w:rPr>
                <w:bCs/>
              </w:rPr>
              <w:t>1. Unsatisfactory</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center"/>
            </w:pPr>
            <w:r w:rsidRPr="009054F3">
              <w:rPr>
                <w:bCs/>
              </w:rPr>
              <w:t>2. Developing</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center"/>
            </w:pPr>
            <w:r w:rsidRPr="009054F3">
              <w:rPr>
                <w:bCs/>
              </w:rPr>
              <w:t>3. Proficient</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center"/>
            </w:pPr>
            <w:r w:rsidRPr="009054F3">
              <w:rPr>
                <w:bCs/>
              </w:rPr>
              <w:t>4. Exemplary</w:t>
            </w:r>
          </w:p>
        </w:tc>
      </w:tr>
      <w:tr w:rsidR="009054F3"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4F3" w:rsidRPr="009054F3" w:rsidRDefault="009054F3" w:rsidP="00CF0EA6">
            <w:pPr>
              <w:pStyle w:val="NormalWeb"/>
            </w:pPr>
            <w:r w:rsidRPr="009054F3">
              <w:rPr>
                <w:bCs/>
              </w:rPr>
              <w:t>Analysis</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right"/>
            </w:pPr>
            <w:r w:rsidRPr="009054F3">
              <w:t>1</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right"/>
            </w:pPr>
            <w:r w:rsidRPr="009054F3">
              <w:t>9</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right"/>
            </w:pPr>
            <w:r w:rsidRPr="009054F3">
              <w:t>6</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right"/>
            </w:pPr>
            <w:r w:rsidRPr="009054F3">
              <w:t>1</w:t>
            </w:r>
          </w:p>
        </w:tc>
      </w:tr>
      <w:tr w:rsidR="009054F3"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4F3" w:rsidRPr="009054F3" w:rsidRDefault="009054F3" w:rsidP="00CF0EA6">
            <w:pPr>
              <w:pStyle w:val="NormalWeb"/>
            </w:pPr>
            <w:r w:rsidRPr="009054F3">
              <w:rPr>
                <w:bCs/>
              </w:rPr>
              <w:t>Interpretation</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right"/>
            </w:pPr>
            <w:r w:rsidRPr="009054F3">
              <w:t>1</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right"/>
            </w:pPr>
            <w:r w:rsidRPr="009054F3">
              <w:t>7</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right"/>
            </w:pPr>
            <w:r w:rsidRPr="009054F3">
              <w:t>6</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9054F3" w:rsidRPr="009054F3" w:rsidRDefault="009054F3" w:rsidP="00D60E14">
            <w:pPr>
              <w:pStyle w:val="NormalWeb"/>
              <w:jc w:val="right"/>
            </w:pPr>
            <w:r w:rsidRPr="009054F3">
              <w:t>3</w:t>
            </w:r>
          </w:p>
        </w:tc>
      </w:tr>
    </w:tbl>
    <w:p w:rsidR="00AC1AAA" w:rsidRDefault="00AC1AAA" w:rsidP="00D60E14">
      <w:pPr>
        <w:spacing w:after="120" w:line="240" w:lineRule="auto"/>
        <w:rPr>
          <w:rFonts w:ascii="Times New Roman" w:hAnsi="Times New Roman"/>
          <w:b/>
          <w:sz w:val="24"/>
          <w:szCs w:val="24"/>
        </w:rPr>
      </w:pPr>
    </w:p>
    <w:tbl>
      <w:tblPr>
        <w:tblW w:w="0" w:type="auto"/>
        <w:tblCellMar>
          <w:left w:w="0" w:type="dxa"/>
          <w:right w:w="0" w:type="dxa"/>
        </w:tblCellMar>
        <w:tblLook w:val="04A0" w:firstRow="1" w:lastRow="0" w:firstColumn="1" w:lastColumn="0" w:noHBand="0" w:noVBand="1"/>
      </w:tblPr>
      <w:tblGrid>
        <w:gridCol w:w="2060"/>
        <w:gridCol w:w="1931"/>
        <w:gridCol w:w="1994"/>
        <w:gridCol w:w="1917"/>
        <w:gridCol w:w="2014"/>
      </w:tblGrid>
      <w:tr w:rsidR="00D60E14" w:rsidRPr="009054F3" w:rsidTr="005E14A5">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pStyle w:val="NormalWeb"/>
            </w:pPr>
            <w:r>
              <w:rPr>
                <w:b/>
                <w:bCs/>
              </w:rPr>
              <w:t>%</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center"/>
            </w:pPr>
            <w:r w:rsidRPr="009054F3">
              <w:rPr>
                <w:bCs/>
              </w:rPr>
              <w:t>1. Unsatisfactory</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center"/>
            </w:pPr>
            <w:r w:rsidRPr="009054F3">
              <w:rPr>
                <w:bCs/>
              </w:rPr>
              <w:t>2. Developing</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center"/>
            </w:pPr>
            <w:r w:rsidRPr="009054F3">
              <w:rPr>
                <w:bCs/>
              </w:rPr>
              <w:t>3. Proficient</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center"/>
            </w:pPr>
            <w:r w:rsidRPr="009054F3">
              <w:rPr>
                <w:bCs/>
              </w:rPr>
              <w:t>4. Exemplary</w:t>
            </w:r>
          </w:p>
        </w:tc>
      </w:tr>
      <w:tr w:rsidR="00D60E14"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pStyle w:val="NormalWeb"/>
            </w:pPr>
            <w:r w:rsidRPr="009054F3">
              <w:rPr>
                <w:bCs/>
              </w:rPr>
              <w:t>Analysis</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3.7</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33.3</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22.2</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3.7</w:t>
            </w:r>
          </w:p>
        </w:tc>
      </w:tr>
      <w:tr w:rsidR="00D60E14"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pStyle w:val="NormalWeb"/>
            </w:pPr>
            <w:r w:rsidRPr="009054F3">
              <w:rPr>
                <w:bCs/>
              </w:rPr>
              <w:t>Interpretation</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3.7</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25.9</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22.2</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11.1</w:t>
            </w:r>
          </w:p>
        </w:tc>
      </w:tr>
    </w:tbl>
    <w:p w:rsidR="00D60E14" w:rsidRDefault="00D60E14" w:rsidP="009054F3">
      <w:pPr>
        <w:spacing w:line="360" w:lineRule="auto"/>
        <w:rPr>
          <w:rFonts w:ascii="Times New Roman" w:hAnsi="Times New Roman"/>
          <w:b/>
          <w:sz w:val="24"/>
          <w:szCs w:val="24"/>
        </w:rPr>
      </w:pPr>
    </w:p>
    <w:p w:rsidR="00C27182" w:rsidRPr="009054F3" w:rsidRDefault="009054F3" w:rsidP="009054F3">
      <w:pPr>
        <w:spacing w:line="360" w:lineRule="auto"/>
        <w:rPr>
          <w:rFonts w:ascii="Times New Roman" w:hAnsi="Times New Roman"/>
          <w:sz w:val="24"/>
          <w:szCs w:val="24"/>
        </w:rPr>
      </w:pPr>
      <w:r w:rsidRPr="009054F3">
        <w:rPr>
          <w:rFonts w:ascii="Times New Roman" w:hAnsi="Times New Roman"/>
          <w:b/>
          <w:sz w:val="24"/>
          <w:szCs w:val="24"/>
        </w:rPr>
        <w:t>ANTH 426 (Old World Archaeology)</w:t>
      </w:r>
    </w:p>
    <w:tbl>
      <w:tblPr>
        <w:tblW w:w="0" w:type="auto"/>
        <w:tblCellMar>
          <w:left w:w="0" w:type="dxa"/>
          <w:right w:w="0" w:type="dxa"/>
        </w:tblCellMar>
        <w:tblLook w:val="04A0" w:firstRow="1" w:lastRow="0" w:firstColumn="1" w:lastColumn="0" w:noHBand="0" w:noVBand="1"/>
      </w:tblPr>
      <w:tblGrid>
        <w:gridCol w:w="2060"/>
        <w:gridCol w:w="1931"/>
        <w:gridCol w:w="1994"/>
        <w:gridCol w:w="1917"/>
        <w:gridCol w:w="2014"/>
      </w:tblGrid>
      <w:tr w:rsidR="00C27182" w:rsidRPr="009054F3" w:rsidTr="005E14A5">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7182" w:rsidRPr="009054F3" w:rsidRDefault="005E14A5">
            <w:pPr>
              <w:pStyle w:val="NormalWeb"/>
            </w:pPr>
            <w:r>
              <w:rPr>
                <w:b/>
                <w:bCs/>
              </w:rPr>
              <w:t># of students</w:t>
            </w:r>
            <w:r w:rsidR="00D60E14">
              <w:rPr>
                <w:b/>
                <w:bCs/>
              </w:rPr>
              <w:t>=</w:t>
            </w:r>
            <w:r>
              <w:rPr>
                <w:b/>
                <w:bCs/>
              </w:rPr>
              <w:t xml:space="preserve"> </w:t>
            </w:r>
            <w:r w:rsidR="00AE0CA0">
              <w:rPr>
                <w:b/>
                <w:bCs/>
              </w:rPr>
              <w:t>28</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center"/>
            </w:pPr>
            <w:r w:rsidRPr="009054F3">
              <w:rPr>
                <w:bCs/>
              </w:rPr>
              <w:t>1. Unsatisfactory</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center"/>
            </w:pPr>
            <w:r w:rsidRPr="009054F3">
              <w:rPr>
                <w:bCs/>
              </w:rPr>
              <w:t>2. Developing</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center"/>
            </w:pPr>
            <w:r w:rsidRPr="009054F3">
              <w:rPr>
                <w:bCs/>
              </w:rPr>
              <w:t>3. Proficient</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center"/>
            </w:pPr>
            <w:r w:rsidRPr="009054F3">
              <w:rPr>
                <w:bCs/>
              </w:rPr>
              <w:t>4. Exemplary</w:t>
            </w:r>
          </w:p>
        </w:tc>
      </w:tr>
      <w:tr w:rsidR="00C27182"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182" w:rsidRPr="009054F3" w:rsidRDefault="00C27182">
            <w:pPr>
              <w:pStyle w:val="NormalWeb"/>
            </w:pPr>
            <w:r w:rsidRPr="009054F3">
              <w:rPr>
                <w:bCs/>
              </w:rPr>
              <w:t>Analysis</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right"/>
            </w:pPr>
            <w:r w:rsidRPr="009054F3">
              <w:t>2</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right"/>
            </w:pPr>
            <w:r w:rsidRPr="009054F3">
              <w:t>9</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right"/>
            </w:pPr>
            <w:r w:rsidRPr="009054F3">
              <w:t>9</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right"/>
            </w:pPr>
            <w:r w:rsidRPr="009054F3">
              <w:t>8</w:t>
            </w:r>
          </w:p>
        </w:tc>
      </w:tr>
      <w:tr w:rsidR="00C27182"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182" w:rsidRPr="009054F3" w:rsidRDefault="00C27182">
            <w:pPr>
              <w:pStyle w:val="NormalWeb"/>
            </w:pPr>
            <w:r w:rsidRPr="009054F3">
              <w:rPr>
                <w:bCs/>
              </w:rPr>
              <w:t>Interpretation</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right"/>
            </w:pPr>
            <w:r w:rsidRPr="009054F3">
              <w:t>3</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right"/>
            </w:pPr>
            <w:r w:rsidRPr="009054F3">
              <w:t>12</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right"/>
            </w:pPr>
            <w:r w:rsidRPr="009054F3">
              <w:t>9</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pStyle w:val="NormalWeb"/>
              <w:jc w:val="right"/>
            </w:pPr>
            <w:r w:rsidRPr="009054F3">
              <w:t>4</w:t>
            </w:r>
          </w:p>
        </w:tc>
      </w:tr>
    </w:tbl>
    <w:p w:rsidR="009054F3" w:rsidRDefault="009054F3" w:rsidP="00D60E14">
      <w:pPr>
        <w:spacing w:after="120" w:line="240" w:lineRule="auto"/>
        <w:rPr>
          <w:rFonts w:ascii="Times New Roman" w:hAnsi="Times New Roman"/>
          <w:b/>
          <w:sz w:val="24"/>
          <w:szCs w:val="24"/>
        </w:rPr>
      </w:pPr>
    </w:p>
    <w:tbl>
      <w:tblPr>
        <w:tblW w:w="0" w:type="auto"/>
        <w:tblCellMar>
          <w:left w:w="0" w:type="dxa"/>
          <w:right w:w="0" w:type="dxa"/>
        </w:tblCellMar>
        <w:tblLook w:val="04A0" w:firstRow="1" w:lastRow="0" w:firstColumn="1" w:lastColumn="0" w:noHBand="0" w:noVBand="1"/>
      </w:tblPr>
      <w:tblGrid>
        <w:gridCol w:w="2060"/>
        <w:gridCol w:w="1931"/>
        <w:gridCol w:w="1994"/>
        <w:gridCol w:w="1917"/>
        <w:gridCol w:w="2014"/>
      </w:tblGrid>
      <w:tr w:rsidR="00D60E14" w:rsidRPr="009054F3" w:rsidTr="005E14A5">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pStyle w:val="NormalWeb"/>
            </w:pPr>
            <w:r w:rsidRPr="009054F3">
              <w:rPr>
                <w:b/>
                <w:bCs/>
              </w:rPr>
              <w:t> </w:t>
            </w:r>
            <w:r>
              <w:rPr>
                <w:b/>
                <w:bCs/>
              </w:rPr>
              <w:t>%</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center"/>
            </w:pPr>
            <w:r w:rsidRPr="009054F3">
              <w:rPr>
                <w:bCs/>
              </w:rPr>
              <w:t>1. Unsatisfactory</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center"/>
            </w:pPr>
            <w:r w:rsidRPr="009054F3">
              <w:rPr>
                <w:bCs/>
              </w:rPr>
              <w:t>2. Developing</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center"/>
            </w:pPr>
            <w:r w:rsidRPr="009054F3">
              <w:rPr>
                <w:bCs/>
              </w:rPr>
              <w:t>3. Proficient</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center"/>
            </w:pPr>
            <w:r w:rsidRPr="009054F3">
              <w:rPr>
                <w:bCs/>
              </w:rPr>
              <w:t>4. Exemplary</w:t>
            </w:r>
          </w:p>
        </w:tc>
      </w:tr>
      <w:tr w:rsidR="00D60E14"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pStyle w:val="NormalWeb"/>
            </w:pPr>
            <w:r w:rsidRPr="009054F3">
              <w:rPr>
                <w:bCs/>
              </w:rPr>
              <w:t>Analysis</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7.1</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32.1</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32.1</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28.6</w:t>
            </w:r>
          </w:p>
        </w:tc>
      </w:tr>
      <w:tr w:rsidR="00D60E14"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pStyle w:val="NormalWeb"/>
            </w:pPr>
            <w:r w:rsidRPr="009054F3">
              <w:rPr>
                <w:bCs/>
              </w:rPr>
              <w:t>Interpretation</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10.7</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42.9</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32.1</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pStyle w:val="NormalWeb"/>
              <w:jc w:val="right"/>
            </w:pPr>
            <w:r>
              <w:t>14.3</w:t>
            </w:r>
          </w:p>
        </w:tc>
      </w:tr>
    </w:tbl>
    <w:p w:rsidR="00D60E14" w:rsidRPr="009054F3" w:rsidRDefault="00D60E14" w:rsidP="009054F3">
      <w:pPr>
        <w:spacing w:line="360" w:lineRule="auto"/>
        <w:rPr>
          <w:rFonts w:ascii="Times New Roman" w:hAnsi="Times New Roman"/>
          <w:b/>
          <w:sz w:val="24"/>
          <w:szCs w:val="24"/>
        </w:rPr>
      </w:pPr>
    </w:p>
    <w:p w:rsidR="00C27182" w:rsidRPr="009054F3" w:rsidRDefault="009054F3" w:rsidP="009054F3">
      <w:pPr>
        <w:spacing w:line="360" w:lineRule="auto"/>
        <w:rPr>
          <w:rFonts w:ascii="Times New Roman" w:hAnsi="Times New Roman"/>
          <w:sz w:val="24"/>
          <w:szCs w:val="24"/>
        </w:rPr>
      </w:pPr>
      <w:r w:rsidRPr="009054F3">
        <w:rPr>
          <w:rFonts w:ascii="Times New Roman" w:hAnsi="Times New Roman"/>
          <w:b/>
          <w:sz w:val="24"/>
          <w:szCs w:val="24"/>
        </w:rPr>
        <w:t>ANTH 440 (Bioarchaeology)</w:t>
      </w:r>
    </w:p>
    <w:tbl>
      <w:tblPr>
        <w:tblW w:w="0" w:type="auto"/>
        <w:tblCellMar>
          <w:left w:w="0" w:type="dxa"/>
          <w:right w:w="0" w:type="dxa"/>
        </w:tblCellMar>
        <w:tblLook w:val="04A0" w:firstRow="1" w:lastRow="0" w:firstColumn="1" w:lastColumn="0" w:noHBand="0" w:noVBand="1"/>
      </w:tblPr>
      <w:tblGrid>
        <w:gridCol w:w="2060"/>
        <w:gridCol w:w="1931"/>
        <w:gridCol w:w="1994"/>
        <w:gridCol w:w="1917"/>
        <w:gridCol w:w="2014"/>
      </w:tblGrid>
      <w:tr w:rsidR="00C27182" w:rsidRPr="009054F3" w:rsidTr="005E14A5">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7182" w:rsidRPr="00D60E14" w:rsidRDefault="005E14A5" w:rsidP="005E14A5">
            <w:pPr>
              <w:spacing w:before="100" w:beforeAutospacing="1" w:after="100" w:afterAutospacing="1"/>
              <w:rPr>
                <w:rFonts w:ascii="Times New Roman" w:eastAsiaTheme="minorEastAsia" w:hAnsi="Times New Roman"/>
                <w:b/>
                <w:sz w:val="24"/>
                <w:szCs w:val="24"/>
              </w:rPr>
            </w:pPr>
            <w:r>
              <w:rPr>
                <w:rFonts w:ascii="Times New Roman" w:hAnsi="Times New Roman"/>
                <w:b/>
                <w:bCs/>
                <w:sz w:val="24"/>
                <w:szCs w:val="24"/>
              </w:rPr>
              <w:t># of students</w:t>
            </w:r>
            <w:r w:rsidR="00D60E14" w:rsidRPr="00D60E14">
              <w:rPr>
                <w:rFonts w:ascii="Times New Roman" w:hAnsi="Times New Roman"/>
                <w:b/>
                <w:bCs/>
                <w:sz w:val="24"/>
                <w:szCs w:val="24"/>
              </w:rPr>
              <w:t>=</w:t>
            </w:r>
            <w:r>
              <w:rPr>
                <w:rFonts w:ascii="Times New Roman" w:hAnsi="Times New Roman"/>
                <w:b/>
                <w:bCs/>
                <w:sz w:val="24"/>
                <w:szCs w:val="24"/>
              </w:rPr>
              <w:t xml:space="preserve"> </w:t>
            </w:r>
            <w:r w:rsidR="00AE0CA0">
              <w:rPr>
                <w:rFonts w:ascii="Times New Roman" w:hAnsi="Times New Roman"/>
                <w:b/>
                <w:bCs/>
                <w:sz w:val="24"/>
                <w:szCs w:val="24"/>
              </w:rPr>
              <w:t>7</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center"/>
              <w:rPr>
                <w:rFonts w:ascii="Times New Roman" w:hAnsi="Times New Roman"/>
                <w:sz w:val="24"/>
                <w:szCs w:val="24"/>
              </w:rPr>
            </w:pPr>
            <w:r w:rsidRPr="009054F3">
              <w:rPr>
                <w:rFonts w:ascii="Times New Roman" w:hAnsi="Times New Roman"/>
                <w:bCs/>
                <w:sz w:val="24"/>
                <w:szCs w:val="24"/>
              </w:rPr>
              <w:t>1. Unsatisfactory</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center"/>
              <w:rPr>
                <w:rFonts w:ascii="Times New Roman" w:hAnsi="Times New Roman"/>
                <w:sz w:val="24"/>
                <w:szCs w:val="24"/>
              </w:rPr>
            </w:pPr>
            <w:r w:rsidRPr="009054F3">
              <w:rPr>
                <w:rFonts w:ascii="Times New Roman" w:hAnsi="Times New Roman"/>
                <w:bCs/>
                <w:sz w:val="24"/>
                <w:szCs w:val="24"/>
              </w:rPr>
              <w:t>2. Developing</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center"/>
              <w:rPr>
                <w:rFonts w:ascii="Times New Roman" w:hAnsi="Times New Roman"/>
                <w:sz w:val="24"/>
                <w:szCs w:val="24"/>
              </w:rPr>
            </w:pPr>
            <w:r w:rsidRPr="009054F3">
              <w:rPr>
                <w:rFonts w:ascii="Times New Roman" w:hAnsi="Times New Roman"/>
                <w:bCs/>
                <w:sz w:val="24"/>
                <w:szCs w:val="24"/>
              </w:rPr>
              <w:t>3. Proficient</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center"/>
              <w:rPr>
                <w:rFonts w:ascii="Times New Roman" w:hAnsi="Times New Roman"/>
                <w:sz w:val="24"/>
                <w:szCs w:val="24"/>
              </w:rPr>
            </w:pPr>
            <w:r w:rsidRPr="009054F3">
              <w:rPr>
                <w:rFonts w:ascii="Times New Roman" w:hAnsi="Times New Roman"/>
                <w:bCs/>
                <w:sz w:val="24"/>
                <w:szCs w:val="24"/>
              </w:rPr>
              <w:t>4. Exemplary</w:t>
            </w:r>
          </w:p>
        </w:tc>
      </w:tr>
      <w:tr w:rsidR="00C27182"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182" w:rsidRPr="009054F3" w:rsidRDefault="00C27182">
            <w:pPr>
              <w:spacing w:before="100" w:beforeAutospacing="1" w:after="100" w:afterAutospacing="1"/>
              <w:rPr>
                <w:rFonts w:ascii="Times New Roman" w:hAnsi="Times New Roman"/>
                <w:sz w:val="24"/>
                <w:szCs w:val="24"/>
              </w:rPr>
            </w:pPr>
            <w:r w:rsidRPr="009054F3">
              <w:rPr>
                <w:rFonts w:ascii="Times New Roman" w:hAnsi="Times New Roman"/>
                <w:bCs/>
                <w:sz w:val="24"/>
                <w:szCs w:val="24"/>
              </w:rPr>
              <w:t>Analysis</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0</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4</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3</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0</w:t>
            </w:r>
          </w:p>
        </w:tc>
      </w:tr>
      <w:tr w:rsidR="00C27182"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7182" w:rsidRPr="009054F3" w:rsidRDefault="00C27182">
            <w:pPr>
              <w:spacing w:before="100" w:beforeAutospacing="1" w:after="100" w:afterAutospacing="1"/>
              <w:rPr>
                <w:rFonts w:ascii="Times New Roman" w:hAnsi="Times New Roman"/>
                <w:sz w:val="24"/>
                <w:szCs w:val="24"/>
              </w:rPr>
            </w:pPr>
            <w:r w:rsidRPr="009054F3">
              <w:rPr>
                <w:rFonts w:ascii="Times New Roman" w:hAnsi="Times New Roman"/>
                <w:bCs/>
                <w:sz w:val="24"/>
                <w:szCs w:val="24"/>
              </w:rPr>
              <w:t>Interpretation</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2</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4</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0</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C27182" w:rsidRPr="009054F3" w:rsidRDefault="00C27182"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1</w:t>
            </w:r>
          </w:p>
        </w:tc>
      </w:tr>
    </w:tbl>
    <w:p w:rsidR="00C27182" w:rsidRDefault="00C27182" w:rsidP="00D60E14">
      <w:pPr>
        <w:spacing w:after="120" w:line="240" w:lineRule="auto"/>
        <w:rPr>
          <w:rFonts w:ascii="Times New Roman" w:hAnsi="Times New Roman"/>
          <w:b/>
          <w:sz w:val="24"/>
          <w:szCs w:val="24"/>
        </w:rPr>
      </w:pPr>
    </w:p>
    <w:tbl>
      <w:tblPr>
        <w:tblW w:w="0" w:type="auto"/>
        <w:tblCellMar>
          <w:left w:w="0" w:type="dxa"/>
          <w:right w:w="0" w:type="dxa"/>
        </w:tblCellMar>
        <w:tblLook w:val="04A0" w:firstRow="1" w:lastRow="0" w:firstColumn="1" w:lastColumn="0" w:noHBand="0" w:noVBand="1"/>
      </w:tblPr>
      <w:tblGrid>
        <w:gridCol w:w="2060"/>
        <w:gridCol w:w="1931"/>
        <w:gridCol w:w="1994"/>
        <w:gridCol w:w="1917"/>
        <w:gridCol w:w="2014"/>
      </w:tblGrid>
      <w:tr w:rsidR="00D60E14" w:rsidRPr="009054F3" w:rsidTr="005E14A5">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0E14" w:rsidRPr="00D60E14" w:rsidRDefault="00D60E14" w:rsidP="00D60E14">
            <w:pPr>
              <w:spacing w:before="100" w:beforeAutospacing="1" w:after="100" w:afterAutospacing="1"/>
              <w:rPr>
                <w:rFonts w:ascii="Times New Roman" w:eastAsiaTheme="minorEastAsia" w:hAnsi="Times New Roman"/>
                <w:b/>
                <w:sz w:val="24"/>
                <w:szCs w:val="24"/>
              </w:rPr>
            </w:pPr>
            <w:r w:rsidRPr="00D60E14">
              <w:rPr>
                <w:rFonts w:ascii="Times New Roman" w:hAnsi="Times New Roman"/>
                <w:b/>
                <w:bCs/>
                <w:sz w:val="24"/>
                <w:szCs w:val="24"/>
              </w:rPr>
              <w:t> </w:t>
            </w:r>
            <w:r>
              <w:rPr>
                <w:rFonts w:ascii="Times New Roman" w:hAnsi="Times New Roman"/>
                <w:b/>
                <w:bCs/>
                <w:sz w:val="24"/>
                <w:szCs w:val="24"/>
              </w:rPr>
              <w:t>%</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center"/>
              <w:rPr>
                <w:rFonts w:ascii="Times New Roman" w:hAnsi="Times New Roman"/>
                <w:sz w:val="24"/>
                <w:szCs w:val="24"/>
              </w:rPr>
            </w:pPr>
            <w:r w:rsidRPr="009054F3">
              <w:rPr>
                <w:rFonts w:ascii="Times New Roman" w:hAnsi="Times New Roman"/>
                <w:bCs/>
                <w:sz w:val="24"/>
                <w:szCs w:val="24"/>
              </w:rPr>
              <w:t>1. Unsatisfactory</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center"/>
              <w:rPr>
                <w:rFonts w:ascii="Times New Roman" w:hAnsi="Times New Roman"/>
                <w:sz w:val="24"/>
                <w:szCs w:val="24"/>
              </w:rPr>
            </w:pPr>
            <w:r w:rsidRPr="009054F3">
              <w:rPr>
                <w:rFonts w:ascii="Times New Roman" w:hAnsi="Times New Roman"/>
                <w:bCs/>
                <w:sz w:val="24"/>
                <w:szCs w:val="24"/>
              </w:rPr>
              <w:t>2. Developing</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center"/>
              <w:rPr>
                <w:rFonts w:ascii="Times New Roman" w:hAnsi="Times New Roman"/>
                <w:sz w:val="24"/>
                <w:szCs w:val="24"/>
              </w:rPr>
            </w:pPr>
            <w:r w:rsidRPr="009054F3">
              <w:rPr>
                <w:rFonts w:ascii="Times New Roman" w:hAnsi="Times New Roman"/>
                <w:bCs/>
                <w:sz w:val="24"/>
                <w:szCs w:val="24"/>
              </w:rPr>
              <w:t>3. Proficient</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center"/>
              <w:rPr>
                <w:rFonts w:ascii="Times New Roman" w:hAnsi="Times New Roman"/>
                <w:sz w:val="24"/>
                <w:szCs w:val="24"/>
              </w:rPr>
            </w:pPr>
            <w:r w:rsidRPr="009054F3">
              <w:rPr>
                <w:rFonts w:ascii="Times New Roman" w:hAnsi="Times New Roman"/>
                <w:bCs/>
                <w:sz w:val="24"/>
                <w:szCs w:val="24"/>
              </w:rPr>
              <w:t>4. Exemplary</w:t>
            </w:r>
          </w:p>
        </w:tc>
      </w:tr>
      <w:tr w:rsidR="00D60E14"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rPr>
                <w:rFonts w:ascii="Times New Roman" w:hAnsi="Times New Roman"/>
                <w:sz w:val="24"/>
                <w:szCs w:val="24"/>
              </w:rPr>
            </w:pPr>
            <w:r w:rsidRPr="009054F3">
              <w:rPr>
                <w:rFonts w:ascii="Times New Roman" w:hAnsi="Times New Roman"/>
                <w:bCs/>
                <w:sz w:val="24"/>
                <w:szCs w:val="24"/>
              </w:rPr>
              <w:t>Analysis</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0</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right"/>
              <w:rPr>
                <w:rFonts w:ascii="Times New Roman" w:hAnsi="Times New Roman"/>
                <w:sz w:val="24"/>
                <w:szCs w:val="24"/>
              </w:rPr>
            </w:pPr>
            <w:r>
              <w:rPr>
                <w:rFonts w:ascii="Times New Roman" w:hAnsi="Times New Roman"/>
                <w:sz w:val="24"/>
                <w:szCs w:val="24"/>
              </w:rPr>
              <w:t>57.1</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right"/>
              <w:rPr>
                <w:rFonts w:ascii="Times New Roman" w:hAnsi="Times New Roman"/>
                <w:sz w:val="24"/>
                <w:szCs w:val="24"/>
              </w:rPr>
            </w:pPr>
            <w:r>
              <w:rPr>
                <w:rFonts w:ascii="Times New Roman" w:hAnsi="Times New Roman"/>
                <w:sz w:val="24"/>
                <w:szCs w:val="24"/>
              </w:rPr>
              <w:t>42.9</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D60E14">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0</w:t>
            </w:r>
          </w:p>
        </w:tc>
      </w:tr>
      <w:tr w:rsidR="00D60E14" w:rsidRPr="009054F3" w:rsidTr="005E14A5">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rPr>
                <w:rFonts w:ascii="Times New Roman" w:hAnsi="Times New Roman"/>
                <w:sz w:val="24"/>
                <w:szCs w:val="24"/>
              </w:rPr>
            </w:pPr>
            <w:r w:rsidRPr="009054F3">
              <w:rPr>
                <w:rFonts w:ascii="Times New Roman" w:hAnsi="Times New Roman"/>
                <w:bCs/>
                <w:sz w:val="24"/>
                <w:szCs w:val="24"/>
              </w:rPr>
              <w:t>Interpretation</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right"/>
              <w:rPr>
                <w:rFonts w:ascii="Times New Roman" w:hAnsi="Times New Roman"/>
                <w:sz w:val="24"/>
                <w:szCs w:val="24"/>
              </w:rPr>
            </w:pPr>
            <w:r>
              <w:rPr>
                <w:rFonts w:ascii="Times New Roman" w:hAnsi="Times New Roman"/>
                <w:sz w:val="24"/>
                <w:szCs w:val="24"/>
              </w:rPr>
              <w:t>28.6</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right"/>
              <w:rPr>
                <w:rFonts w:ascii="Times New Roman" w:hAnsi="Times New Roman"/>
                <w:sz w:val="24"/>
                <w:szCs w:val="24"/>
              </w:rPr>
            </w:pPr>
            <w:r>
              <w:rPr>
                <w:rFonts w:ascii="Times New Roman" w:hAnsi="Times New Roman"/>
                <w:sz w:val="24"/>
                <w:szCs w:val="24"/>
              </w:rPr>
              <w:t>57.1</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right"/>
              <w:rPr>
                <w:rFonts w:ascii="Times New Roman" w:hAnsi="Times New Roman"/>
                <w:sz w:val="24"/>
                <w:szCs w:val="24"/>
              </w:rPr>
            </w:pPr>
            <w:r w:rsidRPr="009054F3">
              <w:rPr>
                <w:rFonts w:ascii="Times New Roman" w:hAnsi="Times New Roman"/>
                <w:sz w:val="24"/>
                <w:szCs w:val="24"/>
              </w:rPr>
              <w:t>0</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D60E14" w:rsidRPr="009054F3" w:rsidRDefault="00D60E14" w:rsidP="00CF0EA6">
            <w:pPr>
              <w:spacing w:before="100" w:beforeAutospacing="1" w:after="100" w:afterAutospacing="1"/>
              <w:jc w:val="right"/>
              <w:rPr>
                <w:rFonts w:ascii="Times New Roman" w:hAnsi="Times New Roman"/>
                <w:sz w:val="24"/>
                <w:szCs w:val="24"/>
              </w:rPr>
            </w:pPr>
            <w:r>
              <w:rPr>
                <w:rFonts w:ascii="Times New Roman" w:hAnsi="Times New Roman"/>
                <w:sz w:val="24"/>
                <w:szCs w:val="24"/>
              </w:rPr>
              <w:t>14.3</w:t>
            </w:r>
          </w:p>
        </w:tc>
      </w:tr>
    </w:tbl>
    <w:p w:rsidR="00D60E14" w:rsidRDefault="00D60E14" w:rsidP="00E67E44">
      <w:pPr>
        <w:spacing w:line="360" w:lineRule="auto"/>
        <w:rPr>
          <w:rFonts w:ascii="Times New Roman" w:hAnsi="Times New Roman"/>
          <w:b/>
          <w:sz w:val="24"/>
          <w:szCs w:val="24"/>
        </w:rPr>
      </w:pPr>
    </w:p>
    <w:p w:rsidR="00162A3E" w:rsidRDefault="00162A3E" w:rsidP="00D60E14">
      <w:pPr>
        <w:spacing w:line="360" w:lineRule="auto"/>
        <w:ind w:firstLine="720"/>
        <w:rPr>
          <w:rFonts w:ascii="Times New Roman" w:hAnsi="Times New Roman"/>
          <w:sz w:val="24"/>
          <w:szCs w:val="24"/>
        </w:rPr>
      </w:pPr>
    </w:p>
    <w:p w:rsidR="00162A3E" w:rsidRDefault="00162A3E" w:rsidP="00D60E14">
      <w:pPr>
        <w:spacing w:line="360" w:lineRule="auto"/>
        <w:ind w:firstLine="720"/>
        <w:rPr>
          <w:rFonts w:ascii="Times New Roman" w:hAnsi="Times New Roman"/>
          <w:sz w:val="24"/>
          <w:szCs w:val="24"/>
        </w:rPr>
      </w:pPr>
    </w:p>
    <w:p w:rsidR="00D60E14" w:rsidRDefault="00D60E14" w:rsidP="00D60E14">
      <w:pPr>
        <w:spacing w:line="360" w:lineRule="auto"/>
        <w:ind w:firstLine="720"/>
        <w:rPr>
          <w:rFonts w:ascii="Times New Roman" w:hAnsi="Times New Roman"/>
          <w:sz w:val="24"/>
          <w:szCs w:val="24"/>
        </w:rPr>
      </w:pPr>
      <w:r>
        <w:rPr>
          <w:rFonts w:ascii="Times New Roman" w:hAnsi="Times New Roman"/>
          <w:sz w:val="24"/>
          <w:szCs w:val="24"/>
        </w:rPr>
        <w:lastRenderedPageBreak/>
        <w:t xml:space="preserve">Below are comparisons </w:t>
      </w:r>
      <w:r w:rsidR="00B111F0">
        <w:rPr>
          <w:rFonts w:ascii="Times New Roman" w:hAnsi="Times New Roman"/>
          <w:sz w:val="24"/>
          <w:szCs w:val="24"/>
        </w:rPr>
        <w:t>on the levels of performance among courses (in %)</w:t>
      </w:r>
    </w:p>
    <w:p w:rsidR="00B111F0" w:rsidRDefault="00B111F0" w:rsidP="00B111F0">
      <w:pPr>
        <w:spacing w:line="360" w:lineRule="auto"/>
        <w:rPr>
          <w:rFonts w:ascii="Times New Roman" w:hAnsi="Times New Roman"/>
          <w:sz w:val="24"/>
          <w:szCs w:val="24"/>
        </w:rPr>
      </w:pPr>
      <w:r>
        <w:rPr>
          <w:rFonts w:ascii="Times New Roman" w:hAnsi="Times New Roman"/>
          <w:sz w:val="24"/>
          <w:szCs w:val="24"/>
        </w:rPr>
        <w:t xml:space="preserve">                         </w:t>
      </w:r>
      <w:bookmarkStart w:id="0" w:name="_GoBack"/>
      <w:r>
        <w:rPr>
          <w:noProof/>
          <w:lang w:eastAsia="zh-TW"/>
        </w:rPr>
        <w:drawing>
          <wp:inline distT="0" distB="0" distL="0" distR="0" wp14:anchorId="0F9EB296" wp14:editId="6ADBF491">
            <wp:extent cx="4572000" cy="2743200"/>
            <wp:effectExtent l="0" t="0" r="0" b="0"/>
            <wp:docPr id="1" name="Chart 1" descr="Levels of performance (Analyais) across courses assessed" title="Levels of Performance (Analy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D60E14" w:rsidRPr="00B111F0" w:rsidRDefault="00B111F0" w:rsidP="00E67E44">
      <w:pPr>
        <w:spacing w:line="360" w:lineRule="auto"/>
        <w:rPr>
          <w:rFonts w:ascii="Times New Roman" w:hAnsi="Times New Roman"/>
          <w:sz w:val="24"/>
          <w:szCs w:val="24"/>
        </w:rPr>
      </w:pPr>
      <w:r>
        <w:rPr>
          <w:rFonts w:ascii="Times New Roman" w:hAnsi="Times New Roman"/>
          <w:sz w:val="24"/>
          <w:szCs w:val="24"/>
        </w:rPr>
        <w:t xml:space="preserve">                         </w:t>
      </w:r>
      <w:r>
        <w:rPr>
          <w:noProof/>
          <w:lang w:eastAsia="zh-TW"/>
        </w:rPr>
        <w:drawing>
          <wp:inline distT="0" distB="0" distL="0" distR="0" wp14:anchorId="62D4E47E" wp14:editId="0D752560">
            <wp:extent cx="4572000" cy="2743200"/>
            <wp:effectExtent l="0" t="0" r="0" b="0"/>
            <wp:docPr id="2" name="Chart 2" descr="Levels of performance (Interpretation) across courses assessed" title="Levels of performance (Interpre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74FE" w:rsidRDefault="007A0B5E" w:rsidP="007A0B5E">
      <w:pPr>
        <w:spacing w:line="360" w:lineRule="auto"/>
        <w:ind w:firstLine="720"/>
        <w:rPr>
          <w:rFonts w:ascii="Times New Roman" w:hAnsi="Times New Roman"/>
          <w:sz w:val="24"/>
          <w:szCs w:val="24"/>
        </w:rPr>
      </w:pPr>
      <w:r>
        <w:rPr>
          <w:rFonts w:ascii="Times New Roman" w:hAnsi="Times New Roman"/>
          <w:sz w:val="24"/>
          <w:szCs w:val="24"/>
        </w:rPr>
        <w:t>The</w:t>
      </w:r>
      <w:r w:rsidRPr="00AE0CA0">
        <w:rPr>
          <w:rFonts w:ascii="Times New Roman" w:hAnsi="Times New Roman"/>
          <w:sz w:val="24"/>
          <w:szCs w:val="24"/>
        </w:rPr>
        <w:t>se results show that</w:t>
      </w:r>
      <w:r w:rsidR="00AE0CA0" w:rsidRPr="00AE0CA0">
        <w:rPr>
          <w:rFonts w:ascii="Times New Roman" w:hAnsi="Times New Roman"/>
          <w:sz w:val="24"/>
          <w:szCs w:val="24"/>
        </w:rPr>
        <w:t>, in terms of “</w:t>
      </w:r>
      <w:r w:rsidR="00AE0CA0" w:rsidRPr="004774FE">
        <w:rPr>
          <w:rFonts w:ascii="Times New Roman" w:hAnsi="Times New Roman"/>
          <w:b/>
          <w:sz w:val="24"/>
          <w:szCs w:val="24"/>
        </w:rPr>
        <w:t>analysis</w:t>
      </w:r>
      <w:r w:rsidR="00AE0CA0">
        <w:rPr>
          <w:rFonts w:ascii="Times New Roman" w:hAnsi="Times New Roman"/>
          <w:sz w:val="24"/>
          <w:szCs w:val="24"/>
        </w:rPr>
        <w:t xml:space="preserve">” (or “analyze” in PLO5), </w:t>
      </w:r>
      <w:r w:rsidR="004774FE">
        <w:rPr>
          <w:rFonts w:ascii="Times New Roman" w:hAnsi="Times New Roman"/>
          <w:sz w:val="24"/>
          <w:szCs w:val="24"/>
        </w:rPr>
        <w:t xml:space="preserve">majority of </w:t>
      </w:r>
      <w:r w:rsidR="00AE0CA0">
        <w:rPr>
          <w:rFonts w:ascii="Times New Roman" w:hAnsi="Times New Roman"/>
          <w:sz w:val="24"/>
          <w:szCs w:val="24"/>
        </w:rPr>
        <w:t xml:space="preserve">students </w:t>
      </w:r>
      <w:r w:rsidR="007534FC">
        <w:rPr>
          <w:rFonts w:ascii="Times New Roman" w:hAnsi="Times New Roman"/>
          <w:sz w:val="24"/>
          <w:szCs w:val="24"/>
        </w:rPr>
        <w:t xml:space="preserve">(65% of all 62 students assessed) </w:t>
      </w:r>
      <w:r w:rsidR="00AE0CA0">
        <w:rPr>
          <w:rFonts w:ascii="Times New Roman" w:hAnsi="Times New Roman"/>
          <w:sz w:val="24"/>
          <w:szCs w:val="24"/>
        </w:rPr>
        <w:t>across all three courses performed on the “developing” and “proficient” levels</w:t>
      </w:r>
      <w:r w:rsidR="004774FE">
        <w:rPr>
          <w:rFonts w:ascii="Times New Roman" w:hAnsi="Times New Roman"/>
          <w:sz w:val="24"/>
          <w:szCs w:val="24"/>
        </w:rPr>
        <w:t xml:space="preserve">, with a smaller portion </w:t>
      </w:r>
      <w:r w:rsidR="007534FC">
        <w:rPr>
          <w:rFonts w:ascii="Times New Roman" w:hAnsi="Times New Roman"/>
          <w:sz w:val="24"/>
          <w:szCs w:val="24"/>
        </w:rPr>
        <w:t xml:space="preserve">(15%) </w:t>
      </w:r>
      <w:r w:rsidR="004774FE">
        <w:rPr>
          <w:rFonts w:ascii="Times New Roman" w:hAnsi="Times New Roman"/>
          <w:sz w:val="24"/>
          <w:szCs w:val="24"/>
        </w:rPr>
        <w:t>performing at</w:t>
      </w:r>
      <w:r w:rsidR="007534FC">
        <w:rPr>
          <w:rFonts w:ascii="Times New Roman" w:hAnsi="Times New Roman"/>
          <w:sz w:val="24"/>
          <w:szCs w:val="24"/>
        </w:rPr>
        <w:t xml:space="preserve"> the exemplary</w:t>
      </w:r>
      <w:r w:rsidR="004774FE">
        <w:rPr>
          <w:rFonts w:ascii="Times New Roman" w:hAnsi="Times New Roman"/>
          <w:sz w:val="24"/>
          <w:szCs w:val="24"/>
        </w:rPr>
        <w:t xml:space="preserve"> level</w:t>
      </w:r>
      <w:r w:rsidR="00AE0CA0">
        <w:rPr>
          <w:rFonts w:ascii="Times New Roman" w:hAnsi="Times New Roman"/>
          <w:sz w:val="24"/>
          <w:szCs w:val="24"/>
        </w:rPr>
        <w:t xml:space="preserve">. This means that students </w:t>
      </w:r>
      <w:r w:rsidR="00AE0CA0" w:rsidRPr="00AE0CA0">
        <w:rPr>
          <w:rFonts w:ascii="Times New Roman" w:hAnsi="Times New Roman"/>
          <w:b/>
          <w:sz w:val="24"/>
          <w:szCs w:val="24"/>
        </w:rPr>
        <w:t xml:space="preserve">were capable of </w:t>
      </w:r>
      <w:r w:rsidR="007C46D8">
        <w:rPr>
          <w:rFonts w:ascii="Times New Roman" w:hAnsi="Times New Roman"/>
          <w:b/>
          <w:sz w:val="24"/>
          <w:szCs w:val="24"/>
        </w:rPr>
        <w:t xml:space="preserve">appropriately </w:t>
      </w:r>
      <w:r w:rsidR="00AE0CA0" w:rsidRPr="00AE0CA0">
        <w:rPr>
          <w:rFonts w:ascii="Times New Roman" w:hAnsi="Times New Roman"/>
          <w:b/>
          <w:sz w:val="24"/>
          <w:szCs w:val="24"/>
        </w:rPr>
        <w:t xml:space="preserve">performing analysis for the types of data </w:t>
      </w:r>
      <w:r w:rsidR="007C46D8">
        <w:rPr>
          <w:rFonts w:ascii="Times New Roman" w:hAnsi="Times New Roman"/>
          <w:b/>
          <w:sz w:val="24"/>
          <w:szCs w:val="24"/>
        </w:rPr>
        <w:t xml:space="preserve">(i.e., evidence) </w:t>
      </w:r>
      <w:r w:rsidR="00AE0CA0" w:rsidRPr="00AE0CA0">
        <w:rPr>
          <w:rFonts w:ascii="Times New Roman" w:hAnsi="Times New Roman"/>
          <w:b/>
          <w:sz w:val="24"/>
          <w:szCs w:val="24"/>
        </w:rPr>
        <w:t>collected</w:t>
      </w:r>
      <w:r w:rsidR="007C46D8">
        <w:rPr>
          <w:rFonts w:ascii="Times New Roman" w:hAnsi="Times New Roman"/>
          <w:sz w:val="24"/>
          <w:szCs w:val="24"/>
        </w:rPr>
        <w:t xml:space="preserve">, </w:t>
      </w:r>
      <w:r w:rsidR="00AE0CA0">
        <w:rPr>
          <w:rFonts w:ascii="Times New Roman" w:hAnsi="Times New Roman"/>
          <w:sz w:val="24"/>
          <w:szCs w:val="24"/>
        </w:rPr>
        <w:t xml:space="preserve">indicating that the courses </w:t>
      </w:r>
      <w:r w:rsidR="00AE0CA0" w:rsidRPr="00AE0CA0">
        <w:rPr>
          <w:rFonts w:ascii="Times New Roman" w:hAnsi="Times New Roman"/>
          <w:b/>
          <w:sz w:val="24"/>
          <w:szCs w:val="24"/>
        </w:rPr>
        <w:t>fulfilled the tenant of PLO5</w:t>
      </w:r>
      <w:r w:rsidR="00AE0CA0">
        <w:rPr>
          <w:rFonts w:ascii="Times New Roman" w:hAnsi="Times New Roman"/>
          <w:b/>
          <w:sz w:val="24"/>
          <w:szCs w:val="24"/>
        </w:rPr>
        <w:t xml:space="preserve"> in our Undergraduate Program</w:t>
      </w:r>
      <w:r w:rsidR="00AE0CA0" w:rsidRPr="00AE0CA0">
        <w:rPr>
          <w:rFonts w:ascii="Times New Roman" w:hAnsi="Times New Roman"/>
          <w:b/>
          <w:sz w:val="24"/>
          <w:szCs w:val="24"/>
        </w:rPr>
        <w:t xml:space="preserve">: </w:t>
      </w:r>
      <w:r w:rsidR="00AE0CA0" w:rsidRPr="009054F3">
        <w:rPr>
          <w:rFonts w:ascii="Times New Roman" w:hAnsi="Times New Roman"/>
          <w:b/>
          <w:sz w:val="24"/>
          <w:szCs w:val="24"/>
        </w:rPr>
        <w:t xml:space="preserve">Demonstrate the ability to </w:t>
      </w:r>
      <w:r w:rsidR="00AE0CA0" w:rsidRPr="00AE0CA0">
        <w:rPr>
          <w:rFonts w:ascii="Times New Roman" w:hAnsi="Times New Roman"/>
          <w:sz w:val="24"/>
          <w:szCs w:val="24"/>
        </w:rPr>
        <w:t xml:space="preserve">conceptualize, collect, describe, </w:t>
      </w:r>
      <w:r w:rsidR="00AE0CA0" w:rsidRPr="009054F3">
        <w:rPr>
          <w:rFonts w:ascii="Times New Roman" w:hAnsi="Times New Roman"/>
          <w:b/>
          <w:sz w:val="24"/>
          <w:szCs w:val="24"/>
        </w:rPr>
        <w:t>analyze</w:t>
      </w:r>
      <w:r w:rsidR="00AE0CA0" w:rsidRPr="00AE0CA0">
        <w:rPr>
          <w:rFonts w:ascii="Times New Roman" w:hAnsi="Times New Roman"/>
          <w:sz w:val="24"/>
          <w:szCs w:val="24"/>
        </w:rPr>
        <w:t xml:space="preserve">, interpret, and communicate </w:t>
      </w:r>
      <w:r w:rsidR="00AE0CA0" w:rsidRPr="009054F3">
        <w:rPr>
          <w:rFonts w:ascii="Times New Roman" w:hAnsi="Times New Roman"/>
          <w:b/>
          <w:sz w:val="24"/>
          <w:szCs w:val="24"/>
        </w:rPr>
        <w:t>anthropological evidence according to generally accepted professional practice and ethics</w:t>
      </w:r>
      <w:r w:rsidR="00AE0CA0" w:rsidRPr="00AE0CA0">
        <w:rPr>
          <w:rFonts w:ascii="Times New Roman" w:hAnsi="Times New Roman"/>
          <w:sz w:val="24"/>
          <w:szCs w:val="24"/>
        </w:rPr>
        <w:t xml:space="preserve">. </w:t>
      </w:r>
    </w:p>
    <w:p w:rsidR="00C27182" w:rsidRDefault="00C91784" w:rsidP="007A0B5E">
      <w:pPr>
        <w:spacing w:line="360" w:lineRule="auto"/>
        <w:ind w:firstLine="720"/>
        <w:rPr>
          <w:rFonts w:ascii="Times New Roman" w:hAnsi="Times New Roman"/>
          <w:sz w:val="24"/>
          <w:szCs w:val="24"/>
        </w:rPr>
      </w:pPr>
      <w:r>
        <w:rPr>
          <w:rFonts w:ascii="Times New Roman" w:hAnsi="Times New Roman"/>
          <w:sz w:val="24"/>
          <w:szCs w:val="24"/>
        </w:rPr>
        <w:lastRenderedPageBreak/>
        <w:t>In terms of</w:t>
      </w:r>
      <w:r w:rsidR="007C46D8">
        <w:rPr>
          <w:rFonts w:ascii="Times New Roman" w:hAnsi="Times New Roman"/>
          <w:sz w:val="24"/>
          <w:szCs w:val="24"/>
        </w:rPr>
        <w:t xml:space="preserve"> “</w:t>
      </w:r>
      <w:r w:rsidR="007C46D8" w:rsidRPr="00C91784">
        <w:rPr>
          <w:rFonts w:ascii="Times New Roman" w:hAnsi="Times New Roman"/>
          <w:b/>
          <w:sz w:val="24"/>
          <w:szCs w:val="24"/>
        </w:rPr>
        <w:t>interpretation</w:t>
      </w:r>
      <w:r w:rsidR="007C46D8">
        <w:rPr>
          <w:rFonts w:ascii="Times New Roman" w:hAnsi="Times New Roman"/>
          <w:sz w:val="24"/>
          <w:szCs w:val="24"/>
        </w:rPr>
        <w:t>” (o</w:t>
      </w:r>
      <w:r w:rsidR="007C46D8" w:rsidRPr="00C91784">
        <w:rPr>
          <w:rFonts w:ascii="Times New Roman" w:hAnsi="Times New Roman"/>
          <w:sz w:val="24"/>
          <w:szCs w:val="24"/>
        </w:rPr>
        <w:t>r “interpret” in PLO5</w:t>
      </w:r>
      <w:r w:rsidR="007C46D8">
        <w:rPr>
          <w:rFonts w:ascii="Times New Roman" w:hAnsi="Times New Roman"/>
          <w:sz w:val="24"/>
          <w:szCs w:val="24"/>
        </w:rPr>
        <w:t xml:space="preserve">), </w:t>
      </w:r>
      <w:r>
        <w:rPr>
          <w:rFonts w:ascii="Times New Roman" w:hAnsi="Times New Roman"/>
          <w:sz w:val="24"/>
          <w:szCs w:val="24"/>
        </w:rPr>
        <w:t xml:space="preserve">majority of students in ANTH490C and 426 performed on the “developing” and “proficient” levels, with some students achieving the exemplary level. For ANTH440, the majority of students performed on the “developing” level and the rest were distributed at two ends of the performance spectrum. Overall, most students in all three courses </w:t>
      </w:r>
      <w:r w:rsidRPr="00735C63">
        <w:rPr>
          <w:rFonts w:ascii="Times New Roman" w:hAnsi="Times New Roman"/>
          <w:b/>
          <w:sz w:val="24"/>
          <w:szCs w:val="24"/>
        </w:rPr>
        <w:t>were capable of making connections between data (evidence) and argument</w:t>
      </w:r>
      <w:r>
        <w:rPr>
          <w:rFonts w:ascii="Times New Roman" w:hAnsi="Times New Roman"/>
          <w:sz w:val="24"/>
          <w:szCs w:val="24"/>
        </w:rPr>
        <w:t xml:space="preserve">, albeit with varying degrees of proficiency, indicating that the courses generally </w:t>
      </w:r>
      <w:r w:rsidRPr="00AE0CA0">
        <w:rPr>
          <w:rFonts w:ascii="Times New Roman" w:hAnsi="Times New Roman"/>
          <w:b/>
          <w:sz w:val="24"/>
          <w:szCs w:val="24"/>
        </w:rPr>
        <w:t>fulfilled the tenant of PLO5</w:t>
      </w:r>
      <w:r>
        <w:rPr>
          <w:rFonts w:ascii="Times New Roman" w:hAnsi="Times New Roman"/>
          <w:b/>
          <w:sz w:val="24"/>
          <w:szCs w:val="24"/>
        </w:rPr>
        <w:t xml:space="preserve"> in our Undergraduate Program</w:t>
      </w:r>
      <w:r w:rsidRPr="00AE0CA0">
        <w:rPr>
          <w:rFonts w:ascii="Times New Roman" w:hAnsi="Times New Roman"/>
          <w:b/>
          <w:sz w:val="24"/>
          <w:szCs w:val="24"/>
        </w:rPr>
        <w:t xml:space="preserve">: </w:t>
      </w:r>
      <w:r w:rsidRPr="009054F3">
        <w:rPr>
          <w:rFonts w:ascii="Times New Roman" w:hAnsi="Times New Roman"/>
          <w:b/>
          <w:sz w:val="24"/>
          <w:szCs w:val="24"/>
        </w:rPr>
        <w:t xml:space="preserve">Demonstrate the ability to </w:t>
      </w:r>
      <w:r w:rsidRPr="00AE0CA0">
        <w:rPr>
          <w:rFonts w:ascii="Times New Roman" w:hAnsi="Times New Roman"/>
          <w:sz w:val="24"/>
          <w:szCs w:val="24"/>
        </w:rPr>
        <w:t xml:space="preserve">conceptualize, collect, describe, </w:t>
      </w:r>
      <w:r w:rsidRPr="00C91784">
        <w:rPr>
          <w:rFonts w:ascii="Times New Roman" w:hAnsi="Times New Roman"/>
          <w:sz w:val="24"/>
          <w:szCs w:val="24"/>
        </w:rPr>
        <w:t xml:space="preserve">analyze, </w:t>
      </w:r>
      <w:r w:rsidRPr="00C91784">
        <w:rPr>
          <w:rFonts w:ascii="Times New Roman" w:hAnsi="Times New Roman"/>
          <w:b/>
          <w:sz w:val="24"/>
          <w:szCs w:val="24"/>
        </w:rPr>
        <w:t>interpret</w:t>
      </w:r>
      <w:r w:rsidRPr="00AE0CA0">
        <w:rPr>
          <w:rFonts w:ascii="Times New Roman" w:hAnsi="Times New Roman"/>
          <w:sz w:val="24"/>
          <w:szCs w:val="24"/>
        </w:rPr>
        <w:t xml:space="preserve">, and communicate </w:t>
      </w:r>
      <w:r w:rsidRPr="009054F3">
        <w:rPr>
          <w:rFonts w:ascii="Times New Roman" w:hAnsi="Times New Roman"/>
          <w:b/>
          <w:sz w:val="24"/>
          <w:szCs w:val="24"/>
        </w:rPr>
        <w:t>anthropological evidence according to generally accepted professional practice and ethics</w:t>
      </w:r>
      <w:r w:rsidRPr="00AE0CA0">
        <w:rPr>
          <w:rFonts w:ascii="Times New Roman" w:hAnsi="Times New Roman"/>
          <w:sz w:val="24"/>
          <w:szCs w:val="24"/>
        </w:rPr>
        <w:t>.</w:t>
      </w:r>
    </w:p>
    <w:p w:rsidR="00E4626D" w:rsidRDefault="00735C63" w:rsidP="00E4626D">
      <w:pPr>
        <w:spacing w:line="360" w:lineRule="auto"/>
        <w:ind w:firstLine="720"/>
        <w:rPr>
          <w:rFonts w:ascii="Times New Roman" w:hAnsi="Times New Roman"/>
          <w:sz w:val="24"/>
          <w:szCs w:val="24"/>
        </w:rPr>
      </w:pPr>
      <w:r>
        <w:rPr>
          <w:rFonts w:ascii="Times New Roman" w:hAnsi="Times New Roman"/>
          <w:sz w:val="24"/>
          <w:szCs w:val="24"/>
        </w:rPr>
        <w:t xml:space="preserve">Reflecting on the results, while we are generally satisfied with students’ performance and the courses’ fulfillment of PLO5, it is clear that pedagogical efforts are required to enhance students’ ability in both data analytics and making coherent arguments with the evidence in hand. We believe working towards these goals would not only facilitate student success in course performance and graduation rate, it would also ensure </w:t>
      </w:r>
      <w:r w:rsidR="007E0DCD">
        <w:rPr>
          <w:rFonts w:ascii="Times New Roman" w:hAnsi="Times New Roman"/>
          <w:sz w:val="24"/>
          <w:szCs w:val="24"/>
        </w:rPr>
        <w:t xml:space="preserve">that our students are proficient in </w:t>
      </w:r>
      <w:r>
        <w:rPr>
          <w:rFonts w:ascii="Times New Roman" w:hAnsi="Times New Roman"/>
          <w:sz w:val="24"/>
          <w:szCs w:val="24"/>
        </w:rPr>
        <w:t xml:space="preserve">these highly sought-after skills </w:t>
      </w:r>
      <w:r w:rsidR="007E0DCD">
        <w:rPr>
          <w:rFonts w:ascii="Times New Roman" w:hAnsi="Times New Roman"/>
          <w:sz w:val="24"/>
          <w:szCs w:val="24"/>
        </w:rPr>
        <w:t>by future employers and during graduate studies.</w:t>
      </w:r>
      <w:r>
        <w:rPr>
          <w:rFonts w:ascii="Times New Roman" w:hAnsi="Times New Roman"/>
          <w:sz w:val="24"/>
          <w:szCs w:val="24"/>
        </w:rPr>
        <w:t xml:space="preserve"> </w:t>
      </w:r>
      <w:r w:rsidR="007E0DCD">
        <w:rPr>
          <w:rFonts w:ascii="Times New Roman" w:hAnsi="Times New Roman"/>
          <w:sz w:val="24"/>
          <w:szCs w:val="24"/>
        </w:rPr>
        <w:t xml:space="preserve">As for whether the Department’s efforts in teaching to the theme “Engaging Evidence” impacted students’ performance related to “the evidence”, it is difficult to draw a definitive conclusion. This is because this “teaching theme” approach was inaugurated in AY18-19 and there is no prior data available to compare the assessment results with. Thus, rather than forcing a conclusion (and risking </w:t>
      </w:r>
      <w:r w:rsidR="00E4626D">
        <w:rPr>
          <w:rFonts w:ascii="Times New Roman" w:hAnsi="Times New Roman"/>
          <w:sz w:val="24"/>
          <w:szCs w:val="24"/>
        </w:rPr>
        <w:t xml:space="preserve">articulating an unclear </w:t>
      </w:r>
      <w:r w:rsidR="007E0DCD" w:rsidRPr="00C27182">
        <w:rPr>
          <w:rFonts w:ascii="Times New Roman" w:hAnsi="Times New Roman"/>
          <w:sz w:val="24"/>
          <w:szCs w:val="24"/>
        </w:rPr>
        <w:t xml:space="preserve">connection between argument and evidence </w:t>
      </w:r>
      <w:r w:rsidR="00E4626D">
        <w:rPr>
          <w:rFonts w:ascii="Times New Roman" w:hAnsi="Times New Roman"/>
          <w:sz w:val="24"/>
          <w:szCs w:val="24"/>
        </w:rPr>
        <w:t>with some logical flaws- see the assessment rubric, interpretation, “Developing”), the current results are best viewed as a set of baseline data against which future data can be evaluated, if applicable.</w:t>
      </w:r>
    </w:p>
    <w:p w:rsidR="005E14A5" w:rsidRDefault="005E0848" w:rsidP="00E4626D">
      <w:pPr>
        <w:spacing w:line="360" w:lineRule="auto"/>
        <w:ind w:firstLine="720"/>
        <w:rPr>
          <w:rFonts w:ascii="Times New Roman" w:hAnsi="Times New Roman"/>
          <w:sz w:val="24"/>
          <w:szCs w:val="24"/>
        </w:rPr>
      </w:pPr>
      <w:r>
        <w:rPr>
          <w:rFonts w:ascii="Times New Roman" w:hAnsi="Times New Roman"/>
          <w:sz w:val="24"/>
          <w:szCs w:val="24"/>
        </w:rPr>
        <w:t xml:space="preserve">Possible factors </w:t>
      </w:r>
      <w:r w:rsidR="005E14A5">
        <w:rPr>
          <w:rFonts w:ascii="Times New Roman" w:hAnsi="Times New Roman"/>
          <w:sz w:val="24"/>
          <w:szCs w:val="24"/>
        </w:rPr>
        <w:t xml:space="preserve">that may have affected the measurements included 1) disparate sample sizes among courses (ranging from 7 to 28); 2) differing nature and methodologies </w:t>
      </w:r>
      <w:r>
        <w:rPr>
          <w:rFonts w:ascii="Times New Roman" w:hAnsi="Times New Roman"/>
          <w:sz w:val="24"/>
          <w:szCs w:val="24"/>
        </w:rPr>
        <w:t xml:space="preserve">of data collection and analysis </w:t>
      </w:r>
      <w:r w:rsidR="005E14A5">
        <w:rPr>
          <w:rFonts w:ascii="Times New Roman" w:hAnsi="Times New Roman"/>
          <w:sz w:val="24"/>
          <w:szCs w:val="24"/>
        </w:rPr>
        <w:t>(</w:t>
      </w:r>
      <w:r>
        <w:rPr>
          <w:rFonts w:ascii="Times New Roman" w:hAnsi="Times New Roman"/>
          <w:sz w:val="24"/>
          <w:szCs w:val="24"/>
        </w:rPr>
        <w:t xml:space="preserve">e.g., </w:t>
      </w:r>
      <w:r w:rsidR="005E14A5">
        <w:rPr>
          <w:rFonts w:ascii="Times New Roman" w:hAnsi="Times New Roman"/>
          <w:sz w:val="24"/>
          <w:szCs w:val="24"/>
        </w:rPr>
        <w:t xml:space="preserve">qualitative ethnographic data, </w:t>
      </w:r>
      <w:r>
        <w:rPr>
          <w:rFonts w:ascii="Times New Roman" w:hAnsi="Times New Roman"/>
          <w:sz w:val="24"/>
          <w:szCs w:val="24"/>
        </w:rPr>
        <w:t>descriptive archaeological findings and contextualization, combination of qualitative and quantitative bioarchaeological evidence) among signature assignments</w:t>
      </w:r>
      <w:r w:rsidR="005E14A5">
        <w:rPr>
          <w:rFonts w:ascii="Times New Roman" w:hAnsi="Times New Roman"/>
          <w:sz w:val="24"/>
          <w:szCs w:val="24"/>
        </w:rPr>
        <w:t xml:space="preserve">; and </w:t>
      </w:r>
      <w:r>
        <w:rPr>
          <w:rFonts w:ascii="Times New Roman" w:hAnsi="Times New Roman"/>
          <w:sz w:val="24"/>
          <w:szCs w:val="24"/>
        </w:rPr>
        <w:t>3</w:t>
      </w:r>
      <w:r w:rsidR="005E14A5">
        <w:rPr>
          <w:rFonts w:ascii="Times New Roman" w:hAnsi="Times New Roman"/>
          <w:sz w:val="24"/>
          <w:szCs w:val="24"/>
        </w:rPr>
        <w:t>) individual committee member’s subjective impression of students’ performance while evaluating the work.</w:t>
      </w:r>
      <w:r>
        <w:rPr>
          <w:rFonts w:ascii="Times New Roman" w:hAnsi="Times New Roman"/>
          <w:sz w:val="24"/>
          <w:szCs w:val="24"/>
        </w:rPr>
        <w:t xml:space="preserve"> </w:t>
      </w:r>
      <w:r w:rsidR="006457AA">
        <w:rPr>
          <w:rFonts w:ascii="Times New Roman" w:hAnsi="Times New Roman"/>
          <w:sz w:val="24"/>
          <w:szCs w:val="24"/>
        </w:rPr>
        <w:t xml:space="preserve">The first factor was unavoidable as a result of course scheduling. </w:t>
      </w:r>
      <w:r>
        <w:rPr>
          <w:rFonts w:ascii="Times New Roman" w:hAnsi="Times New Roman"/>
          <w:sz w:val="24"/>
          <w:szCs w:val="24"/>
        </w:rPr>
        <w:t>Due to the unique disciplinary characteristics of anthropology, t</w:t>
      </w:r>
      <w:r w:rsidR="006457AA">
        <w:rPr>
          <w:rFonts w:ascii="Times New Roman" w:hAnsi="Times New Roman"/>
          <w:sz w:val="24"/>
          <w:szCs w:val="24"/>
        </w:rPr>
        <w:t>he latter two</w:t>
      </w:r>
      <w:r>
        <w:rPr>
          <w:rFonts w:ascii="Times New Roman" w:hAnsi="Times New Roman"/>
          <w:sz w:val="24"/>
          <w:szCs w:val="24"/>
        </w:rPr>
        <w:t xml:space="preserve"> factors are</w:t>
      </w:r>
      <w:r w:rsidR="006457AA">
        <w:rPr>
          <w:rFonts w:ascii="Times New Roman" w:hAnsi="Times New Roman"/>
          <w:sz w:val="24"/>
          <w:szCs w:val="24"/>
        </w:rPr>
        <w:t xml:space="preserve"> inherent elements of what make</w:t>
      </w:r>
      <w:r>
        <w:rPr>
          <w:rFonts w:ascii="Times New Roman" w:hAnsi="Times New Roman"/>
          <w:sz w:val="24"/>
          <w:szCs w:val="24"/>
        </w:rPr>
        <w:t xml:space="preserve"> anthropolo</w:t>
      </w:r>
      <w:r w:rsidR="006457AA">
        <w:rPr>
          <w:rFonts w:ascii="Times New Roman" w:hAnsi="Times New Roman"/>
          <w:sz w:val="24"/>
          <w:szCs w:val="24"/>
        </w:rPr>
        <w:t>gy interesting and sustainable.</w:t>
      </w:r>
    </w:p>
    <w:p w:rsidR="00735A6D" w:rsidRDefault="004F073A" w:rsidP="00735C63">
      <w:pPr>
        <w:spacing w:line="360" w:lineRule="auto"/>
        <w:ind w:firstLine="720"/>
        <w:rPr>
          <w:rFonts w:ascii="Times New Roman" w:hAnsi="Times New Roman"/>
          <w:sz w:val="24"/>
          <w:szCs w:val="24"/>
        </w:rPr>
      </w:pPr>
      <w:r>
        <w:rPr>
          <w:rFonts w:ascii="Times New Roman" w:hAnsi="Times New Roman"/>
          <w:sz w:val="24"/>
          <w:szCs w:val="24"/>
        </w:rPr>
        <w:lastRenderedPageBreak/>
        <w:t>Results of</w:t>
      </w:r>
      <w:r w:rsidR="00B86E27">
        <w:rPr>
          <w:rFonts w:ascii="Times New Roman" w:hAnsi="Times New Roman"/>
          <w:sz w:val="24"/>
          <w:szCs w:val="24"/>
        </w:rPr>
        <w:t xml:space="preserve"> this year’s assessment were not comparable to those of past years’ in that this year’s </w:t>
      </w:r>
      <w:r>
        <w:rPr>
          <w:rFonts w:ascii="Times New Roman" w:hAnsi="Times New Roman"/>
          <w:sz w:val="24"/>
          <w:szCs w:val="24"/>
        </w:rPr>
        <w:t>activities were designed to evaluate the effectiveness of the inaugural voluntary teaching theme (although instructors of all three courses assessed made an effort to teach accordingly), something that were not conducted in past years. Results of this year’s assessment will facilitate the Department’s decision-making on whether to continue designating a teaching theme in the coming years. However, it is important to recognize that other factors will also contribute to this decision, besides assessment results.</w:t>
      </w:r>
    </w:p>
    <w:p w:rsidR="00A716C3" w:rsidRDefault="00344267" w:rsidP="00A716C3">
      <w:pPr>
        <w:spacing w:line="360" w:lineRule="auto"/>
        <w:ind w:firstLine="720"/>
        <w:rPr>
          <w:rFonts w:ascii="Times New Roman" w:hAnsi="Times New Roman"/>
          <w:sz w:val="24"/>
          <w:szCs w:val="24"/>
        </w:rPr>
      </w:pPr>
      <w:r w:rsidRPr="00A716C3">
        <w:rPr>
          <w:rFonts w:ascii="Times New Roman" w:hAnsi="Times New Roman"/>
          <w:sz w:val="24"/>
          <w:szCs w:val="24"/>
        </w:rPr>
        <w:t>Similar to the University, the Depa</w:t>
      </w:r>
      <w:r w:rsidR="00A716C3">
        <w:rPr>
          <w:rFonts w:ascii="Times New Roman" w:hAnsi="Times New Roman"/>
          <w:sz w:val="24"/>
          <w:szCs w:val="24"/>
        </w:rPr>
        <w:t xml:space="preserve">rtment of Anthropology serves a diverse student body, including students from </w:t>
      </w:r>
      <w:r w:rsidR="007534FC" w:rsidRPr="00A716C3">
        <w:rPr>
          <w:rFonts w:ascii="Times New Roman" w:hAnsi="Times New Roman"/>
          <w:sz w:val="24"/>
          <w:szCs w:val="24"/>
        </w:rPr>
        <w:t xml:space="preserve">underrepresented </w:t>
      </w:r>
      <w:r w:rsidR="00A716C3">
        <w:rPr>
          <w:rFonts w:ascii="Times New Roman" w:hAnsi="Times New Roman"/>
          <w:sz w:val="24"/>
          <w:szCs w:val="24"/>
        </w:rPr>
        <w:t>groups. We chose to assess three courses covering a wide range of topics and methodologies to ensure each student’s unique ba</w:t>
      </w:r>
      <w:r w:rsidR="00C25602">
        <w:rPr>
          <w:rFonts w:ascii="Times New Roman" w:hAnsi="Times New Roman"/>
          <w:sz w:val="24"/>
          <w:szCs w:val="24"/>
        </w:rPr>
        <w:t xml:space="preserve">ckground, identity, and interest could be captured by the assignments. For example, in ANTH 490C, the signature assignment was based on ethnographic projects for which each student chose a particular tourism-related topic, designed a suitable data collection protocol, and conducted </w:t>
      </w:r>
      <w:r w:rsidR="008B7FAA">
        <w:rPr>
          <w:rFonts w:ascii="Times New Roman" w:hAnsi="Times New Roman"/>
          <w:sz w:val="24"/>
          <w:szCs w:val="24"/>
        </w:rPr>
        <w:t xml:space="preserve">interviews and/or participant observation. It was a delightful process assessing the signature assignments from this course as the assignments covered a diverse array of topics on cultural and spiritual practices, methods of language acquisition, college experiences, recreational activities, and more. In ANTH 440, </w:t>
      </w:r>
      <w:r w:rsidR="00AB4136">
        <w:rPr>
          <w:rFonts w:ascii="Times New Roman" w:hAnsi="Times New Roman"/>
          <w:sz w:val="24"/>
          <w:szCs w:val="24"/>
        </w:rPr>
        <w:t xml:space="preserve">students chose from </w:t>
      </w:r>
      <w:r w:rsidR="008B7FAA">
        <w:rPr>
          <w:rFonts w:ascii="Times New Roman" w:hAnsi="Times New Roman"/>
          <w:sz w:val="24"/>
          <w:szCs w:val="24"/>
        </w:rPr>
        <w:t>a list of historical cemeteries</w:t>
      </w:r>
      <w:r w:rsidR="00AB4136">
        <w:rPr>
          <w:rFonts w:ascii="Times New Roman" w:hAnsi="Times New Roman"/>
          <w:sz w:val="24"/>
          <w:szCs w:val="24"/>
        </w:rPr>
        <w:t xml:space="preserve"> with various significance (religious, history of the America West, entertainment industry, landscape design, urbanization, etc.) </w:t>
      </w:r>
      <w:r w:rsidR="008B7FAA">
        <w:rPr>
          <w:rFonts w:ascii="Times New Roman" w:hAnsi="Times New Roman"/>
          <w:sz w:val="24"/>
          <w:szCs w:val="24"/>
        </w:rPr>
        <w:t>in the Los Angeles area to conduct bioarchaeological research</w:t>
      </w:r>
      <w:r w:rsidR="00AB4136">
        <w:rPr>
          <w:rFonts w:ascii="Times New Roman" w:hAnsi="Times New Roman"/>
          <w:sz w:val="24"/>
          <w:szCs w:val="24"/>
        </w:rPr>
        <w:t xml:space="preserve"> and </w:t>
      </w:r>
      <w:r w:rsidR="00B200DC">
        <w:rPr>
          <w:rFonts w:ascii="Times New Roman" w:hAnsi="Times New Roman"/>
          <w:sz w:val="24"/>
          <w:szCs w:val="24"/>
        </w:rPr>
        <w:t xml:space="preserve">to </w:t>
      </w:r>
      <w:r w:rsidR="00AB4136">
        <w:rPr>
          <w:rFonts w:ascii="Times New Roman" w:hAnsi="Times New Roman"/>
          <w:sz w:val="24"/>
          <w:szCs w:val="24"/>
        </w:rPr>
        <w:t>produce the signature assignments</w:t>
      </w:r>
      <w:r w:rsidR="008B7FAA">
        <w:rPr>
          <w:rFonts w:ascii="Times New Roman" w:hAnsi="Times New Roman"/>
          <w:sz w:val="24"/>
          <w:szCs w:val="24"/>
        </w:rPr>
        <w:t xml:space="preserve">. </w:t>
      </w:r>
      <w:r w:rsidR="00AB4136">
        <w:rPr>
          <w:rFonts w:ascii="Times New Roman" w:hAnsi="Times New Roman"/>
          <w:sz w:val="24"/>
          <w:szCs w:val="24"/>
        </w:rPr>
        <w:t xml:space="preserve">Students were able to articulate their family and/or cultural experiences within the research protocol and in the end, added to the vibrancy of research. We believe the Department could benefit </w:t>
      </w:r>
      <w:r w:rsidR="00B200DC">
        <w:rPr>
          <w:rFonts w:ascii="Times New Roman" w:hAnsi="Times New Roman"/>
          <w:sz w:val="24"/>
          <w:szCs w:val="24"/>
        </w:rPr>
        <w:t xml:space="preserve">the most </w:t>
      </w:r>
      <w:r w:rsidR="00AB4136">
        <w:rPr>
          <w:rFonts w:ascii="Times New Roman" w:hAnsi="Times New Roman"/>
          <w:sz w:val="24"/>
          <w:szCs w:val="24"/>
        </w:rPr>
        <w:t xml:space="preserve">from the assessment data derived from courses with inclusive pedagogical approaches and </w:t>
      </w:r>
      <w:r w:rsidR="00B200DC">
        <w:rPr>
          <w:rFonts w:ascii="Times New Roman" w:hAnsi="Times New Roman"/>
          <w:sz w:val="24"/>
          <w:szCs w:val="24"/>
        </w:rPr>
        <w:t xml:space="preserve">continue to facilitate student success. </w:t>
      </w:r>
    </w:p>
    <w:p w:rsidR="00F151F9" w:rsidRPr="00A85BA9" w:rsidRDefault="00F151F9" w:rsidP="00A85BA9">
      <w:pPr>
        <w:pStyle w:val="Heading2"/>
        <w:rPr>
          <w:rFonts w:ascii="Times New Roman" w:hAnsi="Times New Roman" w:cs="Times New Roman"/>
          <w:b/>
          <w:color w:val="auto"/>
          <w:sz w:val="24"/>
        </w:rPr>
      </w:pPr>
      <w:r w:rsidRPr="00A85BA9">
        <w:rPr>
          <w:rFonts w:ascii="Times New Roman" w:hAnsi="Times New Roman" w:cs="Times New Roman"/>
          <w:b/>
          <w:color w:val="auto"/>
          <w:sz w:val="24"/>
        </w:rPr>
        <w:t>D. Other Assessment Activity</w:t>
      </w:r>
    </w:p>
    <w:p w:rsidR="00E03C5C" w:rsidRPr="00C27182" w:rsidRDefault="009054F3" w:rsidP="007A0B5E">
      <w:pPr>
        <w:spacing w:line="360" w:lineRule="auto"/>
        <w:ind w:firstLine="720"/>
        <w:rPr>
          <w:rFonts w:ascii="Times New Roman" w:hAnsi="Times New Roman"/>
          <w:sz w:val="24"/>
          <w:szCs w:val="24"/>
        </w:rPr>
      </w:pPr>
      <w:r>
        <w:rPr>
          <w:rFonts w:ascii="Times New Roman" w:hAnsi="Times New Roman"/>
          <w:sz w:val="24"/>
          <w:szCs w:val="24"/>
        </w:rPr>
        <w:t>In addition to the above direct assessment of student performance, the AY18-19 assessment committee also completed the 5-year assessment plan drafted by the previous liaison.</w:t>
      </w:r>
      <w:r w:rsidR="00F151F9" w:rsidRPr="00C27182">
        <w:rPr>
          <w:rFonts w:ascii="Times New Roman" w:hAnsi="Times New Roman"/>
          <w:sz w:val="24"/>
          <w:szCs w:val="24"/>
        </w:rPr>
        <w:t xml:space="preserve"> See Appendix A.</w:t>
      </w:r>
      <w:r>
        <w:rPr>
          <w:rFonts w:ascii="Times New Roman" w:hAnsi="Times New Roman"/>
          <w:sz w:val="24"/>
          <w:szCs w:val="24"/>
        </w:rPr>
        <w:t xml:space="preserve"> This plan was approved unanimously by </w:t>
      </w:r>
      <w:r w:rsidR="007A0B5E">
        <w:rPr>
          <w:rFonts w:ascii="Times New Roman" w:hAnsi="Times New Roman"/>
          <w:sz w:val="24"/>
          <w:szCs w:val="24"/>
        </w:rPr>
        <w:t>the faculty.</w:t>
      </w:r>
    </w:p>
    <w:p w:rsidR="00E03C5C" w:rsidRPr="00A85BA9" w:rsidRDefault="00162A3E" w:rsidP="00162A3E">
      <w:pPr>
        <w:pStyle w:val="Heading1"/>
        <w:rPr>
          <w:rFonts w:ascii="Times New Roman" w:hAnsi="Times New Roman" w:cs="Times New Roman"/>
          <w:b/>
          <w:color w:val="auto"/>
          <w:sz w:val="28"/>
        </w:rPr>
      </w:pPr>
      <w:r>
        <w:rPr>
          <w:rFonts w:ascii="Times New Roman" w:hAnsi="Times New Roman" w:cs="Times New Roman"/>
          <w:b/>
          <w:color w:val="auto"/>
          <w:sz w:val="28"/>
        </w:rPr>
        <w:t xml:space="preserve">3. </w:t>
      </w:r>
      <w:r w:rsidR="00E03C5C" w:rsidRPr="00A85BA9">
        <w:rPr>
          <w:rFonts w:ascii="Times New Roman" w:hAnsi="Times New Roman" w:cs="Times New Roman"/>
          <w:b/>
          <w:color w:val="auto"/>
          <w:sz w:val="28"/>
        </w:rPr>
        <w:t>Preview of planned ass</w:t>
      </w:r>
      <w:r>
        <w:rPr>
          <w:rFonts w:ascii="Times New Roman" w:hAnsi="Times New Roman" w:cs="Times New Roman"/>
          <w:b/>
          <w:color w:val="auto"/>
          <w:sz w:val="28"/>
        </w:rPr>
        <w:t>essment activities for 2019-20</w:t>
      </w:r>
    </w:p>
    <w:p w:rsidR="00F26964" w:rsidRDefault="00E67E44" w:rsidP="00B200DC">
      <w:pPr>
        <w:spacing w:line="360" w:lineRule="auto"/>
        <w:ind w:firstLine="720"/>
        <w:rPr>
          <w:rFonts w:ascii="Times New Roman" w:hAnsi="Times New Roman"/>
          <w:sz w:val="24"/>
          <w:szCs w:val="24"/>
        </w:rPr>
        <w:sectPr w:rsidR="00F26964" w:rsidSect="00CB4D1A">
          <w:pgSz w:w="12240" w:h="15840"/>
          <w:pgMar w:top="1440" w:right="1152" w:bottom="1440" w:left="1152" w:header="720" w:footer="720" w:gutter="0"/>
          <w:cols w:space="720"/>
          <w:titlePg/>
          <w:docGrid w:linePitch="360"/>
        </w:sectPr>
      </w:pPr>
      <w:r w:rsidRPr="00C27182">
        <w:rPr>
          <w:rFonts w:ascii="Times New Roman" w:hAnsi="Times New Roman"/>
          <w:sz w:val="24"/>
          <w:szCs w:val="24"/>
        </w:rPr>
        <w:t xml:space="preserve">Per directives from the Office of Academic Assessment, assessment activities for AY19-20 will focus on assessing GE courses in Social Sciences since </w:t>
      </w:r>
      <w:r w:rsidR="003C57B5" w:rsidRPr="00C27182">
        <w:rPr>
          <w:rFonts w:ascii="Times New Roman" w:hAnsi="Times New Roman"/>
          <w:sz w:val="24"/>
          <w:szCs w:val="24"/>
        </w:rPr>
        <w:t xml:space="preserve">our department 1) regularly offers a large selection of GE courses in this section, 2) </w:t>
      </w:r>
      <w:r w:rsidRPr="00C27182">
        <w:rPr>
          <w:rFonts w:ascii="Times New Roman" w:hAnsi="Times New Roman"/>
          <w:sz w:val="24"/>
          <w:szCs w:val="24"/>
        </w:rPr>
        <w:t>is not going through accreditation</w:t>
      </w:r>
      <w:r w:rsidR="003C57B5" w:rsidRPr="00C27182">
        <w:rPr>
          <w:rFonts w:ascii="Times New Roman" w:hAnsi="Times New Roman"/>
          <w:sz w:val="24"/>
          <w:szCs w:val="24"/>
        </w:rPr>
        <w:t>,</w:t>
      </w:r>
      <w:r w:rsidRPr="00C27182">
        <w:rPr>
          <w:rFonts w:ascii="Times New Roman" w:hAnsi="Times New Roman"/>
          <w:sz w:val="24"/>
          <w:szCs w:val="24"/>
        </w:rPr>
        <w:t xml:space="preserve"> and </w:t>
      </w:r>
      <w:r w:rsidR="003C57B5" w:rsidRPr="00C27182">
        <w:rPr>
          <w:rFonts w:ascii="Times New Roman" w:hAnsi="Times New Roman"/>
          <w:sz w:val="24"/>
          <w:szCs w:val="24"/>
        </w:rPr>
        <w:t xml:space="preserve">3) </w:t>
      </w:r>
      <w:r w:rsidRPr="00C27182">
        <w:rPr>
          <w:rFonts w:ascii="Times New Roman" w:hAnsi="Times New Roman"/>
          <w:sz w:val="24"/>
          <w:szCs w:val="24"/>
        </w:rPr>
        <w:t xml:space="preserve">has no </w:t>
      </w:r>
      <w:r w:rsidR="003C57B5" w:rsidRPr="00C27182">
        <w:rPr>
          <w:rFonts w:ascii="Times New Roman" w:hAnsi="Times New Roman"/>
          <w:sz w:val="24"/>
          <w:szCs w:val="24"/>
        </w:rPr>
        <w:t xml:space="preserve">other </w:t>
      </w:r>
      <w:r w:rsidRPr="00C27182">
        <w:rPr>
          <w:rFonts w:ascii="Times New Roman" w:hAnsi="Times New Roman"/>
          <w:sz w:val="24"/>
          <w:szCs w:val="24"/>
        </w:rPr>
        <w:lastRenderedPageBreak/>
        <w:t xml:space="preserve">known assessment priorities at this time. The assessment liaison will </w:t>
      </w:r>
      <w:r w:rsidR="003C57B5" w:rsidRPr="00C27182">
        <w:rPr>
          <w:rFonts w:ascii="Times New Roman" w:hAnsi="Times New Roman"/>
          <w:sz w:val="24"/>
          <w:szCs w:val="24"/>
        </w:rPr>
        <w:t>consult with the Department C</w:t>
      </w:r>
      <w:r w:rsidRPr="00C27182">
        <w:rPr>
          <w:rFonts w:ascii="Times New Roman" w:hAnsi="Times New Roman"/>
          <w:sz w:val="24"/>
          <w:szCs w:val="24"/>
        </w:rPr>
        <w:t>hair and assessment committee members to select GE courses in Social Sciences section to conduct assessment activities. Thes</w:t>
      </w:r>
      <w:r w:rsidR="003C57B5" w:rsidRPr="00C27182">
        <w:rPr>
          <w:rFonts w:ascii="Times New Roman" w:hAnsi="Times New Roman"/>
          <w:sz w:val="24"/>
          <w:szCs w:val="24"/>
        </w:rPr>
        <w:t xml:space="preserve">e courses will be selected based on whether they </w:t>
      </w:r>
      <w:r w:rsidRPr="00C27182">
        <w:rPr>
          <w:rFonts w:ascii="Times New Roman" w:hAnsi="Times New Roman"/>
          <w:sz w:val="24"/>
          <w:szCs w:val="24"/>
        </w:rPr>
        <w:t>would yield</w:t>
      </w:r>
      <w:r w:rsidR="003C57B5" w:rsidRPr="00C27182">
        <w:rPr>
          <w:rFonts w:ascii="Times New Roman" w:hAnsi="Times New Roman"/>
          <w:sz w:val="24"/>
          <w:szCs w:val="24"/>
        </w:rPr>
        <w:t xml:space="preserve"> most relevant evidence</w:t>
      </w:r>
      <w:r w:rsidRPr="00C27182">
        <w:rPr>
          <w:rFonts w:ascii="Times New Roman" w:hAnsi="Times New Roman"/>
          <w:sz w:val="24"/>
          <w:szCs w:val="24"/>
        </w:rPr>
        <w:t xml:space="preserve"> to </w:t>
      </w:r>
      <w:r w:rsidR="003C57B5" w:rsidRPr="00C27182">
        <w:rPr>
          <w:rFonts w:ascii="Times New Roman" w:hAnsi="Times New Roman"/>
          <w:sz w:val="24"/>
          <w:szCs w:val="24"/>
        </w:rPr>
        <w:t xml:space="preserve">inform the Department’s policies in facilitating student success and achieving goals of GI 2025. </w:t>
      </w:r>
    </w:p>
    <w:p w:rsidR="00F26964" w:rsidRDefault="007A0B5E" w:rsidP="00F26964">
      <w:pPr>
        <w:pStyle w:val="MediumGrid1-Accent21"/>
        <w:ind w:left="0"/>
        <w:jc w:val="center"/>
        <w:rPr>
          <w:rFonts w:ascii="Times New Roman" w:hAnsi="Times New Roman"/>
          <w:b/>
          <w:sz w:val="24"/>
          <w:szCs w:val="24"/>
        </w:rPr>
      </w:pPr>
      <w:r w:rsidRPr="007A0B5E">
        <w:rPr>
          <w:rFonts w:ascii="Times New Roman" w:hAnsi="Times New Roman"/>
          <w:b/>
          <w:sz w:val="24"/>
          <w:szCs w:val="24"/>
        </w:rPr>
        <w:lastRenderedPageBreak/>
        <w:t>Appendix A</w:t>
      </w:r>
    </w:p>
    <w:p w:rsidR="00F26964" w:rsidRPr="00F26964" w:rsidRDefault="00F26964" w:rsidP="00F26964">
      <w:pPr>
        <w:spacing w:after="0" w:line="240" w:lineRule="auto"/>
        <w:jc w:val="center"/>
        <w:rPr>
          <w:b/>
          <w:sz w:val="28"/>
          <w:szCs w:val="28"/>
        </w:rPr>
      </w:pPr>
      <w:r w:rsidRPr="00F26964">
        <w:rPr>
          <w:b/>
          <w:sz w:val="28"/>
          <w:szCs w:val="28"/>
        </w:rPr>
        <w:t>Program Assessment Plan, 2017-2022</w:t>
      </w:r>
    </w:p>
    <w:p w:rsidR="00F26964" w:rsidRPr="00F26964" w:rsidRDefault="00F26964" w:rsidP="00F26964">
      <w:pPr>
        <w:spacing w:after="0" w:line="240" w:lineRule="auto"/>
        <w:jc w:val="center"/>
        <w:rPr>
          <w:b/>
          <w:sz w:val="20"/>
          <w:szCs w:val="20"/>
        </w:rPr>
      </w:pPr>
    </w:p>
    <w:p w:rsidR="00F26964" w:rsidRPr="00F26964" w:rsidRDefault="00F26964" w:rsidP="00F26964">
      <w:pPr>
        <w:spacing w:after="0" w:line="240" w:lineRule="auto"/>
        <w:jc w:val="center"/>
        <w:rPr>
          <w:b/>
          <w:sz w:val="28"/>
          <w:szCs w:val="20"/>
        </w:rPr>
      </w:pPr>
      <w:r w:rsidRPr="00F26964">
        <w:rPr>
          <w:b/>
          <w:sz w:val="28"/>
          <w:szCs w:val="24"/>
        </w:rPr>
        <w:t>Department/Program:</w:t>
      </w:r>
      <w:r w:rsidRPr="00F26964">
        <w:rPr>
          <w:b/>
          <w:sz w:val="28"/>
          <w:szCs w:val="20"/>
        </w:rPr>
        <w:t xml:space="preserve"> __________</w:t>
      </w:r>
      <w:r w:rsidRPr="00F26964">
        <w:rPr>
          <w:b/>
          <w:sz w:val="28"/>
          <w:szCs w:val="20"/>
          <w:u w:val="single"/>
        </w:rPr>
        <w:t>Anthropology / Undergraduate, Graduate</w:t>
      </w:r>
      <w:r w:rsidRPr="00F26964">
        <w:rPr>
          <w:b/>
          <w:sz w:val="28"/>
          <w:szCs w:val="20"/>
        </w:rPr>
        <w:t>_________________</w:t>
      </w:r>
    </w:p>
    <w:p w:rsidR="00F26964" w:rsidRPr="00F26964" w:rsidRDefault="00F26964" w:rsidP="00F26964">
      <w:pPr>
        <w:spacing w:after="0" w:line="240" w:lineRule="auto"/>
        <w:jc w:val="center"/>
        <w:rPr>
          <w:b/>
          <w:sz w:val="28"/>
          <w:szCs w:val="20"/>
        </w:rPr>
      </w:pPr>
    </w:p>
    <w:p w:rsidR="00F26964" w:rsidRPr="00F26964" w:rsidRDefault="00F26964" w:rsidP="00F26964">
      <w:pPr>
        <w:spacing w:after="0" w:line="240" w:lineRule="auto"/>
        <w:jc w:val="center"/>
        <w:rPr>
          <w:b/>
          <w:sz w:val="28"/>
          <w:szCs w:val="20"/>
        </w:rPr>
      </w:pPr>
      <w:r w:rsidRPr="00F26964">
        <w:rPr>
          <w:b/>
          <w:sz w:val="28"/>
          <w:szCs w:val="20"/>
        </w:rPr>
        <w:t>Option: __________________________________________________</w:t>
      </w:r>
    </w:p>
    <w:p w:rsidR="00F26964" w:rsidRPr="00F26964" w:rsidRDefault="00F26964" w:rsidP="00F26964">
      <w:pPr>
        <w:spacing w:after="0" w:line="240" w:lineRule="auto"/>
        <w:rPr>
          <w:b/>
          <w:sz w:val="20"/>
          <w:szCs w:val="20"/>
        </w:rPr>
      </w:pPr>
    </w:p>
    <w:p w:rsidR="00F26964" w:rsidRPr="00F26964" w:rsidRDefault="00F26964" w:rsidP="00F26964">
      <w:pPr>
        <w:spacing w:after="0" w:line="240" w:lineRule="auto"/>
        <w:rPr>
          <w:sz w:val="20"/>
          <w:szCs w:val="20"/>
        </w:rPr>
      </w:pPr>
      <w:r w:rsidRPr="00F26964">
        <w:rPr>
          <w:sz w:val="20"/>
          <w:szCs w:val="20"/>
        </w:rPr>
        <w:t xml:space="preserve">The Department of Anthropology significantly revised its Program Learning Outcomes in </w:t>
      </w:r>
      <w:proofErr w:type="gramStart"/>
      <w:r w:rsidRPr="00F26964">
        <w:rPr>
          <w:sz w:val="20"/>
          <w:szCs w:val="20"/>
        </w:rPr>
        <w:t>Spring</w:t>
      </w:r>
      <w:proofErr w:type="gramEnd"/>
      <w:r w:rsidRPr="00F26964">
        <w:rPr>
          <w:sz w:val="20"/>
          <w:szCs w:val="20"/>
        </w:rPr>
        <w:t xml:space="preserve"> 2017 because since the last 5 year Assessment Plan. Additionally, one senior faculty member left the department, changing the composition of the department.  The revision of our PLOs in </w:t>
      </w:r>
      <w:proofErr w:type="gramStart"/>
      <w:r w:rsidRPr="00F26964">
        <w:rPr>
          <w:sz w:val="20"/>
          <w:szCs w:val="20"/>
        </w:rPr>
        <w:t>Spring</w:t>
      </w:r>
      <w:proofErr w:type="gramEnd"/>
      <w:r w:rsidRPr="00F26964">
        <w:rPr>
          <w:sz w:val="20"/>
          <w:szCs w:val="20"/>
        </w:rPr>
        <w:t xml:space="preserve"> 2017 was done to allow the new faculty to provide their input in this important process.  As a result, the first year of the Assessment Plan presented below is transitory and aims at re-gearing our assessment tools to align them with the new PLOs to prepare for the following years when these new tools will be used to assess our programs.</w:t>
      </w:r>
    </w:p>
    <w:p w:rsidR="00F26964" w:rsidRPr="00F26964" w:rsidRDefault="00F26964" w:rsidP="00F26964">
      <w:pPr>
        <w:spacing w:after="0" w:line="240" w:lineRule="auto"/>
        <w:rPr>
          <w:sz w:val="20"/>
          <w:szCs w:val="20"/>
        </w:rPr>
      </w:pPr>
      <w:r w:rsidRPr="00F26964">
        <w:rPr>
          <w:sz w:val="20"/>
          <w:szCs w:val="20"/>
        </w:rPr>
        <w:t xml:space="preserve"> </w:t>
      </w:r>
    </w:p>
    <w:tbl>
      <w:tblPr>
        <w:tblpPr w:leftFromText="180" w:rightFromText="180" w:vertAnchor="text"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90"/>
        <w:gridCol w:w="4050"/>
        <w:gridCol w:w="3870"/>
        <w:gridCol w:w="1350"/>
        <w:gridCol w:w="1620"/>
        <w:gridCol w:w="1170"/>
      </w:tblGrid>
      <w:tr w:rsidR="00F26964" w:rsidRPr="00F26964" w:rsidTr="00CF0EA6">
        <w:tc>
          <w:tcPr>
            <w:tcW w:w="1818" w:type="dxa"/>
          </w:tcPr>
          <w:p w:rsidR="00F26964" w:rsidRPr="00F26964" w:rsidRDefault="00F26964" w:rsidP="00F26964">
            <w:pPr>
              <w:spacing w:after="0" w:line="240" w:lineRule="auto"/>
              <w:jc w:val="center"/>
              <w:rPr>
                <w:b/>
                <w:sz w:val="20"/>
                <w:szCs w:val="20"/>
              </w:rPr>
            </w:pPr>
            <w:r w:rsidRPr="00F26964">
              <w:rPr>
                <w:b/>
                <w:sz w:val="20"/>
                <w:szCs w:val="20"/>
              </w:rPr>
              <w:t>Assessment Activity</w:t>
            </w:r>
          </w:p>
          <w:p w:rsidR="00F26964" w:rsidRPr="00F26964" w:rsidRDefault="00F26964" w:rsidP="00F26964">
            <w:pPr>
              <w:spacing w:after="0" w:line="240" w:lineRule="auto"/>
              <w:jc w:val="center"/>
              <w:rPr>
                <w:sz w:val="20"/>
                <w:szCs w:val="20"/>
              </w:rPr>
            </w:pPr>
            <w:r w:rsidRPr="00F26964">
              <w:rPr>
                <w:sz w:val="20"/>
                <w:szCs w:val="20"/>
              </w:rPr>
              <w:t>Specify type of assessment activity and SLO (may refer by number to list below)</w:t>
            </w:r>
          </w:p>
        </w:tc>
        <w:tc>
          <w:tcPr>
            <w:tcW w:w="990" w:type="dxa"/>
          </w:tcPr>
          <w:p w:rsidR="00F26964" w:rsidRPr="00F26964" w:rsidRDefault="00F26964" w:rsidP="00F26964">
            <w:pPr>
              <w:spacing w:after="0" w:line="240" w:lineRule="auto"/>
              <w:jc w:val="center"/>
              <w:rPr>
                <w:b/>
                <w:sz w:val="20"/>
                <w:szCs w:val="20"/>
              </w:rPr>
            </w:pPr>
            <w:r w:rsidRPr="00F26964">
              <w:rPr>
                <w:sz w:val="20"/>
                <w:szCs w:val="20"/>
              </w:rPr>
              <w:t xml:space="preserve"> </w:t>
            </w:r>
            <w:r w:rsidRPr="00F26964">
              <w:rPr>
                <w:b/>
                <w:sz w:val="20"/>
                <w:szCs w:val="20"/>
              </w:rPr>
              <w:t>Time Period</w:t>
            </w:r>
          </w:p>
        </w:tc>
        <w:tc>
          <w:tcPr>
            <w:tcW w:w="4050" w:type="dxa"/>
          </w:tcPr>
          <w:p w:rsidR="00F26964" w:rsidRPr="00F26964" w:rsidRDefault="00F26964" w:rsidP="00F26964">
            <w:pPr>
              <w:spacing w:after="0" w:line="240" w:lineRule="auto"/>
              <w:jc w:val="center"/>
              <w:rPr>
                <w:b/>
                <w:sz w:val="20"/>
                <w:szCs w:val="20"/>
              </w:rPr>
            </w:pPr>
            <w:r w:rsidRPr="00F26964">
              <w:rPr>
                <w:b/>
                <w:sz w:val="20"/>
                <w:szCs w:val="20"/>
              </w:rPr>
              <w:t>Direct Measures</w:t>
            </w:r>
          </w:p>
          <w:p w:rsidR="00F26964" w:rsidRPr="00F26964" w:rsidRDefault="00F26964" w:rsidP="00F26964">
            <w:pPr>
              <w:spacing w:after="0" w:line="240" w:lineRule="auto"/>
              <w:jc w:val="center"/>
              <w:rPr>
                <w:sz w:val="20"/>
                <w:szCs w:val="20"/>
              </w:rPr>
            </w:pPr>
            <w:r w:rsidRPr="00F26964">
              <w:rPr>
                <w:sz w:val="20"/>
                <w:szCs w:val="20"/>
              </w:rPr>
              <w:t>Describe student work to be used to provide evidence for outcome</w:t>
            </w:r>
          </w:p>
        </w:tc>
        <w:tc>
          <w:tcPr>
            <w:tcW w:w="3870" w:type="dxa"/>
          </w:tcPr>
          <w:p w:rsidR="00F26964" w:rsidRPr="00F26964" w:rsidRDefault="00F26964" w:rsidP="00F26964">
            <w:pPr>
              <w:spacing w:after="0" w:line="240" w:lineRule="auto"/>
              <w:jc w:val="center"/>
              <w:rPr>
                <w:b/>
                <w:sz w:val="20"/>
                <w:szCs w:val="20"/>
              </w:rPr>
            </w:pPr>
            <w:r w:rsidRPr="00F26964">
              <w:rPr>
                <w:b/>
                <w:sz w:val="20"/>
                <w:szCs w:val="20"/>
              </w:rPr>
              <w:t>Indirect Measures</w:t>
            </w:r>
          </w:p>
          <w:p w:rsidR="00F26964" w:rsidRPr="00F26964" w:rsidRDefault="00F26964" w:rsidP="00F26964">
            <w:pPr>
              <w:spacing w:after="0" w:line="240" w:lineRule="auto"/>
              <w:jc w:val="center"/>
              <w:rPr>
                <w:sz w:val="20"/>
                <w:szCs w:val="20"/>
              </w:rPr>
            </w:pPr>
            <w:r w:rsidRPr="00F26964">
              <w:rPr>
                <w:sz w:val="20"/>
                <w:szCs w:val="20"/>
              </w:rPr>
              <w:t>Describe instrument: survey, interview</w:t>
            </w:r>
          </w:p>
        </w:tc>
        <w:tc>
          <w:tcPr>
            <w:tcW w:w="1350" w:type="dxa"/>
          </w:tcPr>
          <w:p w:rsidR="00F26964" w:rsidRPr="00F26964" w:rsidRDefault="00F26964" w:rsidP="00F26964">
            <w:pPr>
              <w:spacing w:after="0" w:line="240" w:lineRule="auto"/>
              <w:jc w:val="center"/>
              <w:rPr>
                <w:sz w:val="20"/>
                <w:szCs w:val="20"/>
              </w:rPr>
            </w:pPr>
            <w:r w:rsidRPr="00F26964">
              <w:rPr>
                <w:b/>
                <w:sz w:val="20"/>
                <w:szCs w:val="20"/>
              </w:rPr>
              <w:t>Where will evidence be gathered?</w:t>
            </w:r>
            <w:r w:rsidRPr="00F26964">
              <w:rPr>
                <w:sz w:val="20"/>
                <w:szCs w:val="20"/>
              </w:rPr>
              <w:t xml:space="preserve"> </w:t>
            </w:r>
          </w:p>
          <w:p w:rsidR="00F26964" w:rsidRPr="00F26964" w:rsidRDefault="00F26964" w:rsidP="00F26964">
            <w:pPr>
              <w:spacing w:after="0" w:line="240" w:lineRule="auto"/>
              <w:jc w:val="center"/>
              <w:rPr>
                <w:sz w:val="20"/>
                <w:szCs w:val="20"/>
              </w:rPr>
            </w:pPr>
            <w:r w:rsidRPr="00F26964">
              <w:rPr>
                <w:sz w:val="20"/>
                <w:szCs w:val="20"/>
              </w:rPr>
              <w:t xml:space="preserve">Course name, internship, </w:t>
            </w:r>
            <w:proofErr w:type="spellStart"/>
            <w:r w:rsidRPr="00F26964">
              <w:rPr>
                <w:sz w:val="20"/>
                <w:szCs w:val="20"/>
              </w:rPr>
              <w:t>etc</w:t>
            </w:r>
            <w:proofErr w:type="spellEnd"/>
          </w:p>
        </w:tc>
        <w:tc>
          <w:tcPr>
            <w:tcW w:w="1620" w:type="dxa"/>
          </w:tcPr>
          <w:p w:rsidR="00F26964" w:rsidRPr="00F26964" w:rsidRDefault="00F26964" w:rsidP="00F26964">
            <w:pPr>
              <w:spacing w:after="0" w:line="240" w:lineRule="auto"/>
              <w:jc w:val="center"/>
              <w:rPr>
                <w:b/>
                <w:sz w:val="20"/>
                <w:szCs w:val="20"/>
              </w:rPr>
            </w:pPr>
            <w:r w:rsidRPr="00F26964">
              <w:rPr>
                <w:b/>
                <w:sz w:val="20"/>
                <w:szCs w:val="20"/>
              </w:rPr>
              <w:t>What results would indicate success or failure?</w:t>
            </w:r>
          </w:p>
          <w:p w:rsidR="00F26964" w:rsidRPr="00F26964" w:rsidRDefault="00F26964" w:rsidP="00F26964">
            <w:pPr>
              <w:spacing w:after="0" w:line="240" w:lineRule="auto"/>
              <w:jc w:val="center"/>
              <w:rPr>
                <w:sz w:val="20"/>
                <w:szCs w:val="20"/>
              </w:rPr>
            </w:pPr>
            <w:r w:rsidRPr="00F26964">
              <w:rPr>
                <w:sz w:val="20"/>
                <w:szCs w:val="20"/>
              </w:rPr>
              <w:t>What is the expected level of achievement?</w:t>
            </w:r>
          </w:p>
        </w:tc>
        <w:tc>
          <w:tcPr>
            <w:tcW w:w="1170" w:type="dxa"/>
          </w:tcPr>
          <w:p w:rsidR="00F26964" w:rsidRPr="00F26964" w:rsidRDefault="00F26964" w:rsidP="00F26964">
            <w:pPr>
              <w:spacing w:after="0" w:line="240" w:lineRule="auto"/>
              <w:jc w:val="center"/>
              <w:rPr>
                <w:b/>
                <w:sz w:val="20"/>
                <w:szCs w:val="20"/>
              </w:rPr>
            </w:pPr>
            <w:r w:rsidRPr="00F26964">
              <w:rPr>
                <w:b/>
                <w:sz w:val="20"/>
                <w:szCs w:val="20"/>
              </w:rPr>
              <w:t>Status</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2025 Initiative compliance efforts</w:t>
            </w:r>
          </w:p>
        </w:tc>
        <w:tc>
          <w:tcPr>
            <w:tcW w:w="990" w:type="dxa"/>
          </w:tcPr>
          <w:p w:rsidR="00F26964" w:rsidRPr="00F26964" w:rsidRDefault="00F26964" w:rsidP="00F26964">
            <w:pPr>
              <w:spacing w:after="0" w:line="240" w:lineRule="auto"/>
              <w:rPr>
                <w:sz w:val="20"/>
                <w:szCs w:val="20"/>
              </w:rPr>
            </w:pPr>
            <w:r w:rsidRPr="00F26964">
              <w:rPr>
                <w:sz w:val="20"/>
                <w:szCs w:val="20"/>
              </w:rPr>
              <w:t>AY 2017-2018</w:t>
            </w:r>
          </w:p>
        </w:tc>
        <w:tc>
          <w:tcPr>
            <w:tcW w:w="4050" w:type="dxa"/>
          </w:tcPr>
          <w:p w:rsidR="00F26964" w:rsidRPr="00F26964" w:rsidRDefault="00F26964" w:rsidP="00F26964">
            <w:pPr>
              <w:spacing w:after="0" w:line="240" w:lineRule="auto"/>
              <w:rPr>
                <w:sz w:val="20"/>
                <w:szCs w:val="20"/>
              </w:rPr>
            </w:pPr>
            <w:r w:rsidRPr="00F26964">
              <w:rPr>
                <w:sz w:val="20"/>
                <w:szCs w:val="20"/>
              </w:rPr>
              <w:t>As part of the 2025 Initiative, we have been assessing the impact of new practices on the DFU rates of students in large GE courses.</w:t>
            </w:r>
          </w:p>
        </w:tc>
        <w:tc>
          <w:tcPr>
            <w:tcW w:w="3870" w:type="dxa"/>
          </w:tcPr>
          <w:p w:rsidR="00F26964" w:rsidRPr="00F26964" w:rsidRDefault="00F26964" w:rsidP="00F26964">
            <w:pPr>
              <w:spacing w:after="0" w:line="240" w:lineRule="auto"/>
              <w:rPr>
                <w:sz w:val="20"/>
                <w:szCs w:val="20"/>
              </w:rPr>
            </w:pPr>
            <w:r w:rsidRPr="00F26964">
              <w:rPr>
                <w:sz w:val="20"/>
                <w:szCs w:val="20"/>
              </w:rPr>
              <w:t xml:space="preserve">Participation in Freshmen Connection (ANTH 152) </w:t>
            </w:r>
          </w:p>
        </w:tc>
        <w:tc>
          <w:tcPr>
            <w:tcW w:w="1350" w:type="dxa"/>
          </w:tcPr>
          <w:p w:rsidR="00F26964" w:rsidRPr="00F26964" w:rsidRDefault="00F26964" w:rsidP="00F26964">
            <w:pPr>
              <w:spacing w:after="0" w:line="240" w:lineRule="auto"/>
              <w:rPr>
                <w:sz w:val="20"/>
                <w:szCs w:val="20"/>
              </w:rPr>
            </w:pPr>
            <w:r w:rsidRPr="00F26964">
              <w:rPr>
                <w:sz w:val="20"/>
                <w:szCs w:val="20"/>
              </w:rPr>
              <w:t>ANTH 152 in the Fall, ANTH 151 and 152 in the Spring</w:t>
            </w:r>
          </w:p>
        </w:tc>
        <w:tc>
          <w:tcPr>
            <w:tcW w:w="1620" w:type="dxa"/>
          </w:tcPr>
          <w:p w:rsidR="00F26964" w:rsidRPr="00F26964" w:rsidRDefault="00F26964" w:rsidP="00F26964">
            <w:pPr>
              <w:spacing w:after="0" w:line="240" w:lineRule="auto"/>
              <w:rPr>
                <w:sz w:val="20"/>
                <w:szCs w:val="20"/>
              </w:rPr>
            </w:pPr>
            <w:r w:rsidRPr="00F26964">
              <w:rPr>
                <w:sz w:val="20"/>
                <w:szCs w:val="20"/>
              </w:rPr>
              <w:t>Lower levels of DFU</w:t>
            </w:r>
          </w:p>
        </w:tc>
        <w:tc>
          <w:tcPr>
            <w:tcW w:w="1170" w:type="dxa"/>
          </w:tcPr>
          <w:p w:rsidR="00F26964" w:rsidRPr="00F26964" w:rsidRDefault="00F26964" w:rsidP="00F26964">
            <w:pPr>
              <w:spacing w:after="0" w:line="240" w:lineRule="auto"/>
              <w:rPr>
                <w:sz w:val="20"/>
                <w:szCs w:val="20"/>
              </w:rPr>
            </w:pPr>
            <w:r w:rsidRPr="00F26964">
              <w:rPr>
                <w:sz w:val="20"/>
                <w:szCs w:val="20"/>
              </w:rPr>
              <w:t>on going</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Current Student and Alumni Surveys and Collection of Contact Information</w:t>
            </w:r>
          </w:p>
        </w:tc>
        <w:tc>
          <w:tcPr>
            <w:tcW w:w="990" w:type="dxa"/>
          </w:tcPr>
          <w:p w:rsidR="00F26964" w:rsidRPr="00F26964" w:rsidRDefault="00F26964" w:rsidP="00F26964">
            <w:pPr>
              <w:spacing w:after="0" w:line="240" w:lineRule="auto"/>
              <w:rPr>
                <w:sz w:val="20"/>
                <w:szCs w:val="20"/>
              </w:rPr>
            </w:pPr>
            <w:r w:rsidRPr="00F26964">
              <w:rPr>
                <w:sz w:val="20"/>
                <w:szCs w:val="20"/>
              </w:rPr>
              <w:t>AY 2017-2018</w:t>
            </w:r>
          </w:p>
        </w:tc>
        <w:tc>
          <w:tcPr>
            <w:tcW w:w="4050" w:type="dxa"/>
          </w:tcPr>
          <w:p w:rsidR="00F26964" w:rsidRPr="00F26964" w:rsidRDefault="00F26964" w:rsidP="00F26964">
            <w:pPr>
              <w:spacing w:after="0" w:line="240" w:lineRule="auto"/>
              <w:rPr>
                <w:sz w:val="20"/>
                <w:szCs w:val="20"/>
              </w:rPr>
            </w:pPr>
            <w:r w:rsidRPr="00F26964">
              <w:rPr>
                <w:sz w:val="20"/>
                <w:szCs w:val="20"/>
              </w:rPr>
              <w:t>N/A</w:t>
            </w:r>
          </w:p>
        </w:tc>
        <w:tc>
          <w:tcPr>
            <w:tcW w:w="3870" w:type="dxa"/>
          </w:tcPr>
          <w:p w:rsidR="00F26964" w:rsidRPr="00F26964" w:rsidRDefault="00F26964" w:rsidP="00F26964">
            <w:pPr>
              <w:spacing w:after="0" w:line="240" w:lineRule="auto"/>
              <w:rPr>
                <w:sz w:val="20"/>
                <w:szCs w:val="20"/>
              </w:rPr>
            </w:pPr>
            <w:r w:rsidRPr="00F26964">
              <w:rPr>
                <w:sz w:val="20"/>
                <w:szCs w:val="20"/>
              </w:rPr>
              <w:t>- Current Undergraduate and Graduate Students will be surveyed with a set of questions that will help us evaluate not only the past successes of our program but also the impacts of our ongoing efforts to improve both graduation and retention rates in a more immediate time frame.</w:t>
            </w:r>
          </w:p>
          <w:p w:rsidR="00F26964" w:rsidRPr="00F26964" w:rsidRDefault="00F26964" w:rsidP="00F26964">
            <w:pPr>
              <w:spacing w:after="0" w:line="240" w:lineRule="auto"/>
              <w:rPr>
                <w:sz w:val="20"/>
                <w:szCs w:val="20"/>
              </w:rPr>
            </w:pPr>
            <w:r w:rsidRPr="00F26964">
              <w:rPr>
                <w:sz w:val="20"/>
                <w:szCs w:val="20"/>
              </w:rPr>
              <w:t xml:space="preserve">- To evaluate the differences between our current student experience and past efforts, as well as learn about the post-graduation experiences and career paths of our alumni, Alumni who graduated in 2015 and thereafter will also be surveyed. Email addresses of past students will be collected </w:t>
            </w:r>
            <w:r w:rsidRPr="00F26964">
              <w:rPr>
                <w:sz w:val="20"/>
                <w:szCs w:val="20"/>
              </w:rPr>
              <w:lastRenderedPageBreak/>
              <w:t>from faculty, and the chair of the department will request Development Services to distribute our survey to their contacts to increase the number of alumni we can reach. A link to the survey will also be posted on department social media pages to increase response rate.</w:t>
            </w:r>
          </w:p>
        </w:tc>
        <w:tc>
          <w:tcPr>
            <w:tcW w:w="1350" w:type="dxa"/>
          </w:tcPr>
          <w:p w:rsidR="00F26964" w:rsidRPr="00F26964" w:rsidRDefault="00F26964" w:rsidP="00F26964">
            <w:pPr>
              <w:spacing w:after="0" w:line="240" w:lineRule="auto"/>
              <w:rPr>
                <w:sz w:val="20"/>
                <w:szCs w:val="20"/>
              </w:rPr>
            </w:pPr>
            <w:r w:rsidRPr="00F26964">
              <w:rPr>
                <w:sz w:val="20"/>
                <w:szCs w:val="20"/>
              </w:rPr>
              <w:lastRenderedPageBreak/>
              <w:t>Current Anthropology majors and Alumni</w:t>
            </w:r>
          </w:p>
        </w:tc>
        <w:tc>
          <w:tcPr>
            <w:tcW w:w="1620" w:type="dxa"/>
          </w:tcPr>
          <w:p w:rsidR="00F26964" w:rsidRPr="00F26964" w:rsidRDefault="00F26964" w:rsidP="00F26964">
            <w:pPr>
              <w:spacing w:after="0" w:line="240" w:lineRule="auto"/>
              <w:rPr>
                <w:sz w:val="20"/>
                <w:szCs w:val="20"/>
              </w:rPr>
            </w:pPr>
            <w:r w:rsidRPr="00F26964">
              <w:rPr>
                <w:sz w:val="20"/>
                <w:szCs w:val="20"/>
              </w:rPr>
              <w:t>N/A</w:t>
            </w:r>
          </w:p>
        </w:tc>
        <w:tc>
          <w:tcPr>
            <w:tcW w:w="1170" w:type="dxa"/>
          </w:tcPr>
          <w:p w:rsidR="00F26964" w:rsidRPr="00F26964" w:rsidRDefault="00F26964" w:rsidP="00F26964">
            <w:pPr>
              <w:spacing w:after="0" w:line="240" w:lineRule="auto"/>
              <w:rPr>
                <w:sz w:val="20"/>
                <w:szCs w:val="20"/>
              </w:rPr>
            </w:pPr>
            <w:r w:rsidRPr="00F26964">
              <w:rPr>
                <w:sz w:val="20"/>
                <w:szCs w:val="20"/>
              </w:rPr>
              <w:t>completed</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Alignment Matrices Revision</w:t>
            </w:r>
          </w:p>
        </w:tc>
        <w:tc>
          <w:tcPr>
            <w:tcW w:w="990" w:type="dxa"/>
          </w:tcPr>
          <w:p w:rsidR="00F26964" w:rsidRPr="00F26964" w:rsidRDefault="00F26964" w:rsidP="00F26964">
            <w:pPr>
              <w:spacing w:after="0" w:line="240" w:lineRule="auto"/>
              <w:rPr>
                <w:sz w:val="20"/>
                <w:szCs w:val="20"/>
              </w:rPr>
            </w:pPr>
            <w:r w:rsidRPr="00F26964">
              <w:rPr>
                <w:sz w:val="20"/>
                <w:szCs w:val="20"/>
              </w:rPr>
              <w:t>AY 2017-2018</w:t>
            </w:r>
          </w:p>
        </w:tc>
        <w:tc>
          <w:tcPr>
            <w:tcW w:w="4050" w:type="dxa"/>
          </w:tcPr>
          <w:p w:rsidR="00F26964" w:rsidRPr="00F26964" w:rsidRDefault="00F26964" w:rsidP="00F26964">
            <w:pPr>
              <w:spacing w:after="0" w:line="240" w:lineRule="auto"/>
              <w:rPr>
                <w:sz w:val="20"/>
                <w:szCs w:val="20"/>
              </w:rPr>
            </w:pPr>
            <w:r w:rsidRPr="00F26964">
              <w:rPr>
                <w:sz w:val="20"/>
                <w:szCs w:val="20"/>
              </w:rPr>
              <w:t>Since the revised PLOs were adopted in Spring 2017, the whole faculty will be asked to fill in alignment matrices for courses they teach. The revised alignment matrices will be used for subsequent assessment activities.</w:t>
            </w:r>
          </w:p>
        </w:tc>
        <w:tc>
          <w:tcPr>
            <w:tcW w:w="3870" w:type="dxa"/>
          </w:tcPr>
          <w:p w:rsidR="00F26964" w:rsidRPr="00F26964" w:rsidRDefault="00F26964" w:rsidP="00F26964">
            <w:pPr>
              <w:spacing w:after="0" w:line="240" w:lineRule="auto"/>
              <w:rPr>
                <w:sz w:val="20"/>
                <w:szCs w:val="20"/>
              </w:rPr>
            </w:pPr>
            <w:r w:rsidRPr="00F26964">
              <w:rPr>
                <w:sz w:val="20"/>
                <w:szCs w:val="20"/>
              </w:rPr>
              <w:t>N/A</w:t>
            </w:r>
          </w:p>
        </w:tc>
        <w:tc>
          <w:tcPr>
            <w:tcW w:w="1350" w:type="dxa"/>
          </w:tcPr>
          <w:p w:rsidR="00F26964" w:rsidRPr="00F26964" w:rsidRDefault="00F26964" w:rsidP="00F26964">
            <w:pPr>
              <w:spacing w:after="0" w:line="240" w:lineRule="auto"/>
              <w:rPr>
                <w:sz w:val="20"/>
                <w:szCs w:val="20"/>
              </w:rPr>
            </w:pPr>
            <w:r w:rsidRPr="00F26964">
              <w:rPr>
                <w:sz w:val="20"/>
                <w:szCs w:val="20"/>
              </w:rPr>
              <w:t>N/A</w:t>
            </w:r>
          </w:p>
        </w:tc>
        <w:tc>
          <w:tcPr>
            <w:tcW w:w="1620" w:type="dxa"/>
          </w:tcPr>
          <w:p w:rsidR="00F26964" w:rsidRPr="00F26964" w:rsidRDefault="00F26964" w:rsidP="00F26964">
            <w:pPr>
              <w:spacing w:after="0" w:line="240" w:lineRule="auto"/>
              <w:rPr>
                <w:sz w:val="20"/>
                <w:szCs w:val="20"/>
              </w:rPr>
            </w:pPr>
            <w:r w:rsidRPr="00F26964">
              <w:rPr>
                <w:sz w:val="20"/>
                <w:szCs w:val="20"/>
              </w:rPr>
              <w:t>N/A</w:t>
            </w:r>
          </w:p>
        </w:tc>
        <w:tc>
          <w:tcPr>
            <w:tcW w:w="1170" w:type="dxa"/>
          </w:tcPr>
          <w:p w:rsidR="00F26964" w:rsidRPr="00F26964" w:rsidRDefault="00F26964" w:rsidP="00F26964">
            <w:pPr>
              <w:spacing w:after="0" w:line="240" w:lineRule="auto"/>
              <w:rPr>
                <w:sz w:val="20"/>
                <w:szCs w:val="20"/>
              </w:rPr>
            </w:pPr>
            <w:r w:rsidRPr="00F26964">
              <w:rPr>
                <w:sz w:val="20"/>
                <w:szCs w:val="20"/>
              </w:rPr>
              <w:t>completed</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Use of Alignment Matrices to Identify Potential Gaps in our Programs</w:t>
            </w:r>
          </w:p>
        </w:tc>
        <w:tc>
          <w:tcPr>
            <w:tcW w:w="990" w:type="dxa"/>
          </w:tcPr>
          <w:p w:rsidR="00F26964" w:rsidRPr="00F26964" w:rsidRDefault="00F26964" w:rsidP="00F26964">
            <w:pPr>
              <w:spacing w:after="0" w:line="240" w:lineRule="auto"/>
              <w:rPr>
                <w:sz w:val="20"/>
                <w:szCs w:val="20"/>
              </w:rPr>
            </w:pPr>
            <w:r w:rsidRPr="00F26964">
              <w:rPr>
                <w:sz w:val="20"/>
                <w:szCs w:val="20"/>
              </w:rPr>
              <w:t>SPRING 2018</w:t>
            </w:r>
          </w:p>
        </w:tc>
        <w:tc>
          <w:tcPr>
            <w:tcW w:w="4050" w:type="dxa"/>
          </w:tcPr>
          <w:p w:rsidR="00F26964" w:rsidRPr="00F26964" w:rsidRDefault="00F26964" w:rsidP="00F26964">
            <w:pPr>
              <w:spacing w:after="0" w:line="240" w:lineRule="auto"/>
              <w:rPr>
                <w:sz w:val="20"/>
                <w:szCs w:val="20"/>
              </w:rPr>
            </w:pPr>
            <w:r w:rsidRPr="00F26964">
              <w:rPr>
                <w:sz w:val="20"/>
                <w:szCs w:val="20"/>
              </w:rPr>
              <w:t xml:space="preserve">The Alignment Matrices will be used to </w:t>
            </w:r>
            <w:r w:rsidRPr="00F26964">
              <w:rPr>
                <w:rFonts w:cs="Calibri"/>
                <w:sz w:val="20"/>
                <w:szCs w:val="20"/>
              </w:rPr>
              <w:t xml:space="preserve">identify the levels of mastery expected from undergraduate majors and minors for each PLO over the course of their curriculum. This activity </w:t>
            </w:r>
            <w:r w:rsidRPr="00F26964">
              <w:rPr>
                <w:sz w:val="20"/>
                <w:szCs w:val="20"/>
              </w:rPr>
              <w:t>will be used to inform our decisions on potential curriculum modifications.</w:t>
            </w:r>
          </w:p>
        </w:tc>
        <w:tc>
          <w:tcPr>
            <w:tcW w:w="3870" w:type="dxa"/>
          </w:tcPr>
          <w:p w:rsidR="00F26964" w:rsidRPr="00F26964" w:rsidRDefault="00F26964" w:rsidP="00F26964">
            <w:pPr>
              <w:spacing w:after="0" w:line="240" w:lineRule="auto"/>
              <w:rPr>
                <w:sz w:val="20"/>
                <w:szCs w:val="20"/>
              </w:rPr>
            </w:pPr>
            <w:r w:rsidRPr="00F26964">
              <w:rPr>
                <w:sz w:val="20"/>
                <w:szCs w:val="20"/>
              </w:rPr>
              <w:t>N/A</w:t>
            </w:r>
          </w:p>
        </w:tc>
        <w:tc>
          <w:tcPr>
            <w:tcW w:w="1350" w:type="dxa"/>
          </w:tcPr>
          <w:p w:rsidR="00F26964" w:rsidRPr="00F26964" w:rsidRDefault="00F26964" w:rsidP="00F26964">
            <w:pPr>
              <w:spacing w:after="0" w:line="240" w:lineRule="auto"/>
              <w:rPr>
                <w:sz w:val="20"/>
                <w:szCs w:val="20"/>
              </w:rPr>
            </w:pPr>
            <w:r w:rsidRPr="00F26964">
              <w:rPr>
                <w:sz w:val="20"/>
                <w:szCs w:val="20"/>
              </w:rPr>
              <w:t>N/A</w:t>
            </w:r>
          </w:p>
        </w:tc>
        <w:tc>
          <w:tcPr>
            <w:tcW w:w="1620" w:type="dxa"/>
          </w:tcPr>
          <w:p w:rsidR="00F26964" w:rsidRPr="00F26964" w:rsidRDefault="00F26964" w:rsidP="00F26964">
            <w:pPr>
              <w:spacing w:after="0" w:line="240" w:lineRule="auto"/>
              <w:rPr>
                <w:sz w:val="20"/>
                <w:szCs w:val="20"/>
              </w:rPr>
            </w:pPr>
            <w:r w:rsidRPr="00F26964">
              <w:rPr>
                <w:sz w:val="20"/>
                <w:szCs w:val="20"/>
              </w:rPr>
              <w:t>N/A</w:t>
            </w:r>
          </w:p>
        </w:tc>
        <w:tc>
          <w:tcPr>
            <w:tcW w:w="1170" w:type="dxa"/>
          </w:tcPr>
          <w:p w:rsidR="00F26964" w:rsidRPr="00F26964" w:rsidRDefault="00F26964" w:rsidP="00F26964">
            <w:pPr>
              <w:spacing w:after="0" w:line="240" w:lineRule="auto"/>
              <w:rPr>
                <w:sz w:val="20"/>
                <w:szCs w:val="20"/>
              </w:rPr>
            </w:pPr>
            <w:r w:rsidRPr="00F26964">
              <w:rPr>
                <w:sz w:val="20"/>
                <w:szCs w:val="20"/>
              </w:rPr>
              <w:t>completed</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Assessment of graduate students' progress</w:t>
            </w:r>
          </w:p>
        </w:tc>
        <w:tc>
          <w:tcPr>
            <w:tcW w:w="990" w:type="dxa"/>
          </w:tcPr>
          <w:p w:rsidR="00F26964" w:rsidRPr="00F26964" w:rsidRDefault="00F26964" w:rsidP="00F26964">
            <w:pPr>
              <w:spacing w:after="0" w:line="240" w:lineRule="auto"/>
              <w:rPr>
                <w:sz w:val="20"/>
                <w:szCs w:val="20"/>
              </w:rPr>
            </w:pPr>
            <w:r w:rsidRPr="00F26964">
              <w:rPr>
                <w:sz w:val="20"/>
                <w:szCs w:val="20"/>
              </w:rPr>
              <w:t>AY 2017-2022</w:t>
            </w:r>
          </w:p>
        </w:tc>
        <w:tc>
          <w:tcPr>
            <w:tcW w:w="4050" w:type="dxa"/>
          </w:tcPr>
          <w:p w:rsidR="00F26964" w:rsidRPr="00F26964" w:rsidRDefault="00F26964" w:rsidP="00F26964">
            <w:pPr>
              <w:spacing w:after="0" w:line="240" w:lineRule="auto"/>
              <w:rPr>
                <w:sz w:val="20"/>
                <w:szCs w:val="20"/>
              </w:rPr>
            </w:pPr>
            <w:r w:rsidRPr="00F26964">
              <w:rPr>
                <w:sz w:val="20"/>
                <w:szCs w:val="20"/>
              </w:rPr>
              <w:t xml:space="preserve">- Collecting direct evidence of graduate students' learning through the compilation of data on all of the students who will have entered our graduate program since last review cycle: </w:t>
            </w:r>
            <w:proofErr w:type="spellStart"/>
            <w:r w:rsidRPr="00F26964">
              <w:rPr>
                <w:sz w:val="20"/>
                <w:szCs w:val="20"/>
              </w:rPr>
              <w:t>i</w:t>
            </w:r>
            <w:proofErr w:type="spellEnd"/>
            <w:r w:rsidRPr="00F26964">
              <w:rPr>
                <w:sz w:val="20"/>
                <w:szCs w:val="20"/>
              </w:rPr>
              <w:t>) time-to-degree; ii) Track- General Anthropology or Public Archeology; iii) if enrolled in General Anthropology track, if they write a thesis or take the comprehensive exam.</w:t>
            </w:r>
          </w:p>
          <w:p w:rsidR="00F26964" w:rsidRPr="00F26964" w:rsidRDefault="00F26964" w:rsidP="00F26964">
            <w:pPr>
              <w:spacing w:after="0" w:line="240" w:lineRule="auto"/>
              <w:rPr>
                <w:sz w:val="20"/>
                <w:szCs w:val="20"/>
              </w:rPr>
            </w:pPr>
            <w:r w:rsidRPr="00F26964">
              <w:rPr>
                <w:sz w:val="20"/>
                <w:szCs w:val="20"/>
              </w:rPr>
              <w:t>- Data collected will be used to assess efforts invested in enhancing the graduate program.</w:t>
            </w:r>
          </w:p>
          <w:p w:rsidR="00F26964" w:rsidRPr="00F26964" w:rsidRDefault="00F26964" w:rsidP="00F26964">
            <w:pPr>
              <w:spacing w:after="0" w:line="240" w:lineRule="auto"/>
              <w:rPr>
                <w:sz w:val="20"/>
                <w:szCs w:val="20"/>
              </w:rPr>
            </w:pPr>
            <w:r w:rsidRPr="00F26964">
              <w:rPr>
                <w:sz w:val="20"/>
                <w:szCs w:val="20"/>
              </w:rPr>
              <w:t xml:space="preserve">- Data will be also circulated for discussion among the department faculty (at the annual faculty retreat or scheduled faculty meetings) to make data-driven decisions on action plans to close the loop. </w:t>
            </w:r>
          </w:p>
          <w:p w:rsidR="00F26964" w:rsidRPr="00F26964" w:rsidRDefault="00F26964" w:rsidP="00F26964">
            <w:pPr>
              <w:spacing w:after="0" w:line="240" w:lineRule="auto"/>
              <w:rPr>
                <w:sz w:val="20"/>
                <w:szCs w:val="20"/>
              </w:rPr>
            </w:pPr>
          </w:p>
        </w:tc>
        <w:tc>
          <w:tcPr>
            <w:tcW w:w="3870" w:type="dxa"/>
          </w:tcPr>
          <w:p w:rsidR="00F26964" w:rsidRPr="00F26964" w:rsidRDefault="00F26964" w:rsidP="00F26964">
            <w:pPr>
              <w:spacing w:after="0" w:line="240" w:lineRule="auto"/>
              <w:rPr>
                <w:sz w:val="20"/>
                <w:szCs w:val="20"/>
              </w:rPr>
            </w:pPr>
            <w:r w:rsidRPr="00F26964">
              <w:rPr>
                <w:sz w:val="20"/>
                <w:szCs w:val="20"/>
              </w:rPr>
              <w:t>N/A</w:t>
            </w:r>
          </w:p>
        </w:tc>
        <w:tc>
          <w:tcPr>
            <w:tcW w:w="1350" w:type="dxa"/>
          </w:tcPr>
          <w:p w:rsidR="00F26964" w:rsidRPr="00F26964" w:rsidRDefault="00F26964" w:rsidP="00F26964">
            <w:pPr>
              <w:spacing w:after="0" w:line="240" w:lineRule="auto"/>
              <w:rPr>
                <w:sz w:val="20"/>
                <w:szCs w:val="20"/>
              </w:rPr>
            </w:pPr>
            <w:r w:rsidRPr="00F26964">
              <w:rPr>
                <w:sz w:val="20"/>
                <w:szCs w:val="20"/>
              </w:rPr>
              <w:t>Graduate Student Graduation Rates and Time-to-Degree</w:t>
            </w:r>
          </w:p>
        </w:tc>
        <w:tc>
          <w:tcPr>
            <w:tcW w:w="1620" w:type="dxa"/>
          </w:tcPr>
          <w:p w:rsidR="00F26964" w:rsidRPr="00F26964" w:rsidRDefault="00F26964" w:rsidP="00F26964">
            <w:pPr>
              <w:spacing w:after="0" w:line="240" w:lineRule="auto"/>
              <w:rPr>
                <w:sz w:val="20"/>
                <w:szCs w:val="20"/>
              </w:rPr>
            </w:pPr>
            <w:r w:rsidRPr="00F26964">
              <w:rPr>
                <w:sz w:val="20"/>
                <w:szCs w:val="20"/>
              </w:rPr>
              <w:t>Reduced time-to-degree, increased retention and graduation rates, and the subsequent maintenance of this progress</w:t>
            </w:r>
          </w:p>
        </w:tc>
        <w:tc>
          <w:tcPr>
            <w:tcW w:w="1170" w:type="dxa"/>
          </w:tcPr>
          <w:p w:rsidR="00F26964" w:rsidRPr="00F26964" w:rsidRDefault="00F26964" w:rsidP="00F26964">
            <w:pPr>
              <w:spacing w:after="0" w:line="240" w:lineRule="auto"/>
              <w:rPr>
                <w:sz w:val="20"/>
                <w:szCs w:val="20"/>
              </w:rPr>
            </w:pPr>
            <w:r w:rsidRPr="00F26964">
              <w:rPr>
                <w:sz w:val="20"/>
                <w:szCs w:val="20"/>
              </w:rPr>
              <w:t>ongoing</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Assessment of undergraduate students' progress</w:t>
            </w:r>
          </w:p>
        </w:tc>
        <w:tc>
          <w:tcPr>
            <w:tcW w:w="990" w:type="dxa"/>
          </w:tcPr>
          <w:p w:rsidR="00F26964" w:rsidRPr="00F26964" w:rsidRDefault="00F26964" w:rsidP="00F26964">
            <w:pPr>
              <w:spacing w:after="0" w:line="240" w:lineRule="auto"/>
              <w:rPr>
                <w:sz w:val="20"/>
                <w:szCs w:val="20"/>
              </w:rPr>
            </w:pPr>
            <w:r w:rsidRPr="00F26964">
              <w:rPr>
                <w:sz w:val="20"/>
                <w:szCs w:val="20"/>
              </w:rPr>
              <w:t>AY 2017-2022</w:t>
            </w:r>
          </w:p>
        </w:tc>
        <w:tc>
          <w:tcPr>
            <w:tcW w:w="4050" w:type="dxa"/>
          </w:tcPr>
          <w:p w:rsidR="00F26964" w:rsidRPr="00F26964" w:rsidRDefault="00F26964" w:rsidP="00F26964">
            <w:pPr>
              <w:spacing w:after="0" w:line="240" w:lineRule="auto"/>
              <w:rPr>
                <w:sz w:val="20"/>
                <w:szCs w:val="20"/>
              </w:rPr>
            </w:pPr>
            <w:r w:rsidRPr="00F26964">
              <w:rPr>
                <w:sz w:val="20"/>
                <w:szCs w:val="20"/>
              </w:rPr>
              <w:t xml:space="preserve">- Using the data accessible on CSUN Counts, retention rate, graduation rate, and time-to-degree for both first-time freshmen and transfer students will be used to assess the department’s efforts invested in enhancing undergraduate program. </w:t>
            </w:r>
          </w:p>
          <w:p w:rsidR="00F26964" w:rsidRPr="00F26964" w:rsidRDefault="00F26964" w:rsidP="00F26964">
            <w:pPr>
              <w:spacing w:after="0" w:line="240" w:lineRule="auto"/>
              <w:rPr>
                <w:sz w:val="20"/>
                <w:szCs w:val="20"/>
              </w:rPr>
            </w:pPr>
            <w:r w:rsidRPr="00F26964">
              <w:rPr>
                <w:sz w:val="20"/>
                <w:szCs w:val="20"/>
              </w:rPr>
              <w:lastRenderedPageBreak/>
              <w:t xml:space="preserve">- Data will be also circulated for discussion among the department faculty (at the annual faculty retreat or scheduled faculty meetings) to make data-driven decisions on action plans to close the loop. </w:t>
            </w:r>
          </w:p>
        </w:tc>
        <w:tc>
          <w:tcPr>
            <w:tcW w:w="3870" w:type="dxa"/>
          </w:tcPr>
          <w:p w:rsidR="00F26964" w:rsidRPr="00F26964" w:rsidRDefault="00F26964" w:rsidP="00F26964">
            <w:pPr>
              <w:spacing w:after="0" w:line="240" w:lineRule="auto"/>
              <w:rPr>
                <w:sz w:val="20"/>
                <w:szCs w:val="20"/>
              </w:rPr>
            </w:pPr>
            <w:r w:rsidRPr="00F26964">
              <w:rPr>
                <w:sz w:val="20"/>
                <w:szCs w:val="20"/>
              </w:rPr>
              <w:lastRenderedPageBreak/>
              <w:t>N/A</w:t>
            </w:r>
          </w:p>
        </w:tc>
        <w:tc>
          <w:tcPr>
            <w:tcW w:w="1350" w:type="dxa"/>
          </w:tcPr>
          <w:p w:rsidR="00F26964" w:rsidRPr="00F26964" w:rsidRDefault="00F26964" w:rsidP="00F26964">
            <w:pPr>
              <w:spacing w:after="0" w:line="240" w:lineRule="auto"/>
              <w:rPr>
                <w:sz w:val="20"/>
                <w:szCs w:val="20"/>
              </w:rPr>
            </w:pPr>
            <w:r w:rsidRPr="00F26964">
              <w:rPr>
                <w:sz w:val="20"/>
                <w:szCs w:val="20"/>
              </w:rPr>
              <w:t>Undergraduate Students</w:t>
            </w:r>
          </w:p>
          <w:p w:rsidR="00F26964" w:rsidRPr="00F26964" w:rsidRDefault="00F26964" w:rsidP="00F26964">
            <w:pPr>
              <w:spacing w:after="0" w:line="240" w:lineRule="auto"/>
              <w:rPr>
                <w:sz w:val="20"/>
                <w:szCs w:val="20"/>
              </w:rPr>
            </w:pPr>
            <w:r w:rsidRPr="00F26964">
              <w:rPr>
                <w:sz w:val="20"/>
                <w:szCs w:val="20"/>
              </w:rPr>
              <w:t xml:space="preserve">Retention and Graduation </w:t>
            </w:r>
            <w:r w:rsidRPr="00F26964">
              <w:rPr>
                <w:sz w:val="20"/>
                <w:szCs w:val="20"/>
              </w:rPr>
              <w:lastRenderedPageBreak/>
              <w:t>Rates, Time-to-Degree</w:t>
            </w:r>
          </w:p>
        </w:tc>
        <w:tc>
          <w:tcPr>
            <w:tcW w:w="1620" w:type="dxa"/>
          </w:tcPr>
          <w:p w:rsidR="00F26964" w:rsidRPr="00F26964" w:rsidRDefault="00F26964" w:rsidP="00F26964">
            <w:pPr>
              <w:spacing w:after="0" w:line="240" w:lineRule="auto"/>
              <w:rPr>
                <w:sz w:val="20"/>
                <w:szCs w:val="20"/>
              </w:rPr>
            </w:pPr>
            <w:r w:rsidRPr="00F26964">
              <w:rPr>
                <w:sz w:val="20"/>
                <w:szCs w:val="20"/>
              </w:rPr>
              <w:lastRenderedPageBreak/>
              <w:t>Reduced time-to-degree, increased retention and graduation rates</w:t>
            </w:r>
          </w:p>
        </w:tc>
        <w:tc>
          <w:tcPr>
            <w:tcW w:w="1170" w:type="dxa"/>
          </w:tcPr>
          <w:p w:rsidR="00F26964" w:rsidRPr="00F26964" w:rsidRDefault="00F26964" w:rsidP="00F26964">
            <w:pPr>
              <w:tabs>
                <w:tab w:val="left" w:pos="1160"/>
              </w:tabs>
              <w:spacing w:after="0" w:line="240" w:lineRule="auto"/>
              <w:rPr>
                <w:sz w:val="20"/>
                <w:szCs w:val="20"/>
              </w:rPr>
            </w:pPr>
            <w:r w:rsidRPr="00F26964">
              <w:rPr>
                <w:sz w:val="20"/>
                <w:szCs w:val="20"/>
              </w:rPr>
              <w:t>ongoing</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Exit Interviews of Graduating Students and Collection of Contact Information</w:t>
            </w:r>
          </w:p>
        </w:tc>
        <w:tc>
          <w:tcPr>
            <w:tcW w:w="990" w:type="dxa"/>
          </w:tcPr>
          <w:p w:rsidR="00F26964" w:rsidRPr="00F26964" w:rsidRDefault="00F26964" w:rsidP="00F26964">
            <w:pPr>
              <w:spacing w:after="0" w:line="240" w:lineRule="auto"/>
              <w:rPr>
                <w:sz w:val="20"/>
                <w:szCs w:val="20"/>
              </w:rPr>
            </w:pPr>
            <w:r w:rsidRPr="00F26964">
              <w:rPr>
                <w:sz w:val="20"/>
                <w:szCs w:val="20"/>
              </w:rPr>
              <w:t>AY 2018-2022</w:t>
            </w:r>
          </w:p>
        </w:tc>
        <w:tc>
          <w:tcPr>
            <w:tcW w:w="4050" w:type="dxa"/>
          </w:tcPr>
          <w:p w:rsidR="00F26964" w:rsidRPr="00F26964" w:rsidRDefault="00F26964" w:rsidP="00F26964">
            <w:pPr>
              <w:spacing w:after="0" w:line="240" w:lineRule="auto"/>
              <w:rPr>
                <w:sz w:val="20"/>
                <w:szCs w:val="20"/>
              </w:rPr>
            </w:pPr>
            <w:r w:rsidRPr="00F26964">
              <w:rPr>
                <w:sz w:val="20"/>
                <w:szCs w:val="20"/>
              </w:rPr>
              <w:t xml:space="preserve">  N/A</w:t>
            </w:r>
          </w:p>
        </w:tc>
        <w:tc>
          <w:tcPr>
            <w:tcW w:w="3870" w:type="dxa"/>
          </w:tcPr>
          <w:p w:rsidR="00F26964" w:rsidRPr="00F26964" w:rsidRDefault="00F26964" w:rsidP="00F26964">
            <w:pPr>
              <w:spacing w:after="0" w:line="240" w:lineRule="auto"/>
              <w:rPr>
                <w:sz w:val="20"/>
                <w:szCs w:val="20"/>
              </w:rPr>
            </w:pPr>
            <w:r w:rsidRPr="00F26964">
              <w:rPr>
                <w:sz w:val="20"/>
                <w:szCs w:val="20"/>
              </w:rPr>
              <w:t>Towards the end of each semester, graduating students will be contacted through email and asked to share their future contact information. They will also be asked to make an appointment with a member of the assessment committee to organize an exit interview during which they will be asked questions including their experience (positive and negative) in the program, preparedness while in the program, and future career plans.</w:t>
            </w:r>
          </w:p>
        </w:tc>
        <w:tc>
          <w:tcPr>
            <w:tcW w:w="1350" w:type="dxa"/>
          </w:tcPr>
          <w:p w:rsidR="00F26964" w:rsidRPr="00F26964" w:rsidRDefault="00F26964" w:rsidP="00F26964">
            <w:pPr>
              <w:spacing w:after="0" w:line="240" w:lineRule="auto"/>
              <w:rPr>
                <w:sz w:val="20"/>
                <w:szCs w:val="20"/>
              </w:rPr>
            </w:pPr>
            <w:r w:rsidRPr="00F26964">
              <w:rPr>
                <w:sz w:val="20"/>
                <w:szCs w:val="20"/>
              </w:rPr>
              <w:t>Graduating Anthropology majors</w:t>
            </w:r>
          </w:p>
        </w:tc>
        <w:tc>
          <w:tcPr>
            <w:tcW w:w="1620" w:type="dxa"/>
          </w:tcPr>
          <w:p w:rsidR="00F26964" w:rsidRPr="00F26964" w:rsidRDefault="00F26964" w:rsidP="00F26964">
            <w:pPr>
              <w:spacing w:after="0" w:line="240" w:lineRule="auto"/>
              <w:rPr>
                <w:sz w:val="20"/>
                <w:szCs w:val="20"/>
              </w:rPr>
            </w:pPr>
            <w:r w:rsidRPr="00F26964">
              <w:rPr>
                <w:sz w:val="20"/>
                <w:szCs w:val="20"/>
              </w:rPr>
              <w:t>N/A</w:t>
            </w:r>
          </w:p>
        </w:tc>
        <w:tc>
          <w:tcPr>
            <w:tcW w:w="1170" w:type="dxa"/>
          </w:tcPr>
          <w:p w:rsidR="00F26964" w:rsidRPr="00F26964" w:rsidRDefault="00F26964" w:rsidP="00F26964">
            <w:pPr>
              <w:tabs>
                <w:tab w:val="left" w:pos="1160"/>
              </w:tabs>
              <w:spacing w:after="0" w:line="240" w:lineRule="auto"/>
              <w:rPr>
                <w:sz w:val="20"/>
                <w:szCs w:val="20"/>
              </w:rPr>
            </w:pPr>
            <w:r w:rsidRPr="00F26964">
              <w:rPr>
                <w:sz w:val="20"/>
                <w:szCs w:val="20"/>
              </w:rPr>
              <w:t>completed annually</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4"/>
              </w:rPr>
              <w:t>Preparation of Outcome Assessment work for AY 2018-19</w:t>
            </w:r>
          </w:p>
        </w:tc>
        <w:tc>
          <w:tcPr>
            <w:tcW w:w="990" w:type="dxa"/>
          </w:tcPr>
          <w:p w:rsidR="00F26964" w:rsidRPr="00F26964" w:rsidRDefault="00F26964" w:rsidP="00F26964">
            <w:pPr>
              <w:spacing w:after="0" w:line="240" w:lineRule="auto"/>
              <w:rPr>
                <w:sz w:val="20"/>
                <w:szCs w:val="20"/>
              </w:rPr>
            </w:pPr>
            <w:r w:rsidRPr="00F26964">
              <w:rPr>
                <w:sz w:val="20"/>
                <w:szCs w:val="24"/>
              </w:rPr>
              <w:t>SPRING 2018</w:t>
            </w:r>
          </w:p>
        </w:tc>
        <w:tc>
          <w:tcPr>
            <w:tcW w:w="4050" w:type="dxa"/>
          </w:tcPr>
          <w:p w:rsidR="00F26964" w:rsidRPr="00F26964" w:rsidRDefault="00F26964" w:rsidP="00F26964">
            <w:pPr>
              <w:spacing w:after="0" w:line="240" w:lineRule="auto"/>
              <w:rPr>
                <w:sz w:val="20"/>
                <w:szCs w:val="24"/>
              </w:rPr>
            </w:pPr>
            <w:r w:rsidRPr="00F26964">
              <w:rPr>
                <w:sz w:val="20"/>
                <w:szCs w:val="24"/>
              </w:rPr>
              <w:t>- To enhance coherence of department courses and student learning experience, the department moved to designate a broad theme every AY which faculty members are encouraged to highlight in their respective courses.  The department designated the AY 18-19 theme to be “Engaging Evidence”.</w:t>
            </w:r>
          </w:p>
          <w:p w:rsidR="00F26964" w:rsidRPr="00F26964" w:rsidRDefault="00F26964" w:rsidP="00F26964">
            <w:pPr>
              <w:spacing w:after="0" w:line="240" w:lineRule="auto"/>
              <w:rPr>
                <w:sz w:val="20"/>
                <w:szCs w:val="20"/>
              </w:rPr>
            </w:pPr>
            <w:r w:rsidRPr="00F26964">
              <w:rPr>
                <w:sz w:val="20"/>
                <w:szCs w:val="24"/>
              </w:rPr>
              <w:t xml:space="preserve">- Direct assessment will involve assessing PLO(s) on signature assignments in courses to be offered in AY 18-19. Three undergraduate courses from different anthropology subdisciplines will be assessed. Identify the most relevant PLO(s) to the theme for direct assessment. </w:t>
            </w:r>
          </w:p>
        </w:tc>
        <w:tc>
          <w:tcPr>
            <w:tcW w:w="3870" w:type="dxa"/>
          </w:tcPr>
          <w:p w:rsidR="00F26964" w:rsidRPr="00F26964" w:rsidRDefault="00F26964" w:rsidP="00F26964">
            <w:pPr>
              <w:spacing w:after="0" w:line="240" w:lineRule="auto"/>
              <w:rPr>
                <w:sz w:val="20"/>
                <w:szCs w:val="20"/>
              </w:rPr>
            </w:pPr>
            <w:r w:rsidRPr="00F26964">
              <w:rPr>
                <w:sz w:val="20"/>
                <w:szCs w:val="20"/>
              </w:rPr>
              <w:t>N/A</w:t>
            </w:r>
          </w:p>
        </w:tc>
        <w:tc>
          <w:tcPr>
            <w:tcW w:w="1350" w:type="dxa"/>
          </w:tcPr>
          <w:p w:rsidR="00F26964" w:rsidRPr="00F26964" w:rsidRDefault="00F26964" w:rsidP="00F26964">
            <w:pPr>
              <w:spacing w:after="0" w:line="240" w:lineRule="auto"/>
              <w:rPr>
                <w:sz w:val="20"/>
                <w:szCs w:val="20"/>
              </w:rPr>
            </w:pPr>
            <w:r w:rsidRPr="00F26964">
              <w:rPr>
                <w:sz w:val="20"/>
                <w:szCs w:val="20"/>
              </w:rPr>
              <w:t>N/A</w:t>
            </w:r>
          </w:p>
        </w:tc>
        <w:tc>
          <w:tcPr>
            <w:tcW w:w="1620" w:type="dxa"/>
          </w:tcPr>
          <w:p w:rsidR="00F26964" w:rsidRPr="00F26964" w:rsidRDefault="00F26964" w:rsidP="00F26964">
            <w:pPr>
              <w:spacing w:after="0" w:line="240" w:lineRule="auto"/>
              <w:rPr>
                <w:sz w:val="20"/>
                <w:szCs w:val="20"/>
              </w:rPr>
            </w:pPr>
            <w:r w:rsidRPr="00F26964">
              <w:rPr>
                <w:sz w:val="20"/>
                <w:szCs w:val="20"/>
              </w:rPr>
              <w:t>N/A</w:t>
            </w:r>
          </w:p>
        </w:tc>
        <w:tc>
          <w:tcPr>
            <w:tcW w:w="1170" w:type="dxa"/>
          </w:tcPr>
          <w:p w:rsidR="00F26964" w:rsidRPr="00F26964" w:rsidRDefault="00F26964" w:rsidP="00F26964">
            <w:pPr>
              <w:spacing w:after="0" w:line="240" w:lineRule="auto"/>
              <w:rPr>
                <w:sz w:val="20"/>
                <w:szCs w:val="20"/>
              </w:rPr>
            </w:pPr>
            <w:r w:rsidRPr="00F26964">
              <w:rPr>
                <w:sz w:val="20"/>
                <w:szCs w:val="20"/>
              </w:rPr>
              <w:t>completed</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Outcome Assessment</w:t>
            </w:r>
          </w:p>
        </w:tc>
        <w:tc>
          <w:tcPr>
            <w:tcW w:w="990" w:type="dxa"/>
          </w:tcPr>
          <w:p w:rsidR="00F26964" w:rsidRPr="00F26964" w:rsidRDefault="00F26964" w:rsidP="00F26964">
            <w:pPr>
              <w:spacing w:after="0" w:line="240" w:lineRule="auto"/>
              <w:rPr>
                <w:sz w:val="20"/>
                <w:szCs w:val="20"/>
              </w:rPr>
            </w:pPr>
            <w:r w:rsidRPr="00F26964">
              <w:rPr>
                <w:sz w:val="20"/>
                <w:szCs w:val="20"/>
              </w:rPr>
              <w:t>AY 2018-2019</w:t>
            </w:r>
          </w:p>
        </w:tc>
        <w:tc>
          <w:tcPr>
            <w:tcW w:w="4050" w:type="dxa"/>
          </w:tcPr>
          <w:p w:rsidR="00F26964" w:rsidRPr="00F26964" w:rsidRDefault="00F26964" w:rsidP="00F26964">
            <w:pPr>
              <w:spacing w:after="0" w:line="240" w:lineRule="auto"/>
              <w:rPr>
                <w:sz w:val="20"/>
                <w:szCs w:val="20"/>
              </w:rPr>
            </w:pPr>
            <w:r w:rsidRPr="00F26964">
              <w:rPr>
                <w:sz w:val="20"/>
                <w:szCs w:val="20"/>
              </w:rPr>
              <w:t xml:space="preserve">- Aligning with the department’s teaching theme of AY 18-19 “Engaging Evidence”, PLO 5 (see below) will be used to assess signature assignments from three courses, one in each subdiscipline of anthropology, in the undergraduate program. </w:t>
            </w:r>
          </w:p>
          <w:p w:rsidR="00F26964" w:rsidRPr="00F26964" w:rsidRDefault="00F26964" w:rsidP="00F26964">
            <w:pPr>
              <w:spacing w:after="0" w:line="240" w:lineRule="auto"/>
              <w:rPr>
                <w:sz w:val="20"/>
                <w:szCs w:val="20"/>
              </w:rPr>
            </w:pPr>
            <w:r w:rsidRPr="00F26964">
              <w:rPr>
                <w:sz w:val="20"/>
                <w:szCs w:val="20"/>
              </w:rPr>
              <w:t>- Design rubrics and assess signature assignments</w:t>
            </w:r>
          </w:p>
        </w:tc>
        <w:tc>
          <w:tcPr>
            <w:tcW w:w="3870" w:type="dxa"/>
          </w:tcPr>
          <w:p w:rsidR="00F26964" w:rsidRPr="00F26964" w:rsidRDefault="00F26964" w:rsidP="00F26964">
            <w:pPr>
              <w:spacing w:after="0" w:line="240" w:lineRule="auto"/>
              <w:rPr>
                <w:sz w:val="20"/>
                <w:szCs w:val="20"/>
              </w:rPr>
            </w:pPr>
            <w:r w:rsidRPr="00F26964">
              <w:rPr>
                <w:sz w:val="20"/>
                <w:szCs w:val="20"/>
              </w:rPr>
              <w:t>N/A</w:t>
            </w:r>
          </w:p>
        </w:tc>
        <w:tc>
          <w:tcPr>
            <w:tcW w:w="1350" w:type="dxa"/>
          </w:tcPr>
          <w:p w:rsidR="00F26964" w:rsidRPr="00F26964" w:rsidRDefault="00F26964" w:rsidP="00F26964">
            <w:pPr>
              <w:spacing w:after="0" w:line="240" w:lineRule="auto"/>
              <w:rPr>
                <w:sz w:val="20"/>
                <w:szCs w:val="20"/>
              </w:rPr>
            </w:pPr>
            <w:r w:rsidRPr="00F26964">
              <w:rPr>
                <w:sz w:val="20"/>
                <w:szCs w:val="20"/>
              </w:rPr>
              <w:t>ANTH 490C</w:t>
            </w:r>
          </w:p>
          <w:p w:rsidR="00F26964" w:rsidRPr="00F26964" w:rsidRDefault="00F26964" w:rsidP="00F26964">
            <w:pPr>
              <w:spacing w:after="0" w:line="240" w:lineRule="auto"/>
              <w:rPr>
                <w:sz w:val="20"/>
                <w:szCs w:val="20"/>
              </w:rPr>
            </w:pPr>
            <w:r w:rsidRPr="00F26964">
              <w:rPr>
                <w:sz w:val="20"/>
                <w:szCs w:val="20"/>
              </w:rPr>
              <w:t>ANTH 426</w:t>
            </w:r>
          </w:p>
          <w:p w:rsidR="00F26964" w:rsidRPr="00F26964" w:rsidRDefault="00F26964" w:rsidP="00F26964">
            <w:pPr>
              <w:spacing w:after="0" w:line="240" w:lineRule="auto"/>
              <w:rPr>
                <w:color w:val="FF0000"/>
                <w:sz w:val="20"/>
                <w:szCs w:val="20"/>
              </w:rPr>
            </w:pPr>
            <w:r w:rsidRPr="00F26964">
              <w:rPr>
                <w:sz w:val="20"/>
                <w:szCs w:val="20"/>
              </w:rPr>
              <w:t>ANTH 440</w:t>
            </w:r>
          </w:p>
        </w:tc>
        <w:tc>
          <w:tcPr>
            <w:tcW w:w="1620" w:type="dxa"/>
          </w:tcPr>
          <w:p w:rsidR="00F26964" w:rsidRPr="00F26964" w:rsidRDefault="00F26964" w:rsidP="00F26964">
            <w:pPr>
              <w:spacing w:after="0" w:line="240" w:lineRule="auto"/>
              <w:rPr>
                <w:sz w:val="20"/>
                <w:szCs w:val="20"/>
              </w:rPr>
            </w:pPr>
            <w:r w:rsidRPr="00F26964">
              <w:rPr>
                <w:sz w:val="20"/>
                <w:szCs w:val="20"/>
              </w:rPr>
              <w:t xml:space="preserve">High level of analytical and interpretative ability of anthropological evidence in each subdiscipline </w:t>
            </w:r>
          </w:p>
        </w:tc>
        <w:tc>
          <w:tcPr>
            <w:tcW w:w="1170" w:type="dxa"/>
          </w:tcPr>
          <w:p w:rsidR="00F26964" w:rsidRPr="00F26964" w:rsidRDefault="00F26964" w:rsidP="00F26964">
            <w:pPr>
              <w:spacing w:after="0" w:line="240" w:lineRule="auto"/>
              <w:rPr>
                <w:sz w:val="20"/>
                <w:szCs w:val="20"/>
              </w:rPr>
            </w:pPr>
            <w:r w:rsidRPr="00F26964">
              <w:rPr>
                <w:sz w:val="20"/>
                <w:szCs w:val="20"/>
              </w:rPr>
              <w:t>ongoing</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4"/>
              </w:rPr>
              <w:t xml:space="preserve">Preparation of Outcome Assessment work </w:t>
            </w:r>
            <w:r w:rsidRPr="00F26964">
              <w:rPr>
                <w:sz w:val="20"/>
                <w:szCs w:val="24"/>
              </w:rPr>
              <w:lastRenderedPageBreak/>
              <w:t>for AY 2019-2020, AY 2020-2021, AY 2021-2022</w:t>
            </w:r>
          </w:p>
        </w:tc>
        <w:tc>
          <w:tcPr>
            <w:tcW w:w="990" w:type="dxa"/>
          </w:tcPr>
          <w:p w:rsidR="00F26964" w:rsidRPr="00F26964" w:rsidRDefault="00F26964" w:rsidP="00F26964">
            <w:pPr>
              <w:spacing w:after="0" w:line="240" w:lineRule="auto"/>
              <w:rPr>
                <w:sz w:val="20"/>
                <w:szCs w:val="20"/>
              </w:rPr>
            </w:pPr>
            <w:r w:rsidRPr="00F26964">
              <w:rPr>
                <w:sz w:val="20"/>
                <w:szCs w:val="24"/>
              </w:rPr>
              <w:lastRenderedPageBreak/>
              <w:t xml:space="preserve">SPRING 2019, SPRING </w:t>
            </w:r>
            <w:r w:rsidRPr="00F26964">
              <w:rPr>
                <w:sz w:val="20"/>
                <w:szCs w:val="24"/>
              </w:rPr>
              <w:lastRenderedPageBreak/>
              <w:t>2020, SPRING 2021</w:t>
            </w:r>
          </w:p>
        </w:tc>
        <w:tc>
          <w:tcPr>
            <w:tcW w:w="4050" w:type="dxa"/>
          </w:tcPr>
          <w:p w:rsidR="00F26964" w:rsidRPr="00F26964" w:rsidRDefault="00F26964" w:rsidP="00F26964">
            <w:pPr>
              <w:spacing w:after="0" w:line="240" w:lineRule="auto"/>
              <w:rPr>
                <w:sz w:val="20"/>
                <w:szCs w:val="20"/>
              </w:rPr>
            </w:pPr>
            <w:r w:rsidRPr="00F26964">
              <w:rPr>
                <w:sz w:val="20"/>
                <w:szCs w:val="20"/>
              </w:rPr>
              <w:lastRenderedPageBreak/>
              <w:t xml:space="preserve">- Using the results of Assessment from a given AY and after reviewing the courses offered in the next AY, two UG PLOs and two Graduate </w:t>
            </w:r>
            <w:r w:rsidRPr="00F26964">
              <w:rPr>
                <w:sz w:val="20"/>
                <w:szCs w:val="20"/>
              </w:rPr>
              <w:lastRenderedPageBreak/>
              <w:t>PLOs will be selected to be assessed in the next AY (two in the Fall and two in the Spring).</w:t>
            </w:r>
          </w:p>
          <w:p w:rsidR="00F26964" w:rsidRPr="00F26964" w:rsidRDefault="00F26964" w:rsidP="00F26964">
            <w:pPr>
              <w:spacing w:after="0" w:line="240" w:lineRule="auto"/>
              <w:rPr>
                <w:sz w:val="20"/>
                <w:szCs w:val="20"/>
              </w:rPr>
            </w:pPr>
            <w:r w:rsidRPr="00F26964">
              <w:rPr>
                <w:sz w:val="20"/>
                <w:szCs w:val="20"/>
              </w:rPr>
              <w:t>- Direct Assessment of PLOs will be used. It will involve creating signature assignments that will be used in courses at different levels to assess students' progress.</w:t>
            </w:r>
          </w:p>
        </w:tc>
        <w:tc>
          <w:tcPr>
            <w:tcW w:w="3870" w:type="dxa"/>
          </w:tcPr>
          <w:p w:rsidR="00F26964" w:rsidRPr="00F26964" w:rsidRDefault="00F26964" w:rsidP="00F26964">
            <w:pPr>
              <w:spacing w:after="0" w:line="240" w:lineRule="auto"/>
              <w:rPr>
                <w:sz w:val="20"/>
                <w:szCs w:val="20"/>
              </w:rPr>
            </w:pPr>
            <w:r w:rsidRPr="00F26964">
              <w:rPr>
                <w:sz w:val="20"/>
                <w:szCs w:val="20"/>
              </w:rPr>
              <w:lastRenderedPageBreak/>
              <w:t>N/A</w:t>
            </w:r>
          </w:p>
        </w:tc>
        <w:tc>
          <w:tcPr>
            <w:tcW w:w="1350" w:type="dxa"/>
          </w:tcPr>
          <w:p w:rsidR="00F26964" w:rsidRPr="00F26964" w:rsidRDefault="00F26964" w:rsidP="00F26964">
            <w:pPr>
              <w:spacing w:after="0" w:line="240" w:lineRule="auto"/>
              <w:rPr>
                <w:sz w:val="20"/>
                <w:szCs w:val="20"/>
              </w:rPr>
            </w:pPr>
            <w:r w:rsidRPr="00F26964">
              <w:rPr>
                <w:sz w:val="20"/>
                <w:szCs w:val="20"/>
              </w:rPr>
              <w:t>N/A</w:t>
            </w:r>
          </w:p>
        </w:tc>
        <w:tc>
          <w:tcPr>
            <w:tcW w:w="1620" w:type="dxa"/>
          </w:tcPr>
          <w:p w:rsidR="00F26964" w:rsidRPr="00F26964" w:rsidRDefault="00F26964" w:rsidP="00F26964">
            <w:pPr>
              <w:spacing w:after="0" w:line="240" w:lineRule="auto"/>
              <w:rPr>
                <w:sz w:val="20"/>
                <w:szCs w:val="20"/>
              </w:rPr>
            </w:pPr>
            <w:r w:rsidRPr="00F26964">
              <w:rPr>
                <w:sz w:val="20"/>
                <w:szCs w:val="20"/>
              </w:rPr>
              <w:t>N/A</w:t>
            </w:r>
          </w:p>
        </w:tc>
        <w:tc>
          <w:tcPr>
            <w:tcW w:w="1170" w:type="dxa"/>
          </w:tcPr>
          <w:p w:rsidR="00F26964" w:rsidRPr="00F26964" w:rsidRDefault="00F26964" w:rsidP="00F26964">
            <w:pPr>
              <w:spacing w:after="0" w:line="240" w:lineRule="auto"/>
              <w:rPr>
                <w:sz w:val="20"/>
                <w:szCs w:val="20"/>
              </w:rPr>
            </w:pPr>
            <w:r w:rsidRPr="00F26964">
              <w:rPr>
                <w:sz w:val="20"/>
                <w:szCs w:val="20"/>
              </w:rPr>
              <w:t>completed annually</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0"/>
              </w:rPr>
              <w:t>Outcome Assessment</w:t>
            </w:r>
          </w:p>
        </w:tc>
        <w:tc>
          <w:tcPr>
            <w:tcW w:w="990" w:type="dxa"/>
          </w:tcPr>
          <w:p w:rsidR="00F26964" w:rsidRPr="00F26964" w:rsidRDefault="00F26964" w:rsidP="00F26964">
            <w:pPr>
              <w:spacing w:after="0" w:line="240" w:lineRule="auto"/>
              <w:rPr>
                <w:sz w:val="20"/>
                <w:szCs w:val="20"/>
              </w:rPr>
            </w:pPr>
            <w:r w:rsidRPr="00F26964">
              <w:rPr>
                <w:sz w:val="20"/>
                <w:szCs w:val="20"/>
              </w:rPr>
              <w:t>AY 2019-2022</w:t>
            </w:r>
          </w:p>
        </w:tc>
        <w:tc>
          <w:tcPr>
            <w:tcW w:w="4050" w:type="dxa"/>
          </w:tcPr>
          <w:p w:rsidR="00F26964" w:rsidRPr="00F26964" w:rsidRDefault="00F26964" w:rsidP="00F26964">
            <w:pPr>
              <w:spacing w:after="0" w:line="240" w:lineRule="auto"/>
              <w:rPr>
                <w:sz w:val="20"/>
                <w:szCs w:val="20"/>
              </w:rPr>
            </w:pPr>
            <w:r w:rsidRPr="00F26964">
              <w:rPr>
                <w:sz w:val="20"/>
                <w:szCs w:val="20"/>
              </w:rPr>
              <w:t>Direct Assessment (using signature assignments) of the two PLOs for the undergraduate program and two PLOs for the graduate program decided upon in the previous spring semester.</w:t>
            </w:r>
          </w:p>
        </w:tc>
        <w:tc>
          <w:tcPr>
            <w:tcW w:w="3870" w:type="dxa"/>
          </w:tcPr>
          <w:p w:rsidR="00F26964" w:rsidRPr="00F26964" w:rsidRDefault="00F26964" w:rsidP="00F26964">
            <w:pPr>
              <w:spacing w:after="0" w:line="240" w:lineRule="auto"/>
              <w:rPr>
                <w:sz w:val="20"/>
                <w:szCs w:val="20"/>
              </w:rPr>
            </w:pPr>
            <w:r w:rsidRPr="00F26964">
              <w:rPr>
                <w:sz w:val="20"/>
                <w:szCs w:val="20"/>
              </w:rPr>
              <w:t>N/A</w:t>
            </w:r>
          </w:p>
        </w:tc>
        <w:tc>
          <w:tcPr>
            <w:tcW w:w="1350" w:type="dxa"/>
          </w:tcPr>
          <w:p w:rsidR="00F26964" w:rsidRPr="00F26964" w:rsidRDefault="00F26964" w:rsidP="00F26964">
            <w:pPr>
              <w:spacing w:after="0" w:line="240" w:lineRule="auto"/>
              <w:rPr>
                <w:sz w:val="20"/>
                <w:szCs w:val="20"/>
              </w:rPr>
            </w:pPr>
            <w:r w:rsidRPr="00F26964">
              <w:rPr>
                <w:sz w:val="20"/>
                <w:szCs w:val="20"/>
              </w:rPr>
              <w:t>N/A</w:t>
            </w:r>
          </w:p>
        </w:tc>
        <w:tc>
          <w:tcPr>
            <w:tcW w:w="1620" w:type="dxa"/>
          </w:tcPr>
          <w:p w:rsidR="00F26964" w:rsidRPr="00F26964" w:rsidRDefault="00F26964" w:rsidP="00F26964">
            <w:pPr>
              <w:spacing w:after="0" w:line="240" w:lineRule="auto"/>
              <w:rPr>
                <w:sz w:val="20"/>
                <w:szCs w:val="20"/>
              </w:rPr>
            </w:pPr>
          </w:p>
        </w:tc>
        <w:tc>
          <w:tcPr>
            <w:tcW w:w="1170" w:type="dxa"/>
          </w:tcPr>
          <w:p w:rsidR="00F26964" w:rsidRPr="00F26964" w:rsidRDefault="00F26964" w:rsidP="00F26964">
            <w:pPr>
              <w:spacing w:after="0" w:line="240" w:lineRule="auto"/>
              <w:rPr>
                <w:sz w:val="20"/>
                <w:szCs w:val="20"/>
              </w:rPr>
            </w:pPr>
            <w:r w:rsidRPr="00F26964">
              <w:rPr>
                <w:sz w:val="20"/>
                <w:szCs w:val="20"/>
              </w:rPr>
              <w:t>completed annually</w:t>
            </w:r>
          </w:p>
        </w:tc>
      </w:tr>
      <w:tr w:rsidR="00F26964" w:rsidRPr="00F26964" w:rsidTr="00CF0EA6">
        <w:tc>
          <w:tcPr>
            <w:tcW w:w="1818" w:type="dxa"/>
          </w:tcPr>
          <w:p w:rsidR="00F26964" w:rsidRPr="00F26964" w:rsidRDefault="00F26964" w:rsidP="00F26964">
            <w:pPr>
              <w:spacing w:after="0" w:line="240" w:lineRule="auto"/>
              <w:rPr>
                <w:sz w:val="20"/>
                <w:szCs w:val="20"/>
              </w:rPr>
            </w:pPr>
            <w:r w:rsidRPr="00F26964">
              <w:rPr>
                <w:sz w:val="20"/>
                <w:szCs w:val="24"/>
              </w:rPr>
              <w:t>Preparation of Program Assessment Plan for 2022-27</w:t>
            </w:r>
          </w:p>
        </w:tc>
        <w:tc>
          <w:tcPr>
            <w:tcW w:w="990" w:type="dxa"/>
          </w:tcPr>
          <w:p w:rsidR="00F26964" w:rsidRPr="00F26964" w:rsidRDefault="00F26964" w:rsidP="00F26964">
            <w:pPr>
              <w:spacing w:after="0" w:line="240" w:lineRule="auto"/>
              <w:rPr>
                <w:sz w:val="20"/>
                <w:szCs w:val="20"/>
              </w:rPr>
            </w:pPr>
            <w:r w:rsidRPr="00F26964">
              <w:rPr>
                <w:sz w:val="20"/>
                <w:szCs w:val="24"/>
              </w:rPr>
              <w:t>SPRING 2022</w:t>
            </w:r>
          </w:p>
        </w:tc>
        <w:tc>
          <w:tcPr>
            <w:tcW w:w="9270" w:type="dxa"/>
            <w:gridSpan w:val="3"/>
          </w:tcPr>
          <w:p w:rsidR="00F26964" w:rsidRPr="00F26964" w:rsidRDefault="00F26964" w:rsidP="00F26964">
            <w:pPr>
              <w:spacing w:after="0" w:line="240" w:lineRule="auto"/>
              <w:rPr>
                <w:sz w:val="20"/>
                <w:szCs w:val="20"/>
              </w:rPr>
            </w:pPr>
            <w:r w:rsidRPr="00F26964">
              <w:rPr>
                <w:sz w:val="20"/>
              </w:rPr>
              <w:t>- Preparation of a new Program Assessment Plan for 2022-2027 in consultation with the whole faculty.</w:t>
            </w:r>
          </w:p>
        </w:tc>
        <w:tc>
          <w:tcPr>
            <w:tcW w:w="1620" w:type="dxa"/>
          </w:tcPr>
          <w:p w:rsidR="00F26964" w:rsidRPr="00F26964" w:rsidRDefault="00F26964" w:rsidP="00F26964">
            <w:pPr>
              <w:spacing w:after="0" w:line="240" w:lineRule="auto"/>
              <w:rPr>
                <w:sz w:val="20"/>
                <w:szCs w:val="20"/>
              </w:rPr>
            </w:pPr>
            <w:r w:rsidRPr="00F26964">
              <w:rPr>
                <w:sz w:val="20"/>
                <w:szCs w:val="20"/>
              </w:rPr>
              <w:t>N/A</w:t>
            </w:r>
          </w:p>
        </w:tc>
        <w:tc>
          <w:tcPr>
            <w:tcW w:w="1170" w:type="dxa"/>
          </w:tcPr>
          <w:p w:rsidR="00F26964" w:rsidRPr="00F26964" w:rsidRDefault="00F26964" w:rsidP="00F26964">
            <w:pPr>
              <w:spacing w:after="0" w:line="240" w:lineRule="auto"/>
              <w:rPr>
                <w:sz w:val="20"/>
                <w:szCs w:val="20"/>
              </w:rPr>
            </w:pPr>
          </w:p>
        </w:tc>
      </w:tr>
    </w:tbl>
    <w:p w:rsidR="00B200DC" w:rsidRDefault="00B200DC" w:rsidP="00F26964">
      <w:pPr>
        <w:spacing w:after="0" w:line="240" w:lineRule="auto"/>
        <w:rPr>
          <w:sz w:val="24"/>
          <w:szCs w:val="24"/>
        </w:rPr>
      </w:pPr>
    </w:p>
    <w:p w:rsidR="00B200DC" w:rsidRDefault="00B200DC" w:rsidP="00F26964">
      <w:pPr>
        <w:spacing w:after="0" w:line="240" w:lineRule="auto"/>
        <w:rPr>
          <w:sz w:val="24"/>
          <w:szCs w:val="24"/>
        </w:rPr>
      </w:pPr>
    </w:p>
    <w:sectPr w:rsidR="00B200DC" w:rsidSect="00B200DC">
      <w:pgSz w:w="15840" w:h="12240" w:orient="landscape" w:code="1"/>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24" w:rsidRDefault="008C1724" w:rsidP="00281389">
      <w:pPr>
        <w:spacing w:after="0" w:line="240" w:lineRule="auto"/>
      </w:pPr>
      <w:r>
        <w:separator/>
      </w:r>
    </w:p>
  </w:endnote>
  <w:endnote w:type="continuationSeparator" w:id="0">
    <w:p w:rsidR="008C1724" w:rsidRDefault="008C1724"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rsidR="00281389" w:rsidRDefault="00281389" w:rsidP="00281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162A3E">
      <w:rPr>
        <w:rStyle w:val="PageNumber"/>
        <w:noProof/>
      </w:rPr>
      <w:t>12</w:t>
    </w:r>
    <w:r>
      <w:rPr>
        <w:rStyle w:val="PageNumber"/>
      </w:rPr>
      <w:fldChar w:fldCharType="end"/>
    </w:r>
  </w:p>
  <w:p w:rsidR="00281389" w:rsidRDefault="00281389" w:rsidP="00281389">
    <w:pPr>
      <w:pStyle w:val="Footer"/>
      <w:ind w:right="360"/>
    </w:pPr>
  </w:p>
  <w:p w:rsidR="00281389" w:rsidRDefault="0028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24" w:rsidRDefault="008C1724" w:rsidP="00281389">
      <w:pPr>
        <w:spacing w:after="0" w:line="240" w:lineRule="auto"/>
      </w:pPr>
      <w:r>
        <w:separator/>
      </w:r>
    </w:p>
  </w:footnote>
  <w:footnote w:type="continuationSeparator" w:id="0">
    <w:p w:rsidR="008C1724" w:rsidRDefault="008C1724" w:rsidP="00281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5C4661C"/>
    <w:multiLevelType w:val="hybridMultilevel"/>
    <w:tmpl w:val="99DCFE8C"/>
    <w:lvl w:ilvl="0" w:tplc="0DF246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86D95"/>
    <w:multiLevelType w:val="multilevel"/>
    <w:tmpl w:val="074AE008"/>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10875"/>
    <w:multiLevelType w:val="hybridMultilevel"/>
    <w:tmpl w:val="2160A83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610B5"/>
    <w:multiLevelType w:val="hybridMultilevel"/>
    <w:tmpl w:val="B57841F6"/>
    <w:lvl w:ilvl="0" w:tplc="F01878A4">
      <w:start w:val="20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6103E"/>
    <w:multiLevelType w:val="hybridMultilevel"/>
    <w:tmpl w:val="074AE00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B08F3"/>
    <w:multiLevelType w:val="multilevel"/>
    <w:tmpl w:val="074AE008"/>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71819"/>
    <w:multiLevelType w:val="hybridMultilevel"/>
    <w:tmpl w:val="464093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606A"/>
    <w:multiLevelType w:val="hybridMultilevel"/>
    <w:tmpl w:val="F02E9F76"/>
    <w:lvl w:ilvl="0" w:tplc="1E8C5A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2044B"/>
    <w:multiLevelType w:val="hybridMultilevel"/>
    <w:tmpl w:val="76923B72"/>
    <w:lvl w:ilvl="0" w:tplc="C3228450">
      <w:start w:val="20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C6562"/>
    <w:multiLevelType w:val="hybridMultilevel"/>
    <w:tmpl w:val="C4D6C1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A2D90"/>
    <w:multiLevelType w:val="hybridMultilevel"/>
    <w:tmpl w:val="AE547746"/>
    <w:lvl w:ilvl="0" w:tplc="CAE2FC68">
      <w:start w:val="20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567371"/>
    <w:multiLevelType w:val="hybridMultilevel"/>
    <w:tmpl w:val="FF8A1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112F1"/>
    <w:multiLevelType w:val="multilevel"/>
    <w:tmpl w:val="2160A838"/>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A1261"/>
    <w:multiLevelType w:val="multilevel"/>
    <w:tmpl w:val="2160A838"/>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012C2"/>
    <w:multiLevelType w:val="hybridMultilevel"/>
    <w:tmpl w:val="D06C3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4"/>
  </w:num>
  <w:num w:numId="2">
    <w:abstractNumId w:val="1"/>
  </w:num>
  <w:num w:numId="3">
    <w:abstractNumId w:val="21"/>
  </w:num>
  <w:num w:numId="4">
    <w:abstractNumId w:val="11"/>
  </w:num>
  <w:num w:numId="5">
    <w:abstractNumId w:val="19"/>
  </w:num>
  <w:num w:numId="6">
    <w:abstractNumId w:val="12"/>
  </w:num>
  <w:num w:numId="7">
    <w:abstractNumId w:val="3"/>
  </w:num>
  <w:num w:numId="8">
    <w:abstractNumId w:val="13"/>
  </w:num>
  <w:num w:numId="9">
    <w:abstractNumId w:val="7"/>
  </w:num>
  <w:num w:numId="10">
    <w:abstractNumId w:val="0"/>
  </w:num>
  <w:num w:numId="11">
    <w:abstractNumId w:val="15"/>
  </w:num>
  <w:num w:numId="12">
    <w:abstractNumId w:val="8"/>
  </w:num>
  <w:num w:numId="13">
    <w:abstractNumId w:val="5"/>
  </w:num>
  <w:num w:numId="14">
    <w:abstractNumId w:val="22"/>
  </w:num>
  <w:num w:numId="15">
    <w:abstractNumId w:val="20"/>
  </w:num>
  <w:num w:numId="16">
    <w:abstractNumId w:val="23"/>
  </w:num>
  <w:num w:numId="17">
    <w:abstractNumId w:val="4"/>
  </w:num>
  <w:num w:numId="18">
    <w:abstractNumId w:val="9"/>
  </w:num>
  <w:num w:numId="19">
    <w:abstractNumId w:val="16"/>
  </w:num>
  <w:num w:numId="20">
    <w:abstractNumId w:val="18"/>
  </w:num>
  <w:num w:numId="21">
    <w:abstractNumId w:val="6"/>
  </w:num>
  <w:num w:numId="22">
    <w:abstractNumId w:val="2"/>
  </w:num>
  <w:num w:numId="23">
    <w:abstractNumId w:val="14"/>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71649"/>
    <w:rsid w:val="00117A45"/>
    <w:rsid w:val="00140C95"/>
    <w:rsid w:val="00162A3E"/>
    <w:rsid w:val="0020656C"/>
    <w:rsid w:val="00243C6F"/>
    <w:rsid w:val="00281389"/>
    <w:rsid w:val="002B4957"/>
    <w:rsid w:val="002C1F55"/>
    <w:rsid w:val="00344267"/>
    <w:rsid w:val="003967B8"/>
    <w:rsid w:val="003A3216"/>
    <w:rsid w:val="003A41A4"/>
    <w:rsid w:val="003C57B5"/>
    <w:rsid w:val="003D0F20"/>
    <w:rsid w:val="003D5616"/>
    <w:rsid w:val="0045145D"/>
    <w:rsid w:val="004774FE"/>
    <w:rsid w:val="004E0D8B"/>
    <w:rsid w:val="004F073A"/>
    <w:rsid w:val="005E0848"/>
    <w:rsid w:val="005E14A5"/>
    <w:rsid w:val="006457AA"/>
    <w:rsid w:val="00676B1D"/>
    <w:rsid w:val="007319DB"/>
    <w:rsid w:val="00735A6D"/>
    <w:rsid w:val="00735C63"/>
    <w:rsid w:val="007534FC"/>
    <w:rsid w:val="00764739"/>
    <w:rsid w:val="007A0B5E"/>
    <w:rsid w:val="007C0334"/>
    <w:rsid w:val="007C46D8"/>
    <w:rsid w:val="007E0DCD"/>
    <w:rsid w:val="008B421D"/>
    <w:rsid w:val="008B7FAA"/>
    <w:rsid w:val="008C1724"/>
    <w:rsid w:val="008F1180"/>
    <w:rsid w:val="009054F3"/>
    <w:rsid w:val="009312BC"/>
    <w:rsid w:val="00942E19"/>
    <w:rsid w:val="009471A9"/>
    <w:rsid w:val="00A31ED6"/>
    <w:rsid w:val="00A361EF"/>
    <w:rsid w:val="00A716C3"/>
    <w:rsid w:val="00A85BA9"/>
    <w:rsid w:val="00AB4136"/>
    <w:rsid w:val="00AB7CE4"/>
    <w:rsid w:val="00AC1AAA"/>
    <w:rsid w:val="00AE0CA0"/>
    <w:rsid w:val="00AF113D"/>
    <w:rsid w:val="00AF64AE"/>
    <w:rsid w:val="00B111F0"/>
    <w:rsid w:val="00B11847"/>
    <w:rsid w:val="00B200DC"/>
    <w:rsid w:val="00B536BD"/>
    <w:rsid w:val="00B81523"/>
    <w:rsid w:val="00B81C76"/>
    <w:rsid w:val="00B86E27"/>
    <w:rsid w:val="00C063C6"/>
    <w:rsid w:val="00C25602"/>
    <w:rsid w:val="00C27182"/>
    <w:rsid w:val="00C361DE"/>
    <w:rsid w:val="00C843F0"/>
    <w:rsid w:val="00C91784"/>
    <w:rsid w:val="00CB4D1A"/>
    <w:rsid w:val="00D60E14"/>
    <w:rsid w:val="00E03C5C"/>
    <w:rsid w:val="00E223F8"/>
    <w:rsid w:val="00E4626D"/>
    <w:rsid w:val="00E6085D"/>
    <w:rsid w:val="00E67E44"/>
    <w:rsid w:val="00E73C8E"/>
    <w:rsid w:val="00F151F9"/>
    <w:rsid w:val="00F269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79C3B-493A-47B4-A9EA-8CF29405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7C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5B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NormalWeb">
    <w:name w:val="Normal (Web)"/>
    <w:basedOn w:val="Normal"/>
    <w:uiPriority w:val="99"/>
    <w:semiHidden/>
    <w:unhideWhenUsed/>
    <w:rsid w:val="00B81523"/>
    <w:pPr>
      <w:spacing w:after="0" w:line="240" w:lineRule="auto"/>
    </w:pPr>
    <w:rPr>
      <w:rFonts w:ascii="Times New Roman" w:eastAsiaTheme="minorEastAsia" w:hAnsi="Times New Roman"/>
      <w:sz w:val="24"/>
      <w:szCs w:val="24"/>
      <w:lang w:eastAsia="zh-TW"/>
    </w:rPr>
  </w:style>
  <w:style w:type="numbering" w:customStyle="1" w:styleId="NoList1">
    <w:name w:val="No List1"/>
    <w:next w:val="NoList"/>
    <w:semiHidden/>
    <w:rsid w:val="00F26964"/>
  </w:style>
  <w:style w:type="table" w:customStyle="1" w:styleId="TableGrid1">
    <w:name w:val="Table Grid1"/>
    <w:basedOn w:val="TableNormal"/>
    <w:next w:val="TableGrid"/>
    <w:rsid w:val="00F26964"/>
    <w:rPr>
      <w:rFonts w:ascii="Times New Roman"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2696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F26964"/>
    <w:rPr>
      <w:rFonts w:ascii="Times New Roman" w:hAnsi="Times New Roman"/>
    </w:rPr>
  </w:style>
  <w:style w:type="character" w:styleId="CommentReference">
    <w:name w:val="annotation reference"/>
    <w:rsid w:val="00F26964"/>
    <w:rPr>
      <w:sz w:val="16"/>
      <w:szCs w:val="16"/>
    </w:rPr>
  </w:style>
  <w:style w:type="paragraph" w:styleId="CommentSubject">
    <w:name w:val="annotation subject"/>
    <w:basedOn w:val="CommentText"/>
    <w:next w:val="CommentText"/>
    <w:link w:val="CommentSubjectChar"/>
    <w:rsid w:val="00F26964"/>
    <w:rPr>
      <w:b/>
      <w:bCs/>
    </w:rPr>
  </w:style>
  <w:style w:type="character" w:customStyle="1" w:styleId="CommentSubjectChar">
    <w:name w:val="Comment Subject Char"/>
    <w:basedOn w:val="CommentTextChar"/>
    <w:link w:val="CommentSubject"/>
    <w:rsid w:val="00F26964"/>
    <w:rPr>
      <w:rFonts w:ascii="Times New Roman" w:hAnsi="Times New Roman"/>
      <w:b/>
      <w:bCs/>
    </w:rPr>
  </w:style>
  <w:style w:type="character" w:customStyle="1" w:styleId="Heading1Char">
    <w:name w:val="Heading 1 Char"/>
    <w:basedOn w:val="DefaultParagraphFont"/>
    <w:link w:val="Heading1"/>
    <w:uiPriority w:val="9"/>
    <w:rsid w:val="007C03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5B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6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3554">
      <w:bodyDiv w:val="1"/>
      <w:marLeft w:val="0"/>
      <w:marRight w:val="0"/>
      <w:marTop w:val="0"/>
      <w:marBottom w:val="0"/>
      <w:divBdr>
        <w:top w:val="none" w:sz="0" w:space="0" w:color="auto"/>
        <w:left w:val="none" w:sz="0" w:space="0" w:color="auto"/>
        <w:bottom w:val="none" w:sz="0" w:space="0" w:color="auto"/>
        <w:right w:val="none" w:sz="0" w:space="0" w:color="auto"/>
      </w:divBdr>
    </w:div>
    <w:div w:id="152962355">
      <w:bodyDiv w:val="1"/>
      <w:marLeft w:val="0"/>
      <w:marRight w:val="0"/>
      <w:marTop w:val="0"/>
      <w:marBottom w:val="0"/>
      <w:divBdr>
        <w:top w:val="none" w:sz="0" w:space="0" w:color="auto"/>
        <w:left w:val="none" w:sz="0" w:space="0" w:color="auto"/>
        <w:bottom w:val="none" w:sz="0" w:space="0" w:color="auto"/>
        <w:right w:val="none" w:sz="0" w:space="0" w:color="auto"/>
      </w:divBdr>
    </w:div>
    <w:div w:id="224680061">
      <w:bodyDiv w:val="1"/>
      <w:marLeft w:val="0"/>
      <w:marRight w:val="0"/>
      <w:marTop w:val="0"/>
      <w:marBottom w:val="0"/>
      <w:divBdr>
        <w:top w:val="none" w:sz="0" w:space="0" w:color="auto"/>
        <w:left w:val="none" w:sz="0" w:space="0" w:color="auto"/>
        <w:bottom w:val="none" w:sz="0" w:space="0" w:color="auto"/>
        <w:right w:val="none" w:sz="0" w:space="0" w:color="auto"/>
      </w:divBdr>
    </w:div>
    <w:div w:id="496577773">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384792040">
      <w:bodyDiv w:val="1"/>
      <w:marLeft w:val="0"/>
      <w:marRight w:val="0"/>
      <w:marTop w:val="0"/>
      <w:marBottom w:val="0"/>
      <w:divBdr>
        <w:top w:val="none" w:sz="0" w:space="0" w:color="auto"/>
        <w:left w:val="none" w:sz="0" w:space="0" w:color="auto"/>
        <w:bottom w:val="none" w:sz="0" w:space="0" w:color="auto"/>
        <w:right w:val="none" w:sz="0" w:space="0" w:color="auto"/>
      </w:divBdr>
    </w:div>
    <w:div w:id="1477918272">
      <w:bodyDiv w:val="1"/>
      <w:marLeft w:val="0"/>
      <w:marRight w:val="0"/>
      <w:marTop w:val="0"/>
      <w:marBottom w:val="0"/>
      <w:divBdr>
        <w:top w:val="none" w:sz="0" w:space="0" w:color="auto"/>
        <w:left w:val="none" w:sz="0" w:space="0" w:color="auto"/>
        <w:bottom w:val="none" w:sz="0" w:space="0" w:color="auto"/>
        <w:right w:val="none" w:sz="0" w:space="0" w:color="auto"/>
      </w:divBdr>
    </w:div>
    <w:div w:id="202817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Analysis</a:t>
            </a:r>
          </a:p>
        </c:rich>
      </c:tx>
      <c:layout>
        <c:manualLayout>
          <c:xMode val="edge"/>
          <c:yMode val="edge"/>
          <c:x val="0.42082633420822396"/>
          <c:y val="3.240740740740740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Sheet1!$H$2</c:f>
              <c:strCache>
                <c:ptCount val="1"/>
                <c:pt idx="0">
                  <c:v>490C</c:v>
                </c:pt>
              </c:strCache>
            </c:strRef>
          </c:tx>
          <c:spPr>
            <a:solidFill>
              <a:schemeClr val="accent1"/>
            </a:solidFill>
            <a:ln>
              <a:noFill/>
            </a:ln>
            <a:effectLst/>
          </c:spPr>
          <c:invertIfNegative val="0"/>
          <c:cat>
            <c:strRef>
              <c:f>Sheet1!$H$1:$L$1</c:f>
              <c:strCache>
                <c:ptCount val="4"/>
                <c:pt idx="0">
                  <c:v>Unsatisfactory</c:v>
                </c:pt>
                <c:pt idx="1">
                  <c:v>Developing</c:v>
                </c:pt>
                <c:pt idx="2">
                  <c:v>Proficient</c:v>
                </c:pt>
                <c:pt idx="3">
                  <c:v>Exemplary</c:v>
                </c:pt>
              </c:strCache>
            </c:strRef>
          </c:cat>
          <c:val>
            <c:numRef>
              <c:f>Sheet1!$H$2:$L$2</c:f>
              <c:numCache>
                <c:formatCode>0</c:formatCode>
                <c:ptCount val="4"/>
                <c:pt idx="0">
                  <c:v>3.7037037037037033</c:v>
                </c:pt>
                <c:pt idx="1">
                  <c:v>33.333333333333329</c:v>
                </c:pt>
                <c:pt idx="2">
                  <c:v>22.222222222222221</c:v>
                </c:pt>
                <c:pt idx="3">
                  <c:v>3.7037037037037033</c:v>
                </c:pt>
              </c:numCache>
            </c:numRef>
          </c:val>
        </c:ser>
        <c:ser>
          <c:idx val="1"/>
          <c:order val="1"/>
          <c:tx>
            <c:strRef>
              <c:f>Sheet1!$H$3</c:f>
              <c:strCache>
                <c:ptCount val="1"/>
                <c:pt idx="0">
                  <c:v>426</c:v>
                </c:pt>
              </c:strCache>
            </c:strRef>
          </c:tx>
          <c:spPr>
            <a:solidFill>
              <a:schemeClr val="accent2"/>
            </a:solidFill>
            <a:ln>
              <a:noFill/>
            </a:ln>
            <a:effectLst/>
          </c:spPr>
          <c:invertIfNegative val="0"/>
          <c:cat>
            <c:strRef>
              <c:f>Sheet1!$H$1:$L$1</c:f>
              <c:strCache>
                <c:ptCount val="4"/>
                <c:pt idx="0">
                  <c:v>Unsatisfactory</c:v>
                </c:pt>
                <c:pt idx="1">
                  <c:v>Developing</c:v>
                </c:pt>
                <c:pt idx="2">
                  <c:v>Proficient</c:v>
                </c:pt>
                <c:pt idx="3">
                  <c:v>Exemplary</c:v>
                </c:pt>
              </c:strCache>
            </c:strRef>
          </c:cat>
          <c:val>
            <c:numRef>
              <c:f>Sheet1!$H$3:$L$3</c:f>
              <c:numCache>
                <c:formatCode>0</c:formatCode>
                <c:ptCount val="4"/>
                <c:pt idx="0">
                  <c:v>7.1428571428571423</c:v>
                </c:pt>
                <c:pt idx="1">
                  <c:v>32.142857142857146</c:v>
                </c:pt>
                <c:pt idx="2">
                  <c:v>32.142857142857146</c:v>
                </c:pt>
                <c:pt idx="3">
                  <c:v>28.571428571428569</c:v>
                </c:pt>
              </c:numCache>
            </c:numRef>
          </c:val>
        </c:ser>
        <c:ser>
          <c:idx val="2"/>
          <c:order val="2"/>
          <c:tx>
            <c:strRef>
              <c:f>Sheet1!$H$4</c:f>
              <c:strCache>
                <c:ptCount val="1"/>
                <c:pt idx="0">
                  <c:v>440</c:v>
                </c:pt>
              </c:strCache>
            </c:strRef>
          </c:tx>
          <c:spPr>
            <a:solidFill>
              <a:schemeClr val="accent6">
                <a:lumMod val="60000"/>
                <a:lumOff val="40000"/>
              </a:schemeClr>
            </a:solidFill>
            <a:ln>
              <a:noFill/>
            </a:ln>
            <a:effectLst/>
          </c:spPr>
          <c:invertIfNegative val="0"/>
          <c:cat>
            <c:strRef>
              <c:f>Sheet1!$H$1:$L$1</c:f>
              <c:strCache>
                <c:ptCount val="4"/>
                <c:pt idx="0">
                  <c:v>Unsatisfactory</c:v>
                </c:pt>
                <c:pt idx="1">
                  <c:v>Developing</c:v>
                </c:pt>
                <c:pt idx="2">
                  <c:v>Proficient</c:v>
                </c:pt>
                <c:pt idx="3">
                  <c:v>Exemplary</c:v>
                </c:pt>
              </c:strCache>
            </c:strRef>
          </c:cat>
          <c:val>
            <c:numRef>
              <c:f>Sheet1!$H$4:$L$4</c:f>
              <c:numCache>
                <c:formatCode>0</c:formatCode>
                <c:ptCount val="4"/>
                <c:pt idx="0">
                  <c:v>0</c:v>
                </c:pt>
                <c:pt idx="1">
                  <c:v>57.142857142857139</c:v>
                </c:pt>
                <c:pt idx="2">
                  <c:v>42.857142857142854</c:v>
                </c:pt>
                <c:pt idx="3">
                  <c:v>0</c:v>
                </c:pt>
              </c:numCache>
            </c:numRef>
          </c:val>
        </c:ser>
        <c:dLbls>
          <c:showLegendKey val="0"/>
          <c:showVal val="0"/>
          <c:showCatName val="0"/>
          <c:showSerName val="0"/>
          <c:showPercent val="0"/>
          <c:showBubbleSize val="0"/>
        </c:dLbls>
        <c:gapWidth val="150"/>
        <c:axId val="312668480"/>
        <c:axId val="312668872"/>
      </c:barChart>
      <c:catAx>
        <c:axId val="31266848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Levels of Performance</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2668872"/>
        <c:crosses val="autoZero"/>
        <c:auto val="1"/>
        <c:lblAlgn val="ctr"/>
        <c:lblOffset val="100"/>
        <c:noMultiLvlLbl val="0"/>
      </c:catAx>
      <c:valAx>
        <c:axId val="312668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 of students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12668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Interpretation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Sheet1!$H$8</c:f>
              <c:strCache>
                <c:ptCount val="1"/>
                <c:pt idx="0">
                  <c:v>490C</c:v>
                </c:pt>
              </c:strCache>
            </c:strRef>
          </c:tx>
          <c:spPr>
            <a:solidFill>
              <a:schemeClr val="accent1"/>
            </a:solidFill>
            <a:ln>
              <a:noFill/>
            </a:ln>
            <a:effectLst/>
          </c:spPr>
          <c:invertIfNegative val="0"/>
          <c:cat>
            <c:strRef>
              <c:f>Sheet1!$H$7:$L$7</c:f>
              <c:strCache>
                <c:ptCount val="4"/>
                <c:pt idx="0">
                  <c:v>Unsatisfactory</c:v>
                </c:pt>
                <c:pt idx="1">
                  <c:v>Developing</c:v>
                </c:pt>
                <c:pt idx="2">
                  <c:v>Proficient</c:v>
                </c:pt>
                <c:pt idx="3">
                  <c:v>Exemplary</c:v>
                </c:pt>
              </c:strCache>
              <c:extLst/>
            </c:strRef>
          </c:cat>
          <c:val>
            <c:numRef>
              <c:f>Sheet1!$H$8:$L$8</c:f>
              <c:numCache>
                <c:formatCode>0</c:formatCode>
                <c:ptCount val="4"/>
                <c:pt idx="0">
                  <c:v>3.7037037037037033</c:v>
                </c:pt>
                <c:pt idx="1">
                  <c:v>25.925925925925924</c:v>
                </c:pt>
                <c:pt idx="2">
                  <c:v>22.222222222222221</c:v>
                </c:pt>
                <c:pt idx="3">
                  <c:v>11.111111111111111</c:v>
                </c:pt>
              </c:numCache>
              <c:extLst/>
            </c:numRef>
          </c:val>
        </c:ser>
        <c:ser>
          <c:idx val="1"/>
          <c:order val="1"/>
          <c:tx>
            <c:strRef>
              <c:f>Sheet1!$H$9</c:f>
              <c:strCache>
                <c:ptCount val="1"/>
                <c:pt idx="0">
                  <c:v>426</c:v>
                </c:pt>
              </c:strCache>
            </c:strRef>
          </c:tx>
          <c:spPr>
            <a:solidFill>
              <a:schemeClr val="accent2"/>
            </a:solidFill>
            <a:ln>
              <a:noFill/>
            </a:ln>
            <a:effectLst/>
          </c:spPr>
          <c:invertIfNegative val="0"/>
          <c:cat>
            <c:strRef>
              <c:f>Sheet1!$H$7:$L$7</c:f>
              <c:strCache>
                <c:ptCount val="4"/>
                <c:pt idx="0">
                  <c:v>Unsatisfactory</c:v>
                </c:pt>
                <c:pt idx="1">
                  <c:v>Developing</c:v>
                </c:pt>
                <c:pt idx="2">
                  <c:v>Proficient</c:v>
                </c:pt>
                <c:pt idx="3">
                  <c:v>Exemplary</c:v>
                </c:pt>
              </c:strCache>
              <c:extLst/>
            </c:strRef>
          </c:cat>
          <c:val>
            <c:numRef>
              <c:f>Sheet1!$H$9:$L$9</c:f>
              <c:numCache>
                <c:formatCode>0</c:formatCode>
                <c:ptCount val="4"/>
                <c:pt idx="0">
                  <c:v>10.714285714285714</c:v>
                </c:pt>
                <c:pt idx="1">
                  <c:v>42.857142857142854</c:v>
                </c:pt>
                <c:pt idx="2">
                  <c:v>32.142857142857146</c:v>
                </c:pt>
                <c:pt idx="3">
                  <c:v>14.285714285714285</c:v>
                </c:pt>
              </c:numCache>
              <c:extLst/>
            </c:numRef>
          </c:val>
        </c:ser>
        <c:ser>
          <c:idx val="2"/>
          <c:order val="2"/>
          <c:tx>
            <c:strRef>
              <c:f>Sheet1!$H$10</c:f>
              <c:strCache>
                <c:ptCount val="1"/>
                <c:pt idx="0">
                  <c:v>440</c:v>
                </c:pt>
              </c:strCache>
            </c:strRef>
          </c:tx>
          <c:spPr>
            <a:solidFill>
              <a:schemeClr val="accent6">
                <a:lumMod val="60000"/>
                <a:lumOff val="40000"/>
              </a:schemeClr>
            </a:solidFill>
            <a:ln>
              <a:noFill/>
            </a:ln>
            <a:effectLst/>
          </c:spPr>
          <c:invertIfNegative val="0"/>
          <c:cat>
            <c:strRef>
              <c:f>Sheet1!$H$7:$L$7</c:f>
              <c:strCache>
                <c:ptCount val="4"/>
                <c:pt idx="0">
                  <c:v>Unsatisfactory</c:v>
                </c:pt>
                <c:pt idx="1">
                  <c:v>Developing</c:v>
                </c:pt>
                <c:pt idx="2">
                  <c:v>Proficient</c:v>
                </c:pt>
                <c:pt idx="3">
                  <c:v>Exemplary</c:v>
                </c:pt>
              </c:strCache>
              <c:extLst/>
            </c:strRef>
          </c:cat>
          <c:val>
            <c:numRef>
              <c:f>Sheet1!$H$10:$L$10</c:f>
              <c:numCache>
                <c:formatCode>0</c:formatCode>
                <c:ptCount val="4"/>
                <c:pt idx="0">
                  <c:v>28.571428571428569</c:v>
                </c:pt>
                <c:pt idx="1">
                  <c:v>57.142857142857139</c:v>
                </c:pt>
                <c:pt idx="2">
                  <c:v>0</c:v>
                </c:pt>
                <c:pt idx="3">
                  <c:v>14.285714285714285</c:v>
                </c:pt>
              </c:numCache>
              <c:extLst/>
            </c:numRef>
          </c:val>
        </c:ser>
        <c:dLbls>
          <c:showLegendKey val="0"/>
          <c:showVal val="0"/>
          <c:showCatName val="0"/>
          <c:showSerName val="0"/>
          <c:showPercent val="0"/>
          <c:showBubbleSize val="0"/>
        </c:dLbls>
        <c:gapWidth val="150"/>
        <c:axId val="392393360"/>
        <c:axId val="391446584"/>
      </c:barChart>
      <c:catAx>
        <c:axId val="39239336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Levels of Performance</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446584"/>
        <c:crosses val="autoZero"/>
        <c:auto val="1"/>
        <c:lblAlgn val="ctr"/>
        <c:lblOffset val="100"/>
        <c:noMultiLvlLbl val="0"/>
      </c:catAx>
      <c:valAx>
        <c:axId val="391446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of students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2393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22825</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Liu, Chin-hsin</cp:lastModifiedBy>
  <cp:revision>4</cp:revision>
  <cp:lastPrinted>2014-10-20T20:50:00Z</cp:lastPrinted>
  <dcterms:created xsi:type="dcterms:W3CDTF">2019-08-15T00:14:00Z</dcterms:created>
  <dcterms:modified xsi:type="dcterms:W3CDTF">2019-08-16T01:23:00Z</dcterms:modified>
</cp:coreProperties>
</file>