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9F7" w:rsidRPr="002B49F7" w:rsidRDefault="002B49F7" w:rsidP="002B49F7">
      <w:pPr>
        <w:autoSpaceDE w:val="0"/>
        <w:autoSpaceDN w:val="0"/>
        <w:adjustRightInd w:val="0"/>
        <w:jc w:val="center"/>
        <w:rPr>
          <w:color w:val="000000"/>
        </w:rPr>
      </w:pPr>
      <w:r w:rsidRPr="002B49F7">
        <w:rPr>
          <w:bCs/>
          <w:color w:val="000000"/>
        </w:rPr>
        <w:t>CALIFORNIA STATE UNIVERSITY – NORTHRIDGE</w:t>
      </w:r>
    </w:p>
    <w:p w:rsidR="002B49F7" w:rsidRPr="002B49F7" w:rsidRDefault="002B49F7" w:rsidP="002B49F7">
      <w:pPr>
        <w:autoSpaceDE w:val="0"/>
        <w:autoSpaceDN w:val="0"/>
        <w:adjustRightInd w:val="0"/>
        <w:jc w:val="center"/>
        <w:rPr>
          <w:color w:val="000000"/>
        </w:rPr>
      </w:pPr>
      <w:r w:rsidRPr="002B49F7">
        <w:rPr>
          <w:bCs/>
          <w:color w:val="000000"/>
        </w:rPr>
        <w:t>College of Health and Human Development</w:t>
      </w:r>
    </w:p>
    <w:p w:rsidR="002B49F7" w:rsidRPr="002B49F7" w:rsidRDefault="002B49F7" w:rsidP="002B49F7">
      <w:pPr>
        <w:autoSpaceDE w:val="0"/>
        <w:autoSpaceDN w:val="0"/>
        <w:adjustRightInd w:val="0"/>
        <w:jc w:val="center"/>
        <w:rPr>
          <w:color w:val="000000"/>
        </w:rPr>
      </w:pPr>
      <w:r w:rsidRPr="002B49F7">
        <w:rPr>
          <w:bCs/>
          <w:color w:val="000000"/>
        </w:rPr>
        <w:t xml:space="preserve">Department of Recreation &amp; Tourism Management </w:t>
      </w:r>
    </w:p>
    <w:p w:rsidR="002B49F7" w:rsidRPr="002B49F7" w:rsidRDefault="002B49F7" w:rsidP="002B49F7">
      <w:pPr>
        <w:autoSpaceDE w:val="0"/>
        <w:autoSpaceDN w:val="0"/>
        <w:adjustRightInd w:val="0"/>
        <w:jc w:val="center"/>
        <w:rPr>
          <w:b/>
          <w:bCs/>
          <w:color w:val="000000"/>
        </w:rPr>
      </w:pPr>
    </w:p>
    <w:p w:rsidR="002B49F7" w:rsidRPr="002B49F7" w:rsidRDefault="002B49F7" w:rsidP="002B49F7">
      <w:pPr>
        <w:autoSpaceDE w:val="0"/>
        <w:autoSpaceDN w:val="0"/>
        <w:adjustRightInd w:val="0"/>
        <w:jc w:val="center"/>
        <w:rPr>
          <w:b/>
          <w:bCs/>
          <w:color w:val="000000"/>
          <w:sz w:val="32"/>
          <w:szCs w:val="32"/>
        </w:rPr>
      </w:pPr>
      <w:r w:rsidRPr="002B49F7">
        <w:rPr>
          <w:b/>
          <w:bCs/>
          <w:color w:val="000000"/>
          <w:sz w:val="32"/>
          <w:szCs w:val="32"/>
        </w:rPr>
        <w:t>RTM 684 Research Methods and Design</w:t>
      </w:r>
    </w:p>
    <w:p w:rsidR="002B49F7" w:rsidRPr="002B49F7" w:rsidRDefault="002B49F7" w:rsidP="002B49F7">
      <w:pPr>
        <w:autoSpaceDE w:val="0"/>
        <w:autoSpaceDN w:val="0"/>
        <w:adjustRightInd w:val="0"/>
        <w:jc w:val="center"/>
        <w:rPr>
          <w:color w:val="000000"/>
        </w:rPr>
      </w:pPr>
      <w:r w:rsidRPr="002B49F7">
        <w:rPr>
          <w:bCs/>
          <w:color w:val="000000"/>
        </w:rPr>
        <w:t>(Traditional residential format)</w:t>
      </w:r>
    </w:p>
    <w:p w:rsidR="002B49F7" w:rsidRPr="002B49F7" w:rsidRDefault="002B49F7" w:rsidP="002B49F7"/>
    <w:p w:rsidR="002B49F7" w:rsidRPr="002B49F7" w:rsidRDefault="002B49F7" w:rsidP="002B49F7">
      <w:pPr>
        <w:rPr>
          <w:b/>
          <w:u w:val="single"/>
        </w:rPr>
      </w:pPr>
      <w:r w:rsidRPr="002B49F7">
        <w:rPr>
          <w:b/>
          <w:u w:val="single"/>
        </w:rPr>
        <w:t>Course Description:</w:t>
      </w:r>
    </w:p>
    <w:p w:rsidR="002B49F7" w:rsidRPr="002B49F7" w:rsidRDefault="002B49F7" w:rsidP="002B49F7">
      <w:proofErr w:type="gramStart"/>
      <w:r w:rsidRPr="002B49F7">
        <w:t>Discussion and application of scientific research in the field of tourism, hospitality, and recreation.</w:t>
      </w:r>
      <w:proofErr w:type="gramEnd"/>
      <w:r w:rsidRPr="002B49F7">
        <w:t xml:space="preserve"> </w:t>
      </w:r>
      <w:proofErr w:type="gramStart"/>
      <w:r w:rsidRPr="002B49F7">
        <w:t>Procedure in research design, data collection, data analysis, data presentation, and data interpretation/utilization.</w:t>
      </w:r>
      <w:proofErr w:type="gramEnd"/>
    </w:p>
    <w:p w:rsidR="002B49F7" w:rsidRPr="002B49F7" w:rsidRDefault="002B49F7" w:rsidP="002B49F7">
      <w:pPr>
        <w:rPr>
          <w:b/>
          <w:u w:val="single"/>
        </w:rPr>
      </w:pPr>
    </w:p>
    <w:p w:rsidR="002B49F7" w:rsidRPr="002B49F7" w:rsidRDefault="002B49F7" w:rsidP="002B49F7">
      <w:pPr>
        <w:rPr>
          <w:b/>
          <w:u w:val="single"/>
        </w:rPr>
      </w:pPr>
      <w:r w:rsidRPr="002B49F7">
        <w:rPr>
          <w:b/>
          <w:u w:val="single"/>
        </w:rPr>
        <w:t>Course Objectives:</w:t>
      </w:r>
    </w:p>
    <w:p w:rsidR="002B49F7" w:rsidRPr="002B49F7" w:rsidRDefault="002B49F7" w:rsidP="002B49F7">
      <w:r w:rsidRPr="002B49F7">
        <w:t xml:space="preserve">At the conclusion of the course, successful students will: </w:t>
      </w:r>
    </w:p>
    <w:p w:rsidR="002B49F7" w:rsidRPr="002B49F7" w:rsidRDefault="002B49F7" w:rsidP="002B49F7">
      <w:pPr>
        <w:numPr>
          <w:ilvl w:val="0"/>
          <w:numId w:val="25"/>
        </w:numPr>
        <w:autoSpaceDE w:val="0"/>
        <w:autoSpaceDN w:val="0"/>
        <w:adjustRightInd w:val="0"/>
      </w:pPr>
      <w:r w:rsidRPr="002B49F7">
        <w:t>Demonstrate knowledge of basic language and terms of scientific research</w:t>
      </w:r>
    </w:p>
    <w:p w:rsidR="002B49F7" w:rsidRPr="002B49F7" w:rsidRDefault="002B49F7" w:rsidP="002B49F7">
      <w:pPr>
        <w:numPr>
          <w:ilvl w:val="0"/>
          <w:numId w:val="25"/>
        </w:numPr>
        <w:autoSpaceDE w:val="0"/>
        <w:autoSpaceDN w:val="0"/>
        <w:adjustRightInd w:val="0"/>
      </w:pPr>
      <w:r w:rsidRPr="002B49F7">
        <w:t>Describe paradigms and principles governing the scientific research</w:t>
      </w:r>
    </w:p>
    <w:p w:rsidR="002B49F7" w:rsidRPr="002B49F7" w:rsidRDefault="002B49F7" w:rsidP="002B49F7">
      <w:pPr>
        <w:numPr>
          <w:ilvl w:val="0"/>
          <w:numId w:val="25"/>
        </w:numPr>
        <w:autoSpaceDE w:val="0"/>
        <w:autoSpaceDN w:val="0"/>
        <w:adjustRightInd w:val="0"/>
      </w:pPr>
      <w:r w:rsidRPr="002B49F7">
        <w:t>Demonstrate the ability to differentiate and utilize appropriate research designs</w:t>
      </w:r>
    </w:p>
    <w:p w:rsidR="002B49F7" w:rsidRPr="002B49F7" w:rsidRDefault="002B49F7" w:rsidP="002B49F7">
      <w:pPr>
        <w:numPr>
          <w:ilvl w:val="0"/>
          <w:numId w:val="25"/>
        </w:numPr>
        <w:autoSpaceDE w:val="0"/>
        <w:autoSpaceDN w:val="0"/>
        <w:adjustRightInd w:val="0"/>
      </w:pPr>
      <w:r w:rsidRPr="002B49F7">
        <w:t>Demonstrate the ability to employ appropriate data analyses</w:t>
      </w:r>
    </w:p>
    <w:p w:rsidR="002B49F7" w:rsidRPr="002B49F7" w:rsidRDefault="002B49F7" w:rsidP="002B49F7">
      <w:pPr>
        <w:numPr>
          <w:ilvl w:val="0"/>
          <w:numId w:val="25"/>
        </w:numPr>
        <w:autoSpaceDE w:val="0"/>
        <w:autoSpaceDN w:val="0"/>
        <w:adjustRightInd w:val="0"/>
      </w:pPr>
      <w:r w:rsidRPr="002B49F7">
        <w:t>Develop a research proposal for a potential Graduate Thesis or Project</w:t>
      </w:r>
    </w:p>
    <w:p w:rsidR="002B49F7" w:rsidRPr="002B49F7" w:rsidRDefault="002B49F7" w:rsidP="002B49F7">
      <w:pPr>
        <w:autoSpaceDE w:val="0"/>
        <w:autoSpaceDN w:val="0"/>
        <w:adjustRightInd w:val="0"/>
      </w:pPr>
    </w:p>
    <w:p w:rsidR="002B49F7" w:rsidRPr="002B49F7" w:rsidRDefault="002B49F7" w:rsidP="002B49F7">
      <w:pPr>
        <w:autoSpaceDE w:val="0"/>
        <w:autoSpaceDN w:val="0"/>
        <w:adjustRightInd w:val="0"/>
        <w:rPr>
          <w:b/>
          <w:u w:val="single"/>
        </w:rPr>
      </w:pPr>
      <w:r w:rsidRPr="002B49F7">
        <w:rPr>
          <w:b/>
          <w:u w:val="single"/>
        </w:rPr>
        <w:t>Instructional Methods:</w:t>
      </w:r>
    </w:p>
    <w:p w:rsidR="002B49F7" w:rsidRPr="002B49F7" w:rsidRDefault="002B49F7" w:rsidP="002B49F7">
      <w:pPr>
        <w:autoSpaceDE w:val="0"/>
        <w:autoSpaceDN w:val="0"/>
        <w:adjustRightInd w:val="0"/>
      </w:pPr>
      <w:r w:rsidRPr="002B49F7">
        <w:t>Students will play an important role in their quest for knowledge and skills. To this end, the following instructional methods will be used in the course:</w:t>
      </w:r>
    </w:p>
    <w:p w:rsidR="002B49F7" w:rsidRPr="002B49F7" w:rsidRDefault="002B49F7" w:rsidP="002B49F7">
      <w:pPr>
        <w:numPr>
          <w:ilvl w:val="0"/>
          <w:numId w:val="15"/>
        </w:numPr>
        <w:autoSpaceDE w:val="0"/>
        <w:autoSpaceDN w:val="0"/>
        <w:adjustRightInd w:val="0"/>
        <w:contextualSpacing/>
        <w:rPr>
          <w:rFonts w:eastAsia="SimSun"/>
          <w:lang w:eastAsia="zh-CN"/>
        </w:rPr>
      </w:pPr>
      <w:r w:rsidRPr="002B49F7">
        <w:rPr>
          <w:rFonts w:eastAsia="SimSun"/>
          <w:lang w:eastAsia="zh-CN"/>
        </w:rPr>
        <w:t>Lecture</w:t>
      </w:r>
    </w:p>
    <w:p w:rsidR="002B49F7" w:rsidRPr="002B49F7" w:rsidRDefault="002B49F7" w:rsidP="002B49F7">
      <w:pPr>
        <w:numPr>
          <w:ilvl w:val="0"/>
          <w:numId w:val="15"/>
        </w:numPr>
        <w:autoSpaceDE w:val="0"/>
        <w:autoSpaceDN w:val="0"/>
        <w:adjustRightInd w:val="0"/>
        <w:contextualSpacing/>
        <w:rPr>
          <w:rFonts w:eastAsia="SimSun"/>
          <w:lang w:eastAsia="zh-CN"/>
        </w:rPr>
      </w:pPr>
      <w:r w:rsidRPr="002B49F7">
        <w:rPr>
          <w:rFonts w:eastAsia="SimSun"/>
          <w:lang w:eastAsia="zh-CN"/>
        </w:rPr>
        <w:t>Discussions</w:t>
      </w:r>
    </w:p>
    <w:p w:rsidR="002B49F7" w:rsidRPr="002B49F7" w:rsidRDefault="002B49F7" w:rsidP="002B49F7">
      <w:pPr>
        <w:numPr>
          <w:ilvl w:val="0"/>
          <w:numId w:val="15"/>
        </w:numPr>
        <w:autoSpaceDE w:val="0"/>
        <w:autoSpaceDN w:val="0"/>
        <w:adjustRightInd w:val="0"/>
        <w:contextualSpacing/>
        <w:rPr>
          <w:rFonts w:eastAsia="SimSun"/>
          <w:lang w:eastAsia="zh-CN"/>
        </w:rPr>
      </w:pPr>
      <w:r w:rsidRPr="002B49F7">
        <w:rPr>
          <w:rFonts w:eastAsia="SimSun"/>
          <w:lang w:eastAsia="zh-CN"/>
        </w:rPr>
        <w:t>Lab work (e.g., statistical analyses)</w:t>
      </w:r>
    </w:p>
    <w:p w:rsidR="002B49F7" w:rsidRPr="002B49F7" w:rsidRDefault="002B49F7" w:rsidP="002B49F7">
      <w:pPr>
        <w:numPr>
          <w:ilvl w:val="0"/>
          <w:numId w:val="15"/>
        </w:numPr>
        <w:autoSpaceDE w:val="0"/>
        <w:autoSpaceDN w:val="0"/>
        <w:adjustRightInd w:val="0"/>
        <w:contextualSpacing/>
        <w:rPr>
          <w:rFonts w:eastAsia="SimSun"/>
          <w:lang w:eastAsia="zh-CN"/>
        </w:rPr>
      </w:pPr>
      <w:r w:rsidRPr="002B49F7">
        <w:rPr>
          <w:rFonts w:eastAsia="SimSun"/>
          <w:lang w:eastAsia="zh-CN"/>
        </w:rPr>
        <w:t>Videos</w:t>
      </w:r>
    </w:p>
    <w:p w:rsidR="002B49F7" w:rsidRPr="002B49F7" w:rsidRDefault="002B49F7" w:rsidP="002B49F7">
      <w:pPr>
        <w:rPr>
          <w:b/>
        </w:rPr>
      </w:pPr>
    </w:p>
    <w:p w:rsidR="002B49F7" w:rsidRPr="002B49F7" w:rsidRDefault="002B49F7" w:rsidP="002B49F7">
      <w:pPr>
        <w:autoSpaceDE w:val="0"/>
        <w:autoSpaceDN w:val="0"/>
        <w:adjustRightInd w:val="0"/>
        <w:rPr>
          <w:b/>
          <w:u w:val="single"/>
        </w:rPr>
      </w:pPr>
      <w:r w:rsidRPr="002B49F7">
        <w:rPr>
          <w:b/>
          <w:u w:val="single"/>
        </w:rPr>
        <w:t xml:space="preserve">Evaluation Methods: </w:t>
      </w:r>
    </w:p>
    <w:p w:rsidR="002B49F7" w:rsidRPr="002B49F7" w:rsidRDefault="002B49F7" w:rsidP="002B49F7">
      <w:pPr>
        <w:autoSpaceDE w:val="0"/>
        <w:autoSpaceDN w:val="0"/>
        <w:adjustRightInd w:val="0"/>
        <w:rPr>
          <w:sz w:val="12"/>
          <w:szCs w:val="12"/>
        </w:rPr>
      </w:pPr>
    </w:p>
    <w:p w:rsidR="002B49F7" w:rsidRPr="002B49F7" w:rsidRDefault="002B49F7" w:rsidP="002B49F7">
      <w:pPr>
        <w:autoSpaceDE w:val="0"/>
        <w:autoSpaceDN w:val="0"/>
        <w:adjustRightInd w:val="0"/>
        <w:rPr>
          <w:i/>
        </w:rPr>
      </w:pPr>
      <w:r w:rsidRPr="002B49F7">
        <w:rPr>
          <w:i/>
        </w:rPr>
        <w:t>In-Class Exercises</w:t>
      </w:r>
    </w:p>
    <w:p w:rsidR="002B49F7" w:rsidRPr="002B49F7" w:rsidRDefault="002B49F7" w:rsidP="002B49F7">
      <w:pPr>
        <w:autoSpaceDE w:val="0"/>
        <w:autoSpaceDN w:val="0"/>
        <w:adjustRightInd w:val="0"/>
      </w:pPr>
      <w:r w:rsidRPr="002B49F7">
        <w:t xml:space="preserve">Several in-class exercises will be given to facilitate and improve students’ understanding of the course material. </w:t>
      </w:r>
    </w:p>
    <w:p w:rsidR="002B49F7" w:rsidRPr="002B49F7" w:rsidRDefault="002B49F7" w:rsidP="002B49F7">
      <w:pPr>
        <w:autoSpaceDE w:val="0"/>
        <w:autoSpaceDN w:val="0"/>
        <w:adjustRightInd w:val="0"/>
      </w:pPr>
    </w:p>
    <w:p w:rsidR="002B49F7" w:rsidRPr="002B49F7" w:rsidRDefault="002B49F7" w:rsidP="002B49F7">
      <w:pPr>
        <w:autoSpaceDE w:val="0"/>
        <w:autoSpaceDN w:val="0"/>
        <w:adjustRightInd w:val="0"/>
      </w:pPr>
      <w:r w:rsidRPr="002B49F7">
        <w:rPr>
          <w:i/>
        </w:rPr>
        <w:t>Exams</w:t>
      </w:r>
    </w:p>
    <w:p w:rsidR="002B49F7" w:rsidRPr="002B49F7" w:rsidRDefault="002B49F7" w:rsidP="002B49F7">
      <w:pPr>
        <w:autoSpaceDE w:val="0"/>
        <w:autoSpaceDN w:val="0"/>
        <w:adjustRightInd w:val="0"/>
      </w:pPr>
      <w:r w:rsidRPr="002B49F7">
        <w:t>Two non-cumulative exams will be given to assess the comprehension and application of knowledge. A review session will be held before each exam to help students prepare for the exam. Exam#1 is closed note, while Exam#2 is a take-home.</w:t>
      </w:r>
    </w:p>
    <w:p w:rsidR="002B49F7" w:rsidRPr="002B49F7" w:rsidRDefault="002B49F7" w:rsidP="002B49F7">
      <w:pPr>
        <w:autoSpaceDE w:val="0"/>
        <w:autoSpaceDN w:val="0"/>
        <w:adjustRightInd w:val="0"/>
      </w:pPr>
    </w:p>
    <w:p w:rsidR="002B49F7" w:rsidRPr="002B49F7" w:rsidRDefault="002B49F7" w:rsidP="002B49F7">
      <w:pPr>
        <w:autoSpaceDE w:val="0"/>
        <w:autoSpaceDN w:val="0"/>
        <w:adjustRightInd w:val="0"/>
        <w:rPr>
          <w:bCs/>
          <w:i/>
        </w:rPr>
      </w:pPr>
      <w:r w:rsidRPr="002B49F7">
        <w:rPr>
          <w:bCs/>
          <w:i/>
        </w:rPr>
        <w:t>Research Proposal and Presentation</w:t>
      </w:r>
    </w:p>
    <w:p w:rsidR="002B49F7" w:rsidRPr="002B49F7" w:rsidRDefault="002B49F7" w:rsidP="002B49F7">
      <w:pPr>
        <w:autoSpaceDE w:val="0"/>
        <w:autoSpaceDN w:val="0"/>
        <w:adjustRightInd w:val="0"/>
      </w:pPr>
      <w:r w:rsidRPr="002B49F7">
        <w:t xml:space="preserve">This is an </w:t>
      </w:r>
      <w:r w:rsidRPr="002B49F7">
        <w:rPr>
          <w:u w:val="single"/>
        </w:rPr>
        <w:t>individual</w:t>
      </w:r>
      <w:r w:rsidRPr="002B49F7">
        <w:t xml:space="preserve"> assignment. Students will be asked to complete a research proposal in the field of recreation/sport/tourism/hospitality. </w:t>
      </w:r>
      <w:r w:rsidRPr="002B49F7">
        <w:rPr>
          <w:color w:val="000000"/>
        </w:rPr>
        <w:t>Students will also be asked to present their proposals to the class. The research proposal should consist of 7 sections: 1) title page; 2) executive summary; 3) introduction; 4) literature review; 5) research questions/hypotheses; 6) methods; and 7) Bibliography. Guidelines will be provided during the semester.</w:t>
      </w:r>
    </w:p>
    <w:p w:rsidR="002B49F7" w:rsidRPr="002B49F7" w:rsidRDefault="002B49F7" w:rsidP="002B49F7">
      <w:pPr>
        <w:autoSpaceDE w:val="0"/>
        <w:autoSpaceDN w:val="0"/>
        <w:adjustRightInd w:val="0"/>
      </w:pPr>
    </w:p>
    <w:p w:rsidR="002B49F7" w:rsidRPr="002B49F7" w:rsidRDefault="002B49F7" w:rsidP="002B49F7">
      <w:pPr>
        <w:autoSpaceDE w:val="0"/>
        <w:autoSpaceDN w:val="0"/>
        <w:adjustRightInd w:val="0"/>
      </w:pPr>
    </w:p>
    <w:p w:rsidR="002B49F7" w:rsidRPr="002B49F7" w:rsidRDefault="002B49F7" w:rsidP="002B49F7">
      <w:pPr>
        <w:spacing w:afterLines="20" w:after="48"/>
        <w:rPr>
          <w:b/>
        </w:rPr>
      </w:pPr>
      <w:r w:rsidRPr="002B49F7">
        <w:rPr>
          <w:b/>
          <w:u w:val="single"/>
        </w:rPr>
        <w:t>Grading:</w:t>
      </w:r>
    </w:p>
    <w:p w:rsidR="002B49F7" w:rsidRPr="002B49F7" w:rsidRDefault="002B49F7" w:rsidP="002B49F7">
      <w:pPr>
        <w:spacing w:afterLines="20" w:after="48"/>
        <w:rPr>
          <w:b/>
          <w:sz w:val="12"/>
          <w:szCs w:val="12"/>
        </w:rPr>
      </w:pPr>
    </w:p>
    <w:tbl>
      <w:tblPr>
        <w:tblW w:w="8568" w:type="dxa"/>
        <w:jc w:val="center"/>
        <w:tblLook w:val="01E0" w:firstRow="1" w:lastRow="1" w:firstColumn="1" w:lastColumn="1" w:noHBand="0" w:noVBand="0"/>
      </w:tblPr>
      <w:tblGrid>
        <w:gridCol w:w="3015"/>
        <w:gridCol w:w="776"/>
        <w:gridCol w:w="236"/>
        <w:gridCol w:w="1602"/>
        <w:gridCol w:w="625"/>
        <w:gridCol w:w="1690"/>
        <w:gridCol w:w="624"/>
      </w:tblGrid>
      <w:tr w:rsidR="002B49F7" w:rsidRPr="002B49F7" w:rsidTr="00384F31">
        <w:trPr>
          <w:jc w:val="center"/>
        </w:trPr>
        <w:tc>
          <w:tcPr>
            <w:tcW w:w="3015" w:type="dxa"/>
          </w:tcPr>
          <w:p w:rsidR="002B49F7" w:rsidRPr="002B49F7" w:rsidRDefault="002B49F7" w:rsidP="002B49F7">
            <w:pPr>
              <w:tabs>
                <w:tab w:val="left" w:leader="dot" w:pos="4320"/>
              </w:tabs>
            </w:pPr>
            <w:r w:rsidRPr="002B49F7">
              <w:t>Research Proposal</w:t>
            </w:r>
          </w:p>
        </w:tc>
        <w:tc>
          <w:tcPr>
            <w:tcW w:w="776" w:type="dxa"/>
          </w:tcPr>
          <w:p w:rsidR="002B49F7" w:rsidRPr="002B49F7" w:rsidRDefault="002B49F7" w:rsidP="002B49F7">
            <w:pPr>
              <w:tabs>
                <w:tab w:val="left" w:leader="dot" w:pos="4320"/>
              </w:tabs>
              <w:jc w:val="right"/>
            </w:pPr>
            <w:r w:rsidRPr="002B49F7">
              <w:t>45%</w:t>
            </w:r>
          </w:p>
        </w:tc>
        <w:tc>
          <w:tcPr>
            <w:tcW w:w="236" w:type="dxa"/>
          </w:tcPr>
          <w:p w:rsidR="002B49F7" w:rsidRPr="002B49F7" w:rsidRDefault="002B49F7" w:rsidP="002B49F7">
            <w:pPr>
              <w:tabs>
                <w:tab w:val="left" w:leader="dot" w:pos="4320"/>
              </w:tabs>
              <w:jc w:val="right"/>
            </w:pPr>
            <w:r w:rsidRPr="002B49F7">
              <w:t xml:space="preserve"> </w:t>
            </w:r>
          </w:p>
        </w:tc>
        <w:tc>
          <w:tcPr>
            <w:tcW w:w="1602" w:type="dxa"/>
          </w:tcPr>
          <w:p w:rsidR="002B49F7" w:rsidRPr="002B49F7" w:rsidRDefault="002B49F7" w:rsidP="002B49F7">
            <w:pPr>
              <w:tabs>
                <w:tab w:val="left" w:leader="dot" w:pos="4320"/>
              </w:tabs>
              <w:jc w:val="right"/>
            </w:pPr>
            <w:r w:rsidRPr="002B49F7">
              <w:t xml:space="preserve">93% or more </w:t>
            </w:r>
          </w:p>
        </w:tc>
        <w:tc>
          <w:tcPr>
            <w:tcW w:w="625" w:type="dxa"/>
          </w:tcPr>
          <w:p w:rsidR="002B49F7" w:rsidRPr="002B49F7" w:rsidRDefault="002B49F7" w:rsidP="002B49F7">
            <w:pPr>
              <w:tabs>
                <w:tab w:val="left" w:leader="dot" w:pos="4320"/>
              </w:tabs>
            </w:pPr>
            <w:r w:rsidRPr="002B49F7">
              <w:t>A</w:t>
            </w:r>
          </w:p>
        </w:tc>
        <w:tc>
          <w:tcPr>
            <w:tcW w:w="1690" w:type="dxa"/>
          </w:tcPr>
          <w:p w:rsidR="002B49F7" w:rsidRPr="002B49F7" w:rsidRDefault="002B49F7" w:rsidP="002B49F7">
            <w:pPr>
              <w:tabs>
                <w:tab w:val="left" w:leader="dot" w:pos="4320"/>
              </w:tabs>
              <w:jc w:val="right"/>
            </w:pPr>
            <w:r w:rsidRPr="002B49F7">
              <w:t>73% – 76.9%</w:t>
            </w:r>
          </w:p>
        </w:tc>
        <w:tc>
          <w:tcPr>
            <w:tcW w:w="624" w:type="dxa"/>
          </w:tcPr>
          <w:p w:rsidR="002B49F7" w:rsidRPr="002B49F7" w:rsidRDefault="002B49F7" w:rsidP="002B49F7">
            <w:pPr>
              <w:tabs>
                <w:tab w:val="left" w:leader="dot" w:pos="4320"/>
              </w:tabs>
            </w:pPr>
            <w:r w:rsidRPr="002B49F7">
              <w:t>C</w:t>
            </w:r>
          </w:p>
        </w:tc>
      </w:tr>
      <w:tr w:rsidR="002B49F7" w:rsidRPr="002B49F7" w:rsidTr="00384F31">
        <w:trPr>
          <w:jc w:val="center"/>
        </w:trPr>
        <w:tc>
          <w:tcPr>
            <w:tcW w:w="3015" w:type="dxa"/>
          </w:tcPr>
          <w:p w:rsidR="002B49F7" w:rsidRPr="002B49F7" w:rsidRDefault="002B49F7" w:rsidP="002B49F7">
            <w:pPr>
              <w:tabs>
                <w:tab w:val="left" w:leader="dot" w:pos="4320"/>
              </w:tabs>
            </w:pPr>
            <w:r w:rsidRPr="002B49F7">
              <w:lastRenderedPageBreak/>
              <w:t>Exam#1</w:t>
            </w:r>
          </w:p>
        </w:tc>
        <w:tc>
          <w:tcPr>
            <w:tcW w:w="776" w:type="dxa"/>
          </w:tcPr>
          <w:p w:rsidR="002B49F7" w:rsidRPr="002B49F7" w:rsidRDefault="002B49F7" w:rsidP="002B49F7">
            <w:pPr>
              <w:tabs>
                <w:tab w:val="left" w:leader="dot" w:pos="4320"/>
              </w:tabs>
              <w:jc w:val="right"/>
            </w:pPr>
            <w:r w:rsidRPr="002B49F7">
              <w:t>15%</w:t>
            </w:r>
          </w:p>
        </w:tc>
        <w:tc>
          <w:tcPr>
            <w:tcW w:w="236" w:type="dxa"/>
          </w:tcPr>
          <w:p w:rsidR="002B49F7" w:rsidRPr="002B49F7" w:rsidRDefault="002B49F7" w:rsidP="002B49F7">
            <w:pPr>
              <w:tabs>
                <w:tab w:val="left" w:leader="dot" w:pos="4320"/>
              </w:tabs>
              <w:jc w:val="right"/>
            </w:pPr>
          </w:p>
        </w:tc>
        <w:tc>
          <w:tcPr>
            <w:tcW w:w="1602" w:type="dxa"/>
          </w:tcPr>
          <w:p w:rsidR="002B49F7" w:rsidRPr="002B49F7" w:rsidRDefault="002B49F7" w:rsidP="002B49F7">
            <w:pPr>
              <w:tabs>
                <w:tab w:val="left" w:leader="dot" w:pos="4320"/>
              </w:tabs>
              <w:jc w:val="right"/>
            </w:pPr>
            <w:r w:rsidRPr="002B49F7">
              <w:t xml:space="preserve">90% – 92.9% </w:t>
            </w:r>
          </w:p>
        </w:tc>
        <w:tc>
          <w:tcPr>
            <w:tcW w:w="625" w:type="dxa"/>
          </w:tcPr>
          <w:p w:rsidR="002B49F7" w:rsidRPr="002B49F7" w:rsidRDefault="002B49F7" w:rsidP="002B49F7">
            <w:pPr>
              <w:tabs>
                <w:tab w:val="left" w:leader="dot" w:pos="4320"/>
              </w:tabs>
            </w:pPr>
            <w:r w:rsidRPr="002B49F7">
              <w:t>A-</w:t>
            </w:r>
          </w:p>
        </w:tc>
        <w:tc>
          <w:tcPr>
            <w:tcW w:w="1690" w:type="dxa"/>
          </w:tcPr>
          <w:p w:rsidR="002B49F7" w:rsidRPr="002B49F7" w:rsidRDefault="002B49F7" w:rsidP="002B49F7">
            <w:pPr>
              <w:tabs>
                <w:tab w:val="left" w:leader="dot" w:pos="4320"/>
              </w:tabs>
              <w:jc w:val="right"/>
            </w:pPr>
            <w:r w:rsidRPr="002B49F7">
              <w:t>70% – 72.9%</w:t>
            </w:r>
          </w:p>
        </w:tc>
        <w:tc>
          <w:tcPr>
            <w:tcW w:w="624" w:type="dxa"/>
          </w:tcPr>
          <w:p w:rsidR="002B49F7" w:rsidRPr="002B49F7" w:rsidRDefault="002B49F7" w:rsidP="002B49F7">
            <w:pPr>
              <w:tabs>
                <w:tab w:val="left" w:leader="dot" w:pos="4320"/>
              </w:tabs>
            </w:pPr>
            <w:r w:rsidRPr="002B49F7">
              <w:t>C-</w:t>
            </w:r>
          </w:p>
        </w:tc>
      </w:tr>
      <w:tr w:rsidR="002B49F7" w:rsidRPr="002B49F7" w:rsidTr="00384F31">
        <w:trPr>
          <w:jc w:val="center"/>
        </w:trPr>
        <w:tc>
          <w:tcPr>
            <w:tcW w:w="3015" w:type="dxa"/>
          </w:tcPr>
          <w:p w:rsidR="002B49F7" w:rsidRPr="002B49F7" w:rsidRDefault="002B49F7" w:rsidP="002B49F7">
            <w:pPr>
              <w:tabs>
                <w:tab w:val="left" w:leader="dot" w:pos="4320"/>
              </w:tabs>
            </w:pPr>
            <w:r w:rsidRPr="002B49F7">
              <w:t>Exam#2</w:t>
            </w:r>
          </w:p>
        </w:tc>
        <w:tc>
          <w:tcPr>
            <w:tcW w:w="776" w:type="dxa"/>
          </w:tcPr>
          <w:p w:rsidR="002B49F7" w:rsidRPr="002B49F7" w:rsidRDefault="002B49F7" w:rsidP="002B49F7">
            <w:pPr>
              <w:tabs>
                <w:tab w:val="left" w:leader="dot" w:pos="4320"/>
              </w:tabs>
              <w:jc w:val="right"/>
            </w:pPr>
            <w:r w:rsidRPr="002B49F7">
              <w:t>15%</w:t>
            </w:r>
          </w:p>
        </w:tc>
        <w:tc>
          <w:tcPr>
            <w:tcW w:w="236" w:type="dxa"/>
          </w:tcPr>
          <w:p w:rsidR="002B49F7" w:rsidRPr="002B49F7" w:rsidRDefault="002B49F7" w:rsidP="002B49F7">
            <w:pPr>
              <w:tabs>
                <w:tab w:val="left" w:leader="dot" w:pos="4320"/>
              </w:tabs>
              <w:jc w:val="right"/>
            </w:pPr>
          </w:p>
        </w:tc>
        <w:tc>
          <w:tcPr>
            <w:tcW w:w="1602" w:type="dxa"/>
          </w:tcPr>
          <w:p w:rsidR="002B49F7" w:rsidRPr="002B49F7" w:rsidRDefault="002B49F7" w:rsidP="002B49F7">
            <w:pPr>
              <w:tabs>
                <w:tab w:val="left" w:leader="dot" w:pos="4320"/>
              </w:tabs>
              <w:jc w:val="right"/>
            </w:pPr>
            <w:r w:rsidRPr="002B49F7">
              <w:t>87% – 89.9%</w:t>
            </w:r>
          </w:p>
        </w:tc>
        <w:tc>
          <w:tcPr>
            <w:tcW w:w="625" w:type="dxa"/>
          </w:tcPr>
          <w:p w:rsidR="002B49F7" w:rsidRPr="002B49F7" w:rsidRDefault="002B49F7" w:rsidP="002B49F7">
            <w:pPr>
              <w:tabs>
                <w:tab w:val="left" w:leader="dot" w:pos="4320"/>
              </w:tabs>
            </w:pPr>
            <w:r w:rsidRPr="002B49F7">
              <w:t>B+</w:t>
            </w:r>
          </w:p>
        </w:tc>
        <w:tc>
          <w:tcPr>
            <w:tcW w:w="1690" w:type="dxa"/>
          </w:tcPr>
          <w:p w:rsidR="002B49F7" w:rsidRPr="002B49F7" w:rsidRDefault="002B49F7" w:rsidP="002B49F7">
            <w:pPr>
              <w:tabs>
                <w:tab w:val="left" w:leader="dot" w:pos="4320"/>
              </w:tabs>
              <w:jc w:val="right"/>
            </w:pPr>
            <w:r w:rsidRPr="002B49F7">
              <w:t>67% – 69.9%</w:t>
            </w:r>
          </w:p>
        </w:tc>
        <w:tc>
          <w:tcPr>
            <w:tcW w:w="624" w:type="dxa"/>
          </w:tcPr>
          <w:p w:rsidR="002B49F7" w:rsidRPr="002B49F7" w:rsidRDefault="002B49F7" w:rsidP="002B49F7">
            <w:pPr>
              <w:tabs>
                <w:tab w:val="left" w:leader="dot" w:pos="4320"/>
              </w:tabs>
            </w:pPr>
            <w:r w:rsidRPr="002B49F7">
              <w:t>D+</w:t>
            </w:r>
          </w:p>
        </w:tc>
      </w:tr>
      <w:tr w:rsidR="002B49F7" w:rsidRPr="002B49F7" w:rsidTr="00384F31">
        <w:trPr>
          <w:jc w:val="center"/>
        </w:trPr>
        <w:tc>
          <w:tcPr>
            <w:tcW w:w="3015" w:type="dxa"/>
          </w:tcPr>
          <w:p w:rsidR="002B49F7" w:rsidRPr="002B49F7" w:rsidRDefault="002B49F7" w:rsidP="002B49F7">
            <w:pPr>
              <w:tabs>
                <w:tab w:val="left" w:leader="dot" w:pos="4320"/>
              </w:tabs>
            </w:pPr>
            <w:r w:rsidRPr="002B49F7">
              <w:t>Class Participation</w:t>
            </w:r>
          </w:p>
        </w:tc>
        <w:tc>
          <w:tcPr>
            <w:tcW w:w="776" w:type="dxa"/>
          </w:tcPr>
          <w:p w:rsidR="002B49F7" w:rsidRPr="002B49F7" w:rsidRDefault="002B49F7" w:rsidP="002B49F7">
            <w:pPr>
              <w:tabs>
                <w:tab w:val="left" w:leader="dot" w:pos="4320"/>
              </w:tabs>
              <w:jc w:val="right"/>
            </w:pPr>
            <w:r w:rsidRPr="002B49F7">
              <w:t>15%</w:t>
            </w:r>
          </w:p>
        </w:tc>
        <w:tc>
          <w:tcPr>
            <w:tcW w:w="236" w:type="dxa"/>
          </w:tcPr>
          <w:p w:rsidR="002B49F7" w:rsidRPr="002B49F7" w:rsidRDefault="002B49F7" w:rsidP="002B49F7">
            <w:pPr>
              <w:tabs>
                <w:tab w:val="left" w:leader="dot" w:pos="4320"/>
              </w:tabs>
              <w:jc w:val="right"/>
            </w:pPr>
          </w:p>
        </w:tc>
        <w:tc>
          <w:tcPr>
            <w:tcW w:w="1602" w:type="dxa"/>
          </w:tcPr>
          <w:p w:rsidR="002B49F7" w:rsidRPr="002B49F7" w:rsidRDefault="002B49F7" w:rsidP="002B49F7">
            <w:pPr>
              <w:tabs>
                <w:tab w:val="left" w:leader="dot" w:pos="4320"/>
              </w:tabs>
              <w:jc w:val="right"/>
            </w:pPr>
            <w:r w:rsidRPr="002B49F7">
              <w:t>83% – 86.9%</w:t>
            </w:r>
          </w:p>
        </w:tc>
        <w:tc>
          <w:tcPr>
            <w:tcW w:w="625" w:type="dxa"/>
          </w:tcPr>
          <w:p w:rsidR="002B49F7" w:rsidRPr="002B49F7" w:rsidRDefault="002B49F7" w:rsidP="002B49F7">
            <w:pPr>
              <w:tabs>
                <w:tab w:val="left" w:leader="dot" w:pos="4320"/>
              </w:tabs>
            </w:pPr>
            <w:r w:rsidRPr="002B49F7">
              <w:t>B</w:t>
            </w:r>
          </w:p>
        </w:tc>
        <w:tc>
          <w:tcPr>
            <w:tcW w:w="1690" w:type="dxa"/>
          </w:tcPr>
          <w:p w:rsidR="002B49F7" w:rsidRPr="002B49F7" w:rsidRDefault="002B49F7" w:rsidP="002B49F7">
            <w:pPr>
              <w:tabs>
                <w:tab w:val="left" w:leader="dot" w:pos="4320"/>
              </w:tabs>
              <w:jc w:val="right"/>
            </w:pPr>
            <w:r w:rsidRPr="002B49F7">
              <w:t>63% – 66.9%</w:t>
            </w:r>
          </w:p>
        </w:tc>
        <w:tc>
          <w:tcPr>
            <w:tcW w:w="624" w:type="dxa"/>
          </w:tcPr>
          <w:p w:rsidR="002B49F7" w:rsidRPr="002B49F7" w:rsidRDefault="002B49F7" w:rsidP="002B49F7">
            <w:pPr>
              <w:tabs>
                <w:tab w:val="left" w:leader="dot" w:pos="4320"/>
              </w:tabs>
            </w:pPr>
            <w:r w:rsidRPr="002B49F7">
              <w:t>D</w:t>
            </w:r>
          </w:p>
        </w:tc>
      </w:tr>
      <w:tr w:rsidR="002B49F7" w:rsidRPr="002B49F7" w:rsidTr="00384F31">
        <w:trPr>
          <w:jc w:val="center"/>
        </w:trPr>
        <w:tc>
          <w:tcPr>
            <w:tcW w:w="3015" w:type="dxa"/>
          </w:tcPr>
          <w:p w:rsidR="002B49F7" w:rsidRPr="002B49F7" w:rsidRDefault="002B49F7" w:rsidP="002B49F7">
            <w:pPr>
              <w:tabs>
                <w:tab w:val="left" w:leader="dot" w:pos="4320"/>
              </w:tabs>
            </w:pPr>
            <w:r w:rsidRPr="002B49F7">
              <w:t>Oral Presentation</w:t>
            </w:r>
          </w:p>
        </w:tc>
        <w:tc>
          <w:tcPr>
            <w:tcW w:w="776" w:type="dxa"/>
          </w:tcPr>
          <w:p w:rsidR="002B49F7" w:rsidRPr="002B49F7" w:rsidRDefault="002B49F7" w:rsidP="002B49F7">
            <w:pPr>
              <w:tabs>
                <w:tab w:val="left" w:leader="dot" w:pos="4320"/>
              </w:tabs>
              <w:jc w:val="right"/>
            </w:pPr>
            <w:r w:rsidRPr="002B49F7">
              <w:t>10%</w:t>
            </w:r>
          </w:p>
        </w:tc>
        <w:tc>
          <w:tcPr>
            <w:tcW w:w="236" w:type="dxa"/>
          </w:tcPr>
          <w:p w:rsidR="002B49F7" w:rsidRPr="002B49F7" w:rsidRDefault="002B49F7" w:rsidP="002B49F7">
            <w:pPr>
              <w:tabs>
                <w:tab w:val="left" w:leader="dot" w:pos="4320"/>
              </w:tabs>
              <w:jc w:val="right"/>
            </w:pPr>
          </w:p>
        </w:tc>
        <w:tc>
          <w:tcPr>
            <w:tcW w:w="1602" w:type="dxa"/>
          </w:tcPr>
          <w:p w:rsidR="002B49F7" w:rsidRPr="002B49F7" w:rsidRDefault="002B49F7" w:rsidP="002B49F7">
            <w:pPr>
              <w:tabs>
                <w:tab w:val="left" w:leader="dot" w:pos="4320"/>
              </w:tabs>
              <w:jc w:val="right"/>
            </w:pPr>
            <w:r w:rsidRPr="002B49F7">
              <w:t>80% – 82.9%</w:t>
            </w:r>
          </w:p>
        </w:tc>
        <w:tc>
          <w:tcPr>
            <w:tcW w:w="625" w:type="dxa"/>
          </w:tcPr>
          <w:p w:rsidR="002B49F7" w:rsidRPr="002B49F7" w:rsidRDefault="002B49F7" w:rsidP="002B49F7">
            <w:pPr>
              <w:tabs>
                <w:tab w:val="left" w:leader="dot" w:pos="4320"/>
              </w:tabs>
            </w:pPr>
            <w:r w:rsidRPr="002B49F7">
              <w:t>B-</w:t>
            </w:r>
          </w:p>
        </w:tc>
        <w:tc>
          <w:tcPr>
            <w:tcW w:w="1690" w:type="dxa"/>
          </w:tcPr>
          <w:p w:rsidR="002B49F7" w:rsidRPr="002B49F7" w:rsidRDefault="002B49F7" w:rsidP="002B49F7">
            <w:pPr>
              <w:tabs>
                <w:tab w:val="left" w:leader="dot" w:pos="4320"/>
              </w:tabs>
              <w:jc w:val="right"/>
            </w:pPr>
            <w:r w:rsidRPr="002B49F7">
              <w:t>60% – 62.9%</w:t>
            </w:r>
          </w:p>
        </w:tc>
        <w:tc>
          <w:tcPr>
            <w:tcW w:w="624" w:type="dxa"/>
          </w:tcPr>
          <w:p w:rsidR="002B49F7" w:rsidRPr="002B49F7" w:rsidRDefault="002B49F7" w:rsidP="002B49F7">
            <w:pPr>
              <w:tabs>
                <w:tab w:val="left" w:leader="dot" w:pos="4320"/>
              </w:tabs>
            </w:pPr>
            <w:r w:rsidRPr="002B49F7">
              <w:t>D-</w:t>
            </w:r>
          </w:p>
        </w:tc>
      </w:tr>
      <w:tr w:rsidR="002B49F7" w:rsidRPr="002B49F7" w:rsidTr="00384F31">
        <w:trPr>
          <w:jc w:val="center"/>
        </w:trPr>
        <w:tc>
          <w:tcPr>
            <w:tcW w:w="3015" w:type="dxa"/>
          </w:tcPr>
          <w:p w:rsidR="002B49F7" w:rsidRPr="002B49F7" w:rsidRDefault="002B49F7" w:rsidP="002B49F7">
            <w:pPr>
              <w:tabs>
                <w:tab w:val="left" w:leader="dot" w:pos="4320"/>
              </w:tabs>
            </w:pPr>
            <w:r w:rsidRPr="002B49F7">
              <w:t xml:space="preserve">Total </w:t>
            </w:r>
          </w:p>
        </w:tc>
        <w:tc>
          <w:tcPr>
            <w:tcW w:w="776" w:type="dxa"/>
          </w:tcPr>
          <w:p w:rsidR="002B49F7" w:rsidRPr="002B49F7" w:rsidRDefault="002B49F7" w:rsidP="002B49F7">
            <w:pPr>
              <w:tabs>
                <w:tab w:val="left" w:leader="dot" w:pos="4320"/>
              </w:tabs>
              <w:jc w:val="right"/>
            </w:pPr>
            <w:r w:rsidRPr="002B49F7">
              <w:t>100%</w:t>
            </w:r>
          </w:p>
        </w:tc>
        <w:tc>
          <w:tcPr>
            <w:tcW w:w="236" w:type="dxa"/>
          </w:tcPr>
          <w:p w:rsidR="002B49F7" w:rsidRPr="002B49F7" w:rsidRDefault="002B49F7" w:rsidP="002B49F7">
            <w:pPr>
              <w:tabs>
                <w:tab w:val="left" w:leader="dot" w:pos="4320"/>
              </w:tabs>
              <w:jc w:val="right"/>
            </w:pPr>
          </w:p>
        </w:tc>
        <w:tc>
          <w:tcPr>
            <w:tcW w:w="1602" w:type="dxa"/>
          </w:tcPr>
          <w:p w:rsidR="002B49F7" w:rsidRPr="002B49F7" w:rsidRDefault="002B49F7" w:rsidP="002B49F7">
            <w:pPr>
              <w:tabs>
                <w:tab w:val="left" w:leader="dot" w:pos="4320"/>
              </w:tabs>
              <w:jc w:val="right"/>
            </w:pPr>
            <w:r w:rsidRPr="002B49F7">
              <w:t>77% – 79.9%</w:t>
            </w:r>
          </w:p>
        </w:tc>
        <w:tc>
          <w:tcPr>
            <w:tcW w:w="625" w:type="dxa"/>
          </w:tcPr>
          <w:p w:rsidR="002B49F7" w:rsidRPr="002B49F7" w:rsidRDefault="002B49F7" w:rsidP="002B49F7">
            <w:pPr>
              <w:tabs>
                <w:tab w:val="left" w:leader="dot" w:pos="4320"/>
              </w:tabs>
            </w:pPr>
            <w:r w:rsidRPr="002B49F7">
              <w:t>C+</w:t>
            </w:r>
          </w:p>
        </w:tc>
        <w:tc>
          <w:tcPr>
            <w:tcW w:w="1690" w:type="dxa"/>
          </w:tcPr>
          <w:p w:rsidR="002B49F7" w:rsidRPr="002B49F7" w:rsidRDefault="002B49F7" w:rsidP="002B49F7">
            <w:pPr>
              <w:tabs>
                <w:tab w:val="left" w:leader="dot" w:pos="4320"/>
              </w:tabs>
              <w:jc w:val="right"/>
            </w:pPr>
            <w:r w:rsidRPr="002B49F7">
              <w:t>Less than 60%</w:t>
            </w:r>
          </w:p>
        </w:tc>
        <w:tc>
          <w:tcPr>
            <w:tcW w:w="624" w:type="dxa"/>
          </w:tcPr>
          <w:p w:rsidR="002B49F7" w:rsidRPr="002B49F7" w:rsidRDefault="002B49F7" w:rsidP="002B49F7">
            <w:pPr>
              <w:tabs>
                <w:tab w:val="left" w:leader="dot" w:pos="4320"/>
              </w:tabs>
            </w:pPr>
            <w:r w:rsidRPr="002B49F7">
              <w:t>F</w:t>
            </w:r>
          </w:p>
        </w:tc>
      </w:tr>
    </w:tbl>
    <w:p w:rsidR="002B49F7" w:rsidRPr="002B49F7" w:rsidRDefault="002B49F7" w:rsidP="002B49F7">
      <w:pPr>
        <w:autoSpaceDE w:val="0"/>
        <w:autoSpaceDN w:val="0"/>
        <w:adjustRightInd w:val="0"/>
        <w:rPr>
          <w:b/>
        </w:rPr>
      </w:pPr>
    </w:p>
    <w:p w:rsidR="002B49F7" w:rsidRPr="002B49F7" w:rsidRDefault="002B49F7" w:rsidP="002B49F7">
      <w:pPr>
        <w:autoSpaceDE w:val="0"/>
        <w:autoSpaceDN w:val="0"/>
        <w:adjustRightInd w:val="0"/>
        <w:rPr>
          <w:b/>
          <w:u w:val="single"/>
        </w:rPr>
      </w:pPr>
      <w:r w:rsidRPr="002B49F7">
        <w:rPr>
          <w:b/>
          <w:u w:val="single"/>
        </w:rPr>
        <w:t>Course Topics:</w:t>
      </w:r>
    </w:p>
    <w:p w:rsidR="002B49F7" w:rsidRPr="002B49F7" w:rsidRDefault="002B49F7" w:rsidP="002B49F7">
      <w:pPr>
        <w:autoSpaceDE w:val="0"/>
        <w:autoSpaceDN w:val="0"/>
        <w:adjustRightInd w:val="0"/>
      </w:pPr>
    </w:p>
    <w:tbl>
      <w:tblPr>
        <w:tblW w:w="9942"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8301"/>
      </w:tblGrid>
      <w:tr w:rsidR="002B49F7" w:rsidRPr="002B49F7" w:rsidTr="00384F31">
        <w:trPr>
          <w:trHeight w:val="259"/>
          <w:jc w:val="center"/>
        </w:trPr>
        <w:tc>
          <w:tcPr>
            <w:tcW w:w="1641" w:type="dxa"/>
          </w:tcPr>
          <w:p w:rsidR="002B49F7" w:rsidRPr="002B49F7" w:rsidRDefault="002B49F7" w:rsidP="002B49F7">
            <w:r w:rsidRPr="002B49F7">
              <w:t xml:space="preserve"> 1</w:t>
            </w:r>
          </w:p>
        </w:tc>
        <w:tc>
          <w:tcPr>
            <w:tcW w:w="8301" w:type="dxa"/>
            <w:noWrap/>
            <w:vAlign w:val="center"/>
          </w:tcPr>
          <w:p w:rsidR="002B49F7" w:rsidRPr="002B49F7" w:rsidRDefault="002B49F7" w:rsidP="002B49F7">
            <w:pPr>
              <w:rPr>
                <w:b/>
              </w:rPr>
            </w:pPr>
            <w:r w:rsidRPr="002B49F7">
              <w:rPr>
                <w:b/>
              </w:rPr>
              <w:t>Introduction to Scientific Research in Tourism, Hospitality and Recreation</w:t>
            </w:r>
          </w:p>
          <w:p w:rsidR="002B49F7" w:rsidRPr="002B49F7" w:rsidRDefault="002B49F7" w:rsidP="002B49F7">
            <w:pPr>
              <w:numPr>
                <w:ilvl w:val="0"/>
                <w:numId w:val="16"/>
              </w:numPr>
            </w:pPr>
            <w:r w:rsidRPr="002B49F7">
              <w:t>What is and what is not scientific research</w:t>
            </w:r>
          </w:p>
          <w:p w:rsidR="002B49F7" w:rsidRPr="002B49F7" w:rsidRDefault="002B49F7" w:rsidP="002B49F7">
            <w:pPr>
              <w:numPr>
                <w:ilvl w:val="0"/>
                <w:numId w:val="16"/>
              </w:numPr>
            </w:pPr>
            <w:r w:rsidRPr="002B49F7">
              <w:t>Examples of scientific research in tourism, hospitality and recreation</w:t>
            </w:r>
          </w:p>
          <w:p w:rsidR="002B49F7" w:rsidRPr="002B49F7" w:rsidRDefault="002B49F7" w:rsidP="002B49F7">
            <w:pPr>
              <w:numPr>
                <w:ilvl w:val="0"/>
                <w:numId w:val="16"/>
              </w:numPr>
            </w:pPr>
            <w:r w:rsidRPr="002B49F7">
              <w:t>Basic vs. applied research</w:t>
            </w:r>
          </w:p>
          <w:p w:rsidR="002B49F7" w:rsidRPr="002B49F7" w:rsidRDefault="002B49F7" w:rsidP="002B49F7">
            <w:pPr>
              <w:numPr>
                <w:ilvl w:val="0"/>
                <w:numId w:val="16"/>
              </w:numPr>
            </w:pPr>
            <w:r w:rsidRPr="002B49F7">
              <w:t>Different roles of scientific research</w:t>
            </w:r>
          </w:p>
          <w:p w:rsidR="002B49F7" w:rsidRPr="002B49F7" w:rsidRDefault="002B49F7" w:rsidP="002B49F7">
            <w:pPr>
              <w:numPr>
                <w:ilvl w:val="0"/>
                <w:numId w:val="16"/>
              </w:numPr>
            </w:pPr>
            <w:r w:rsidRPr="002B49F7">
              <w:t>Primary journals in tourism, hospitality and recreation</w:t>
            </w:r>
          </w:p>
        </w:tc>
      </w:tr>
      <w:tr w:rsidR="002B49F7" w:rsidRPr="002B49F7" w:rsidTr="00384F31">
        <w:trPr>
          <w:trHeight w:val="259"/>
          <w:jc w:val="center"/>
        </w:trPr>
        <w:tc>
          <w:tcPr>
            <w:tcW w:w="1641" w:type="dxa"/>
          </w:tcPr>
          <w:p w:rsidR="002B49F7" w:rsidRPr="002B49F7" w:rsidRDefault="002B49F7" w:rsidP="002B49F7">
            <w:r w:rsidRPr="002B49F7">
              <w:t xml:space="preserve">2 </w:t>
            </w:r>
          </w:p>
        </w:tc>
        <w:tc>
          <w:tcPr>
            <w:tcW w:w="8301" w:type="dxa"/>
            <w:noWrap/>
          </w:tcPr>
          <w:p w:rsidR="002B49F7" w:rsidRPr="002B49F7" w:rsidRDefault="002B49F7" w:rsidP="002B49F7">
            <w:pPr>
              <w:rPr>
                <w:b/>
              </w:rPr>
            </w:pPr>
            <w:r w:rsidRPr="002B49F7">
              <w:rPr>
                <w:b/>
              </w:rPr>
              <w:t>Fundamentals of Research</w:t>
            </w:r>
          </w:p>
          <w:p w:rsidR="002B49F7" w:rsidRPr="002B49F7" w:rsidRDefault="002B49F7" w:rsidP="002B49F7">
            <w:pPr>
              <w:numPr>
                <w:ilvl w:val="0"/>
                <w:numId w:val="17"/>
              </w:numPr>
            </w:pPr>
            <w:r w:rsidRPr="002B49F7">
              <w:t>Research question, hypothesis, and theories</w:t>
            </w:r>
          </w:p>
          <w:p w:rsidR="002B49F7" w:rsidRPr="002B49F7" w:rsidRDefault="002B49F7" w:rsidP="002B49F7">
            <w:pPr>
              <w:numPr>
                <w:ilvl w:val="0"/>
                <w:numId w:val="17"/>
              </w:numPr>
            </w:pPr>
            <w:r w:rsidRPr="002B49F7">
              <w:t>Concepts and variables</w:t>
            </w:r>
          </w:p>
          <w:p w:rsidR="002B49F7" w:rsidRPr="002B49F7" w:rsidRDefault="002B49F7" w:rsidP="002B49F7">
            <w:pPr>
              <w:numPr>
                <w:ilvl w:val="0"/>
                <w:numId w:val="17"/>
              </w:numPr>
            </w:pPr>
            <w:r w:rsidRPr="002B49F7">
              <w:t>Independent and dependent variables</w:t>
            </w:r>
          </w:p>
          <w:p w:rsidR="002B49F7" w:rsidRPr="002B49F7" w:rsidRDefault="002B49F7" w:rsidP="002B49F7">
            <w:pPr>
              <w:numPr>
                <w:ilvl w:val="0"/>
                <w:numId w:val="17"/>
              </w:numPr>
            </w:pPr>
            <w:r w:rsidRPr="002B49F7">
              <w:t>Types of relationships between variables</w:t>
            </w:r>
          </w:p>
          <w:p w:rsidR="002B49F7" w:rsidRPr="002B49F7" w:rsidRDefault="002B49F7" w:rsidP="002B49F7">
            <w:pPr>
              <w:numPr>
                <w:ilvl w:val="0"/>
                <w:numId w:val="17"/>
              </w:numPr>
            </w:pPr>
            <w:r w:rsidRPr="002B49F7">
              <w:t>Types of research: Descriptive, relational, and causal</w:t>
            </w:r>
          </w:p>
        </w:tc>
      </w:tr>
      <w:tr w:rsidR="002B49F7" w:rsidRPr="002B49F7" w:rsidTr="00384F31">
        <w:trPr>
          <w:trHeight w:val="70"/>
          <w:jc w:val="center"/>
        </w:trPr>
        <w:tc>
          <w:tcPr>
            <w:tcW w:w="1641" w:type="dxa"/>
          </w:tcPr>
          <w:p w:rsidR="002B49F7" w:rsidRPr="002B49F7" w:rsidRDefault="002B49F7" w:rsidP="002B49F7">
            <w:pPr>
              <w:snapToGrid w:val="0"/>
            </w:pPr>
            <w:r w:rsidRPr="002B49F7">
              <w:t>3</w:t>
            </w:r>
          </w:p>
        </w:tc>
        <w:tc>
          <w:tcPr>
            <w:tcW w:w="8301" w:type="dxa"/>
            <w:noWrap/>
          </w:tcPr>
          <w:p w:rsidR="002B49F7" w:rsidRPr="002B49F7" w:rsidRDefault="002B49F7" w:rsidP="002B49F7">
            <w:pPr>
              <w:rPr>
                <w:b/>
              </w:rPr>
            </w:pPr>
            <w:r w:rsidRPr="002B49F7">
              <w:rPr>
                <w:b/>
              </w:rPr>
              <w:t>Research Paradigms</w:t>
            </w:r>
          </w:p>
          <w:p w:rsidR="002B49F7" w:rsidRPr="002B49F7" w:rsidRDefault="002B49F7" w:rsidP="002B49F7">
            <w:pPr>
              <w:numPr>
                <w:ilvl w:val="0"/>
                <w:numId w:val="18"/>
              </w:numPr>
            </w:pPr>
            <w:r w:rsidRPr="002B49F7">
              <w:t>Views of reality: pre-modern, modern, and post-modern</w:t>
            </w:r>
          </w:p>
          <w:p w:rsidR="002B49F7" w:rsidRPr="002B49F7" w:rsidRDefault="002B49F7" w:rsidP="002B49F7">
            <w:pPr>
              <w:numPr>
                <w:ilvl w:val="0"/>
                <w:numId w:val="18"/>
              </w:numPr>
            </w:pPr>
            <w:r w:rsidRPr="002B49F7">
              <w:t>Ontology, paradigms, and methodology</w:t>
            </w:r>
          </w:p>
          <w:p w:rsidR="002B49F7" w:rsidRPr="002B49F7" w:rsidRDefault="002B49F7" w:rsidP="002B49F7">
            <w:pPr>
              <w:numPr>
                <w:ilvl w:val="0"/>
                <w:numId w:val="18"/>
              </w:numPr>
            </w:pPr>
            <w:r w:rsidRPr="002B49F7">
              <w:t xml:space="preserve">Positivism, post-positivism, and </w:t>
            </w:r>
            <w:proofErr w:type="spellStart"/>
            <w:r w:rsidRPr="002B49F7">
              <w:t>interpretivism</w:t>
            </w:r>
            <w:proofErr w:type="spellEnd"/>
          </w:p>
        </w:tc>
      </w:tr>
      <w:tr w:rsidR="002B49F7" w:rsidRPr="002B49F7" w:rsidTr="00384F31">
        <w:trPr>
          <w:trHeight w:val="259"/>
          <w:jc w:val="center"/>
        </w:trPr>
        <w:tc>
          <w:tcPr>
            <w:tcW w:w="1641" w:type="dxa"/>
          </w:tcPr>
          <w:p w:rsidR="002B49F7" w:rsidRPr="002B49F7" w:rsidRDefault="002B49F7" w:rsidP="002B49F7">
            <w:r w:rsidRPr="002B49F7">
              <w:t>4</w:t>
            </w:r>
          </w:p>
        </w:tc>
        <w:tc>
          <w:tcPr>
            <w:tcW w:w="8301" w:type="dxa"/>
            <w:noWrap/>
          </w:tcPr>
          <w:p w:rsidR="002B49F7" w:rsidRPr="002B49F7" w:rsidRDefault="002B49F7" w:rsidP="002B49F7">
            <w:pPr>
              <w:snapToGrid w:val="0"/>
              <w:rPr>
                <w:b/>
              </w:rPr>
            </w:pPr>
            <w:r w:rsidRPr="002B49F7">
              <w:rPr>
                <w:b/>
              </w:rPr>
              <w:t>Research Design</w:t>
            </w:r>
          </w:p>
          <w:p w:rsidR="002B49F7" w:rsidRPr="002B49F7" w:rsidRDefault="002B49F7" w:rsidP="002B49F7">
            <w:pPr>
              <w:numPr>
                <w:ilvl w:val="0"/>
                <w:numId w:val="19"/>
              </w:numPr>
              <w:snapToGrid w:val="0"/>
            </w:pPr>
            <w:r w:rsidRPr="002B49F7">
              <w:t>Concept of research design</w:t>
            </w:r>
          </w:p>
          <w:p w:rsidR="002B49F7" w:rsidRPr="002B49F7" w:rsidRDefault="002B49F7" w:rsidP="002B49F7">
            <w:pPr>
              <w:numPr>
                <w:ilvl w:val="0"/>
                <w:numId w:val="19"/>
              </w:numPr>
              <w:snapToGrid w:val="0"/>
            </w:pPr>
            <w:r w:rsidRPr="002B49F7">
              <w:t>Quantitative vs. qualitative data</w:t>
            </w:r>
          </w:p>
          <w:p w:rsidR="002B49F7" w:rsidRPr="002B49F7" w:rsidRDefault="002B49F7" w:rsidP="002B49F7">
            <w:pPr>
              <w:numPr>
                <w:ilvl w:val="0"/>
                <w:numId w:val="19"/>
              </w:numPr>
              <w:snapToGrid w:val="0"/>
            </w:pPr>
            <w:r w:rsidRPr="002B49F7">
              <w:t>Survey</w:t>
            </w:r>
          </w:p>
        </w:tc>
      </w:tr>
      <w:tr w:rsidR="002B49F7" w:rsidRPr="002B49F7" w:rsidTr="00384F31">
        <w:trPr>
          <w:trHeight w:val="259"/>
          <w:jc w:val="center"/>
        </w:trPr>
        <w:tc>
          <w:tcPr>
            <w:tcW w:w="1641" w:type="dxa"/>
          </w:tcPr>
          <w:p w:rsidR="002B49F7" w:rsidRPr="002B49F7" w:rsidRDefault="002B49F7" w:rsidP="002B49F7">
            <w:r w:rsidRPr="002B49F7">
              <w:t>5</w:t>
            </w:r>
          </w:p>
        </w:tc>
        <w:tc>
          <w:tcPr>
            <w:tcW w:w="8301" w:type="dxa"/>
            <w:noWrap/>
          </w:tcPr>
          <w:p w:rsidR="002B49F7" w:rsidRPr="002B49F7" w:rsidRDefault="002B49F7" w:rsidP="002B49F7">
            <w:pPr>
              <w:rPr>
                <w:b/>
              </w:rPr>
            </w:pPr>
            <w:r w:rsidRPr="002B49F7">
              <w:rPr>
                <w:b/>
              </w:rPr>
              <w:t>Research Design</w:t>
            </w:r>
          </w:p>
          <w:p w:rsidR="002B49F7" w:rsidRPr="002B49F7" w:rsidRDefault="002B49F7" w:rsidP="002B49F7">
            <w:pPr>
              <w:numPr>
                <w:ilvl w:val="0"/>
                <w:numId w:val="20"/>
              </w:numPr>
            </w:pPr>
            <w:r w:rsidRPr="002B49F7">
              <w:t>Experiment</w:t>
            </w:r>
          </w:p>
          <w:p w:rsidR="002B49F7" w:rsidRPr="002B49F7" w:rsidRDefault="002B49F7" w:rsidP="002B49F7">
            <w:pPr>
              <w:numPr>
                <w:ilvl w:val="0"/>
                <w:numId w:val="20"/>
              </w:numPr>
            </w:pPr>
            <w:r w:rsidRPr="002B49F7">
              <w:t>Interview</w:t>
            </w:r>
          </w:p>
          <w:p w:rsidR="002B49F7" w:rsidRPr="002B49F7" w:rsidRDefault="002B49F7" w:rsidP="002B49F7">
            <w:pPr>
              <w:numPr>
                <w:ilvl w:val="0"/>
                <w:numId w:val="20"/>
              </w:numPr>
            </w:pPr>
            <w:r w:rsidRPr="002B49F7">
              <w:t>Focus group</w:t>
            </w:r>
          </w:p>
          <w:p w:rsidR="002B49F7" w:rsidRPr="002B49F7" w:rsidRDefault="002B49F7" w:rsidP="002B49F7">
            <w:pPr>
              <w:numPr>
                <w:ilvl w:val="0"/>
                <w:numId w:val="20"/>
              </w:numPr>
            </w:pPr>
            <w:r w:rsidRPr="002B49F7">
              <w:t>Observation</w:t>
            </w:r>
          </w:p>
        </w:tc>
      </w:tr>
      <w:tr w:rsidR="002B49F7" w:rsidRPr="002B49F7" w:rsidTr="00384F31">
        <w:trPr>
          <w:trHeight w:val="259"/>
          <w:jc w:val="center"/>
        </w:trPr>
        <w:tc>
          <w:tcPr>
            <w:tcW w:w="1641" w:type="dxa"/>
          </w:tcPr>
          <w:p w:rsidR="002B49F7" w:rsidRPr="002B49F7" w:rsidRDefault="002B49F7" w:rsidP="002B49F7">
            <w:r w:rsidRPr="002B49F7">
              <w:t xml:space="preserve"> 6</w:t>
            </w:r>
          </w:p>
        </w:tc>
        <w:tc>
          <w:tcPr>
            <w:tcW w:w="8301" w:type="dxa"/>
            <w:noWrap/>
          </w:tcPr>
          <w:p w:rsidR="002B49F7" w:rsidRPr="002B49F7" w:rsidRDefault="002B49F7" w:rsidP="002B49F7">
            <w:pPr>
              <w:rPr>
                <w:b/>
              </w:rPr>
            </w:pPr>
            <w:r w:rsidRPr="002B49F7">
              <w:rPr>
                <w:b/>
              </w:rPr>
              <w:t>Research Instrument</w:t>
            </w:r>
          </w:p>
          <w:p w:rsidR="002B49F7" w:rsidRPr="002B49F7" w:rsidRDefault="002B49F7" w:rsidP="002B49F7">
            <w:pPr>
              <w:numPr>
                <w:ilvl w:val="0"/>
                <w:numId w:val="21"/>
              </w:numPr>
            </w:pPr>
            <w:r w:rsidRPr="002B49F7">
              <w:t>Type of instrument and questions</w:t>
            </w:r>
          </w:p>
          <w:p w:rsidR="002B49F7" w:rsidRPr="002B49F7" w:rsidRDefault="002B49F7" w:rsidP="002B49F7">
            <w:pPr>
              <w:numPr>
                <w:ilvl w:val="0"/>
                <w:numId w:val="21"/>
              </w:numPr>
            </w:pPr>
            <w:r w:rsidRPr="002B49F7">
              <w:t>Different levels of Measurement: Nominal, ordinal, and scale</w:t>
            </w:r>
          </w:p>
          <w:p w:rsidR="002B49F7" w:rsidRPr="002B49F7" w:rsidRDefault="002B49F7" w:rsidP="002B49F7">
            <w:pPr>
              <w:numPr>
                <w:ilvl w:val="0"/>
                <w:numId w:val="21"/>
              </w:numPr>
            </w:pPr>
            <w:r w:rsidRPr="002B49F7">
              <w:t>Reliability and validity</w:t>
            </w:r>
          </w:p>
          <w:p w:rsidR="002B49F7" w:rsidRPr="002B49F7" w:rsidRDefault="002B49F7" w:rsidP="002B49F7">
            <w:pPr>
              <w:numPr>
                <w:ilvl w:val="0"/>
                <w:numId w:val="21"/>
              </w:numPr>
            </w:pPr>
            <w:r w:rsidRPr="002B49F7">
              <w:t>Principles of question construction</w:t>
            </w:r>
          </w:p>
        </w:tc>
      </w:tr>
      <w:tr w:rsidR="002B49F7" w:rsidRPr="002B49F7" w:rsidTr="00384F31">
        <w:trPr>
          <w:trHeight w:val="259"/>
          <w:jc w:val="center"/>
        </w:trPr>
        <w:tc>
          <w:tcPr>
            <w:tcW w:w="1641" w:type="dxa"/>
          </w:tcPr>
          <w:p w:rsidR="002B49F7" w:rsidRPr="002B49F7" w:rsidRDefault="002B49F7" w:rsidP="002B49F7">
            <w:r w:rsidRPr="002B49F7">
              <w:t xml:space="preserve"> 7</w:t>
            </w:r>
          </w:p>
        </w:tc>
        <w:tc>
          <w:tcPr>
            <w:tcW w:w="8301" w:type="dxa"/>
            <w:noWrap/>
          </w:tcPr>
          <w:p w:rsidR="002B49F7" w:rsidRPr="002B49F7" w:rsidRDefault="002B49F7" w:rsidP="002B49F7">
            <w:pPr>
              <w:rPr>
                <w:b/>
              </w:rPr>
            </w:pPr>
            <w:r w:rsidRPr="002B49F7">
              <w:rPr>
                <w:b/>
              </w:rPr>
              <w:t>Sampling</w:t>
            </w:r>
          </w:p>
          <w:p w:rsidR="002B49F7" w:rsidRPr="002B49F7" w:rsidRDefault="002B49F7" w:rsidP="002B49F7">
            <w:pPr>
              <w:numPr>
                <w:ilvl w:val="0"/>
                <w:numId w:val="22"/>
              </w:numPr>
            </w:pPr>
            <w:r w:rsidRPr="002B49F7">
              <w:t>Concept and terms in sampling</w:t>
            </w:r>
          </w:p>
          <w:p w:rsidR="002B49F7" w:rsidRPr="002B49F7" w:rsidRDefault="002B49F7" w:rsidP="002B49F7">
            <w:pPr>
              <w:numPr>
                <w:ilvl w:val="0"/>
                <w:numId w:val="22"/>
              </w:numPr>
            </w:pPr>
            <w:r w:rsidRPr="002B49F7">
              <w:t>Probability sampling</w:t>
            </w:r>
          </w:p>
          <w:p w:rsidR="002B49F7" w:rsidRPr="002B49F7" w:rsidRDefault="002B49F7" w:rsidP="002B49F7">
            <w:pPr>
              <w:numPr>
                <w:ilvl w:val="1"/>
                <w:numId w:val="22"/>
              </w:numPr>
            </w:pPr>
            <w:r w:rsidRPr="002B49F7">
              <w:t>Simple random sampling</w:t>
            </w:r>
          </w:p>
          <w:p w:rsidR="002B49F7" w:rsidRPr="002B49F7" w:rsidRDefault="002B49F7" w:rsidP="002B49F7">
            <w:pPr>
              <w:numPr>
                <w:ilvl w:val="1"/>
                <w:numId w:val="22"/>
              </w:numPr>
            </w:pPr>
            <w:r w:rsidRPr="002B49F7">
              <w:t>Stratified random sampling</w:t>
            </w:r>
          </w:p>
          <w:p w:rsidR="002B49F7" w:rsidRPr="002B49F7" w:rsidRDefault="002B49F7" w:rsidP="002B49F7">
            <w:pPr>
              <w:numPr>
                <w:ilvl w:val="1"/>
                <w:numId w:val="22"/>
              </w:numPr>
            </w:pPr>
            <w:r w:rsidRPr="002B49F7">
              <w:t>Systematic random sampling</w:t>
            </w:r>
          </w:p>
          <w:p w:rsidR="002B49F7" w:rsidRPr="002B49F7" w:rsidRDefault="002B49F7" w:rsidP="002B49F7">
            <w:pPr>
              <w:numPr>
                <w:ilvl w:val="1"/>
                <w:numId w:val="22"/>
              </w:numPr>
            </w:pPr>
            <w:r w:rsidRPr="002B49F7">
              <w:t>Cluster random sampling</w:t>
            </w:r>
          </w:p>
          <w:p w:rsidR="002B49F7" w:rsidRPr="002B49F7" w:rsidRDefault="002B49F7" w:rsidP="002B49F7">
            <w:pPr>
              <w:numPr>
                <w:ilvl w:val="0"/>
                <w:numId w:val="22"/>
              </w:numPr>
            </w:pPr>
            <w:r w:rsidRPr="002B49F7">
              <w:t>Non-probability sampling</w:t>
            </w:r>
          </w:p>
          <w:p w:rsidR="002B49F7" w:rsidRPr="002B49F7" w:rsidRDefault="002B49F7" w:rsidP="002B49F7">
            <w:pPr>
              <w:numPr>
                <w:ilvl w:val="1"/>
                <w:numId w:val="22"/>
              </w:numPr>
              <w:tabs>
                <w:tab w:val="num" w:pos="720"/>
              </w:tabs>
            </w:pPr>
            <w:r w:rsidRPr="002B49F7">
              <w:t>Convenience/haphazard sampling, modal instance sampling, expert sampling, heterogeneity sampling, and snowball sampling</w:t>
            </w:r>
          </w:p>
          <w:p w:rsidR="002B49F7" w:rsidRPr="002B49F7" w:rsidRDefault="002B49F7" w:rsidP="002B49F7">
            <w:pPr>
              <w:numPr>
                <w:ilvl w:val="0"/>
                <w:numId w:val="22"/>
              </w:numPr>
            </w:pPr>
            <w:r w:rsidRPr="002B49F7">
              <w:lastRenderedPageBreak/>
              <w:t>Determination of sample size</w:t>
            </w:r>
          </w:p>
        </w:tc>
      </w:tr>
      <w:tr w:rsidR="002B49F7" w:rsidRPr="002B49F7" w:rsidTr="00384F31">
        <w:trPr>
          <w:trHeight w:val="259"/>
          <w:jc w:val="center"/>
        </w:trPr>
        <w:tc>
          <w:tcPr>
            <w:tcW w:w="1641" w:type="dxa"/>
          </w:tcPr>
          <w:p w:rsidR="002B49F7" w:rsidRPr="002B49F7" w:rsidRDefault="002B49F7" w:rsidP="002B49F7">
            <w:r w:rsidRPr="002B49F7">
              <w:lastRenderedPageBreak/>
              <w:t xml:space="preserve"> 8</w:t>
            </w:r>
          </w:p>
        </w:tc>
        <w:tc>
          <w:tcPr>
            <w:tcW w:w="8301" w:type="dxa"/>
            <w:noWrap/>
          </w:tcPr>
          <w:p w:rsidR="002B49F7" w:rsidRPr="002B49F7" w:rsidRDefault="002B49F7" w:rsidP="002B49F7">
            <w:pPr>
              <w:rPr>
                <w:b/>
              </w:rPr>
            </w:pPr>
            <w:r w:rsidRPr="002B49F7">
              <w:rPr>
                <w:b/>
              </w:rPr>
              <w:t>Quantitative Data Analysis</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Basic descriptive statistics</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Basic inferential statistics (</w:t>
            </w:r>
            <w:r w:rsidRPr="002B49F7">
              <w:rPr>
                <w:rFonts w:eastAsia="SimSun" w:hint="eastAsia"/>
                <w:szCs w:val="22"/>
                <w:lang w:eastAsia="zh-CN"/>
              </w:rPr>
              <w:t>m</w:t>
            </w:r>
            <w:r w:rsidRPr="002B49F7">
              <w:rPr>
                <w:rFonts w:eastAsia="SimSun"/>
                <w:szCs w:val="22"/>
                <w:lang w:eastAsia="zh-CN"/>
              </w:rPr>
              <w:t>eans and proportion)</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Chi-</w:t>
            </w:r>
            <w:r w:rsidRPr="002B49F7">
              <w:rPr>
                <w:rFonts w:eastAsia="SimSun" w:hint="eastAsia"/>
                <w:szCs w:val="22"/>
                <w:lang w:eastAsia="zh-CN"/>
              </w:rPr>
              <w:t>S</w:t>
            </w:r>
            <w:r w:rsidRPr="002B49F7">
              <w:rPr>
                <w:rFonts w:eastAsia="SimSun"/>
                <w:szCs w:val="22"/>
                <w:lang w:eastAsia="zh-CN"/>
              </w:rPr>
              <w:t>quare Analysis</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T-Tests</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 xml:space="preserve">Analysis of </w:t>
            </w:r>
            <w:r w:rsidRPr="002B49F7">
              <w:rPr>
                <w:rFonts w:eastAsia="SimSun" w:hint="eastAsia"/>
                <w:szCs w:val="22"/>
                <w:lang w:eastAsia="zh-CN"/>
              </w:rPr>
              <w:t>V</w:t>
            </w:r>
            <w:r w:rsidRPr="002B49F7">
              <w:rPr>
                <w:rFonts w:eastAsia="SimSun"/>
                <w:szCs w:val="22"/>
                <w:lang w:eastAsia="zh-CN"/>
              </w:rPr>
              <w:t>ariance (ANOVA)</w:t>
            </w:r>
          </w:p>
        </w:tc>
      </w:tr>
      <w:tr w:rsidR="002B49F7" w:rsidRPr="002B49F7" w:rsidTr="00384F31">
        <w:trPr>
          <w:trHeight w:val="259"/>
          <w:jc w:val="center"/>
        </w:trPr>
        <w:tc>
          <w:tcPr>
            <w:tcW w:w="1641" w:type="dxa"/>
          </w:tcPr>
          <w:p w:rsidR="002B49F7" w:rsidRPr="002B49F7" w:rsidRDefault="002B49F7" w:rsidP="002B49F7">
            <w:r w:rsidRPr="002B49F7">
              <w:t xml:space="preserve"> 9</w:t>
            </w:r>
          </w:p>
        </w:tc>
        <w:tc>
          <w:tcPr>
            <w:tcW w:w="8301" w:type="dxa"/>
            <w:noWrap/>
          </w:tcPr>
          <w:p w:rsidR="002B49F7" w:rsidRPr="002B49F7" w:rsidRDefault="002B49F7" w:rsidP="002B49F7">
            <w:pPr>
              <w:rPr>
                <w:b/>
              </w:rPr>
            </w:pPr>
            <w:r w:rsidRPr="002B49F7">
              <w:rPr>
                <w:b/>
              </w:rPr>
              <w:t>Quantitative Data Analysis</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Correlation Analysis</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Regression Analysis</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Cluster Analysis</w:t>
            </w:r>
          </w:p>
        </w:tc>
      </w:tr>
      <w:tr w:rsidR="002B49F7" w:rsidRPr="002B49F7" w:rsidTr="00384F31">
        <w:trPr>
          <w:trHeight w:val="259"/>
          <w:jc w:val="center"/>
        </w:trPr>
        <w:tc>
          <w:tcPr>
            <w:tcW w:w="1641" w:type="dxa"/>
          </w:tcPr>
          <w:p w:rsidR="002B49F7" w:rsidRPr="002B49F7" w:rsidRDefault="002B49F7" w:rsidP="002B49F7">
            <w:r w:rsidRPr="002B49F7">
              <w:t xml:space="preserve"> 10</w:t>
            </w:r>
          </w:p>
        </w:tc>
        <w:tc>
          <w:tcPr>
            <w:tcW w:w="8301" w:type="dxa"/>
            <w:noWrap/>
          </w:tcPr>
          <w:p w:rsidR="002B49F7" w:rsidRPr="002B49F7" w:rsidRDefault="002B49F7" w:rsidP="002B49F7">
            <w:pPr>
              <w:rPr>
                <w:b/>
              </w:rPr>
            </w:pPr>
            <w:r w:rsidRPr="002B49F7">
              <w:rPr>
                <w:b/>
              </w:rPr>
              <w:t>Qualitative Data Analysis</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Qualitative coding</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Assessment of the coding</w:t>
            </w:r>
          </w:p>
          <w:p w:rsidR="002B49F7" w:rsidRPr="002B49F7" w:rsidRDefault="002B49F7" w:rsidP="002B49F7">
            <w:pPr>
              <w:numPr>
                <w:ilvl w:val="0"/>
                <w:numId w:val="23"/>
              </w:numPr>
              <w:contextualSpacing/>
              <w:rPr>
                <w:rFonts w:eastAsia="SimSun"/>
                <w:szCs w:val="22"/>
                <w:lang w:eastAsia="zh-CN"/>
              </w:rPr>
            </w:pPr>
            <w:r w:rsidRPr="002B49F7">
              <w:rPr>
                <w:rFonts w:eastAsia="SimSun"/>
                <w:szCs w:val="22"/>
                <w:lang w:eastAsia="zh-CN"/>
              </w:rPr>
              <w:t>Content analysis</w:t>
            </w:r>
          </w:p>
        </w:tc>
      </w:tr>
      <w:tr w:rsidR="002B49F7" w:rsidRPr="002B49F7" w:rsidTr="00384F31">
        <w:trPr>
          <w:trHeight w:val="259"/>
          <w:jc w:val="center"/>
        </w:trPr>
        <w:tc>
          <w:tcPr>
            <w:tcW w:w="1641" w:type="dxa"/>
          </w:tcPr>
          <w:p w:rsidR="002B49F7" w:rsidRPr="002B49F7" w:rsidRDefault="002B49F7" w:rsidP="002B49F7">
            <w:r w:rsidRPr="002B49F7">
              <w:t xml:space="preserve"> 11</w:t>
            </w:r>
          </w:p>
        </w:tc>
        <w:tc>
          <w:tcPr>
            <w:tcW w:w="8301" w:type="dxa"/>
            <w:noWrap/>
          </w:tcPr>
          <w:p w:rsidR="002B49F7" w:rsidRPr="002B49F7" w:rsidRDefault="002B49F7" w:rsidP="002B49F7">
            <w:pPr>
              <w:rPr>
                <w:b/>
              </w:rPr>
            </w:pPr>
            <w:r w:rsidRPr="002B49F7">
              <w:rPr>
                <w:b/>
              </w:rPr>
              <w:t>Research Problem Solving</w:t>
            </w:r>
          </w:p>
          <w:p w:rsidR="002B49F7" w:rsidRPr="002B49F7" w:rsidRDefault="002B49F7" w:rsidP="002B49F7">
            <w:pPr>
              <w:numPr>
                <w:ilvl w:val="0"/>
                <w:numId w:val="24"/>
              </w:numPr>
            </w:pPr>
            <w:r w:rsidRPr="002B49F7">
              <w:t>Tourism research cases and problem solving</w:t>
            </w:r>
          </w:p>
          <w:p w:rsidR="002B49F7" w:rsidRPr="002B49F7" w:rsidRDefault="002B49F7" w:rsidP="002B49F7">
            <w:pPr>
              <w:numPr>
                <w:ilvl w:val="0"/>
                <w:numId w:val="24"/>
              </w:numPr>
            </w:pPr>
            <w:r w:rsidRPr="002B49F7">
              <w:t>Hospitality research cases and problem solving</w:t>
            </w:r>
          </w:p>
          <w:p w:rsidR="002B49F7" w:rsidRPr="002B49F7" w:rsidRDefault="002B49F7" w:rsidP="002B49F7">
            <w:pPr>
              <w:numPr>
                <w:ilvl w:val="0"/>
                <w:numId w:val="24"/>
              </w:numPr>
            </w:pPr>
            <w:r w:rsidRPr="002B49F7">
              <w:t>Recreation research cases and problem solving</w:t>
            </w:r>
          </w:p>
        </w:tc>
      </w:tr>
      <w:tr w:rsidR="002B49F7" w:rsidRPr="002B49F7" w:rsidTr="00384F31">
        <w:trPr>
          <w:trHeight w:val="259"/>
          <w:jc w:val="center"/>
        </w:trPr>
        <w:tc>
          <w:tcPr>
            <w:tcW w:w="1641" w:type="dxa"/>
          </w:tcPr>
          <w:p w:rsidR="002B49F7" w:rsidRPr="002B49F7" w:rsidRDefault="002B49F7" w:rsidP="002B49F7"/>
        </w:tc>
        <w:tc>
          <w:tcPr>
            <w:tcW w:w="8301" w:type="dxa"/>
            <w:noWrap/>
            <w:vAlign w:val="center"/>
          </w:tcPr>
          <w:p w:rsidR="002B49F7" w:rsidRPr="002B49F7" w:rsidRDefault="002B49F7" w:rsidP="002B49F7">
            <w:pPr>
              <w:rPr>
                <w:b/>
              </w:rPr>
            </w:pPr>
            <w:r w:rsidRPr="002B49F7">
              <w:rPr>
                <w:b/>
              </w:rPr>
              <w:t xml:space="preserve">Guest presentations, </w:t>
            </w:r>
            <w:r w:rsidRPr="002B49F7">
              <w:rPr>
                <w:rFonts w:hint="eastAsia"/>
                <w:b/>
              </w:rPr>
              <w:t>Exams</w:t>
            </w:r>
            <w:r w:rsidRPr="002B49F7">
              <w:rPr>
                <w:b/>
              </w:rPr>
              <w:t xml:space="preserve"> and student presentations</w:t>
            </w:r>
          </w:p>
        </w:tc>
      </w:tr>
    </w:tbl>
    <w:p w:rsidR="002B49F7" w:rsidRPr="002B49F7" w:rsidRDefault="002B49F7" w:rsidP="002B49F7">
      <w:pPr>
        <w:autoSpaceDE w:val="0"/>
        <w:autoSpaceDN w:val="0"/>
        <w:adjustRightInd w:val="0"/>
      </w:pPr>
    </w:p>
    <w:p w:rsidR="002B49F7" w:rsidRPr="002B49F7" w:rsidRDefault="002B49F7" w:rsidP="002B49F7">
      <w:pPr>
        <w:autoSpaceDE w:val="0"/>
        <w:autoSpaceDN w:val="0"/>
        <w:adjustRightInd w:val="0"/>
      </w:pPr>
    </w:p>
    <w:p w:rsidR="002B49F7" w:rsidRPr="002B49F7" w:rsidRDefault="002B49F7" w:rsidP="002B49F7">
      <w:pPr>
        <w:autoSpaceDE w:val="0"/>
        <w:autoSpaceDN w:val="0"/>
        <w:adjustRightInd w:val="0"/>
        <w:rPr>
          <w:b/>
          <w:u w:val="single"/>
        </w:rPr>
      </w:pPr>
      <w:r w:rsidRPr="002B49F7">
        <w:rPr>
          <w:b/>
          <w:u w:val="single"/>
        </w:rPr>
        <w:t>Textbook:</w:t>
      </w:r>
    </w:p>
    <w:p w:rsidR="002B49F7" w:rsidRPr="002B49F7" w:rsidRDefault="002B49F7" w:rsidP="002B49F7">
      <w:pPr>
        <w:autoSpaceDE w:val="0"/>
        <w:autoSpaceDN w:val="0"/>
        <w:adjustRightInd w:val="0"/>
        <w:ind w:left="720" w:hanging="720"/>
      </w:pPr>
    </w:p>
    <w:p w:rsidR="002B49F7" w:rsidRPr="002B49F7" w:rsidRDefault="002B49F7" w:rsidP="002B49F7">
      <w:pPr>
        <w:autoSpaceDE w:val="0"/>
        <w:autoSpaceDN w:val="0"/>
        <w:adjustRightInd w:val="0"/>
        <w:ind w:left="720" w:hanging="720"/>
        <w:rPr>
          <w:b/>
        </w:rPr>
      </w:pPr>
      <w:proofErr w:type="spellStart"/>
      <w:r w:rsidRPr="002B49F7">
        <w:t>Babbie</w:t>
      </w:r>
      <w:proofErr w:type="spellEnd"/>
      <w:r w:rsidRPr="002B49F7">
        <w:t xml:space="preserve">, E. (2010). </w:t>
      </w:r>
      <w:proofErr w:type="gramStart"/>
      <w:r w:rsidRPr="002B49F7">
        <w:rPr>
          <w:i/>
        </w:rPr>
        <w:t>The practice of social research (12</w:t>
      </w:r>
      <w:r w:rsidRPr="002B49F7">
        <w:rPr>
          <w:i/>
          <w:vertAlign w:val="superscript"/>
        </w:rPr>
        <w:t>th</w:t>
      </w:r>
      <w:r w:rsidRPr="002B49F7">
        <w:rPr>
          <w:i/>
        </w:rPr>
        <w:t xml:space="preserve"> Edition)</w:t>
      </w:r>
      <w:r w:rsidRPr="002B49F7">
        <w:t>.</w:t>
      </w:r>
      <w:proofErr w:type="gramEnd"/>
      <w:r w:rsidRPr="002B49F7">
        <w:t xml:space="preserve"> Belmont, CA: Wadsworth. ISBN: 0-495-59841-0.</w:t>
      </w:r>
    </w:p>
    <w:p w:rsidR="002B49F7" w:rsidRPr="002B49F7" w:rsidRDefault="002B49F7" w:rsidP="002B49F7">
      <w:pPr>
        <w:autoSpaceDE w:val="0"/>
        <w:autoSpaceDN w:val="0"/>
        <w:adjustRightInd w:val="0"/>
        <w:rPr>
          <w:b/>
          <w:u w:val="single"/>
        </w:rPr>
      </w:pPr>
    </w:p>
    <w:p w:rsidR="002B49F7" w:rsidRPr="002B49F7" w:rsidRDefault="002B49F7" w:rsidP="002B49F7">
      <w:pPr>
        <w:autoSpaceDE w:val="0"/>
        <w:autoSpaceDN w:val="0"/>
        <w:adjustRightInd w:val="0"/>
        <w:rPr>
          <w:b/>
          <w:u w:val="single"/>
        </w:rPr>
      </w:pPr>
    </w:p>
    <w:p w:rsidR="002B49F7" w:rsidRPr="002B49F7" w:rsidRDefault="002B49F7" w:rsidP="002B49F7">
      <w:pPr>
        <w:autoSpaceDE w:val="0"/>
        <w:autoSpaceDN w:val="0"/>
        <w:adjustRightInd w:val="0"/>
        <w:rPr>
          <w:b/>
          <w:u w:val="single"/>
        </w:rPr>
      </w:pPr>
    </w:p>
    <w:p w:rsidR="002B49F7" w:rsidRPr="002B49F7" w:rsidRDefault="002B49F7" w:rsidP="002B49F7">
      <w:pPr>
        <w:autoSpaceDE w:val="0"/>
        <w:autoSpaceDN w:val="0"/>
        <w:adjustRightInd w:val="0"/>
        <w:rPr>
          <w:b/>
          <w:u w:val="single"/>
        </w:rPr>
      </w:pPr>
      <w:r w:rsidRPr="002B49F7">
        <w:rPr>
          <w:b/>
          <w:u w:val="single"/>
        </w:rPr>
        <w:t>Reading:</w:t>
      </w:r>
    </w:p>
    <w:p w:rsidR="002B49F7" w:rsidRPr="002B49F7" w:rsidRDefault="002B49F7" w:rsidP="002B49F7">
      <w:pPr>
        <w:autoSpaceDE w:val="0"/>
        <w:autoSpaceDN w:val="0"/>
        <w:adjustRightInd w:val="0"/>
        <w:rPr>
          <w:b/>
          <w:u w:val="single"/>
        </w:rPr>
      </w:pPr>
    </w:p>
    <w:p w:rsidR="002B49F7" w:rsidRPr="002B49F7" w:rsidRDefault="002B49F7" w:rsidP="002B49F7">
      <w:pPr>
        <w:autoSpaceDE w:val="0"/>
        <w:autoSpaceDN w:val="0"/>
        <w:adjustRightInd w:val="0"/>
        <w:ind w:left="720" w:hanging="720"/>
      </w:pPr>
      <w:proofErr w:type="gramStart"/>
      <w:r w:rsidRPr="002B49F7">
        <w:t xml:space="preserve">Casper, J. M., </w:t>
      </w:r>
      <w:proofErr w:type="spellStart"/>
      <w:r w:rsidRPr="002B49F7">
        <w:t>Bocarro</w:t>
      </w:r>
      <w:proofErr w:type="spellEnd"/>
      <w:r w:rsidRPr="002B49F7">
        <w:t xml:space="preserve"> J. A., </w:t>
      </w:r>
      <w:proofErr w:type="spellStart"/>
      <w:r w:rsidRPr="002B49F7">
        <w:t>Kanters</w:t>
      </w:r>
      <w:proofErr w:type="spellEnd"/>
      <w:r w:rsidRPr="002B49F7">
        <w:t>, M. A. &amp; Floyd, M. F. (2011).</w:t>
      </w:r>
      <w:proofErr w:type="gramEnd"/>
      <w:r w:rsidRPr="002B49F7">
        <w:t xml:space="preserve"> Measurement properties of constraints to sport participation: A psychometric examination with adolescents. </w:t>
      </w:r>
      <w:r w:rsidRPr="002B49F7">
        <w:rPr>
          <w:i/>
        </w:rPr>
        <w:t>Leisure Sciences, 33,</w:t>
      </w:r>
      <w:r w:rsidRPr="002B49F7">
        <w:t xml:space="preserve"> 127-146.</w:t>
      </w:r>
    </w:p>
    <w:p w:rsidR="002B49F7" w:rsidRPr="002B49F7" w:rsidRDefault="002B49F7" w:rsidP="002B49F7">
      <w:pPr>
        <w:autoSpaceDE w:val="0"/>
        <w:autoSpaceDN w:val="0"/>
        <w:adjustRightInd w:val="0"/>
        <w:ind w:left="720" w:hanging="720"/>
      </w:pPr>
      <w:r w:rsidRPr="002B49F7">
        <w:t xml:space="preserve">Cooper, C. G. (2011). </w:t>
      </w:r>
      <w:proofErr w:type="gramStart"/>
      <w:r w:rsidRPr="002B49F7">
        <w:t>The motivational preferences of consumers attending multiple NCAA wrestling events.</w:t>
      </w:r>
      <w:proofErr w:type="gramEnd"/>
      <w:r w:rsidRPr="002B49F7">
        <w:t xml:space="preserve"> </w:t>
      </w:r>
      <w:proofErr w:type="gramStart"/>
      <w:r w:rsidRPr="002B49F7">
        <w:rPr>
          <w:i/>
          <w:iCs/>
        </w:rPr>
        <w:t>Sport Marketing Quarterly, 20</w:t>
      </w:r>
      <w:r w:rsidRPr="002B49F7">
        <w:t>, 33-40.</w:t>
      </w:r>
      <w:proofErr w:type="gramEnd"/>
    </w:p>
    <w:p w:rsidR="002B49F7" w:rsidRPr="002B49F7" w:rsidRDefault="002B49F7" w:rsidP="002B49F7">
      <w:pPr>
        <w:ind w:left="720" w:hanging="720"/>
        <w:rPr>
          <w:lang w:eastAsia="zh-CN"/>
        </w:rPr>
      </w:pPr>
      <w:r w:rsidRPr="002B49F7">
        <w:rPr>
          <w:lang w:eastAsia="zh-CN"/>
        </w:rPr>
        <w:t xml:space="preserve">Hu, H. S. (2012). </w:t>
      </w:r>
      <w:proofErr w:type="gramStart"/>
      <w:r w:rsidRPr="002B49F7">
        <w:rPr>
          <w:lang w:eastAsia="zh-CN"/>
        </w:rPr>
        <w:t>The effectiveness of environmental advertising in the hotel industry.</w:t>
      </w:r>
      <w:proofErr w:type="gramEnd"/>
      <w:r w:rsidRPr="002B49F7">
        <w:rPr>
          <w:lang w:eastAsia="zh-CN"/>
        </w:rPr>
        <w:t xml:space="preserve"> </w:t>
      </w:r>
      <w:r w:rsidRPr="002B49F7">
        <w:rPr>
          <w:i/>
          <w:lang w:eastAsia="zh-CN"/>
        </w:rPr>
        <w:t>Cornell Hospitality Quarterly, 53,</w:t>
      </w:r>
      <w:r w:rsidRPr="002B49F7">
        <w:rPr>
          <w:lang w:eastAsia="zh-CN"/>
        </w:rPr>
        <w:t xml:space="preserve"> 154-164.</w:t>
      </w:r>
    </w:p>
    <w:p w:rsidR="002B49F7" w:rsidRPr="002B49F7" w:rsidRDefault="002B49F7" w:rsidP="002B49F7">
      <w:pPr>
        <w:autoSpaceDE w:val="0"/>
        <w:autoSpaceDN w:val="0"/>
        <w:adjustRightInd w:val="0"/>
        <w:ind w:left="720" w:hanging="720"/>
      </w:pPr>
      <w:proofErr w:type="spellStart"/>
      <w:r w:rsidRPr="002B49F7">
        <w:t>Morais</w:t>
      </w:r>
      <w:proofErr w:type="spellEnd"/>
      <w:r w:rsidRPr="002B49F7">
        <w:t xml:space="preserve">, D. B., </w:t>
      </w:r>
      <w:proofErr w:type="spellStart"/>
      <w:r w:rsidRPr="002B49F7">
        <w:t>Kerstetter</w:t>
      </w:r>
      <w:proofErr w:type="spellEnd"/>
      <w:r w:rsidRPr="002B49F7">
        <w:t xml:space="preserve">, D. L., &amp; </w:t>
      </w:r>
      <w:proofErr w:type="spellStart"/>
      <w:r w:rsidRPr="002B49F7">
        <w:t>Yarnal</w:t>
      </w:r>
      <w:proofErr w:type="spellEnd"/>
      <w:r w:rsidRPr="002B49F7">
        <w:t xml:space="preserve">, C. M. (2006). The Love Triangle: Loyal relationships among providers, customers, and their friends. </w:t>
      </w:r>
      <w:r w:rsidRPr="002B49F7">
        <w:rPr>
          <w:i/>
          <w:iCs/>
        </w:rPr>
        <w:t>Journal of Travel Research, 44</w:t>
      </w:r>
      <w:r w:rsidRPr="002B49F7">
        <w:t>, 379-386.</w:t>
      </w:r>
    </w:p>
    <w:p w:rsidR="002B49F7" w:rsidRPr="002B49F7" w:rsidRDefault="002B49F7" w:rsidP="002B49F7">
      <w:pPr>
        <w:autoSpaceDE w:val="0"/>
        <w:autoSpaceDN w:val="0"/>
        <w:adjustRightInd w:val="0"/>
        <w:ind w:left="720" w:hanging="720"/>
      </w:pPr>
      <w:proofErr w:type="gramStart"/>
      <w:r w:rsidRPr="002B49F7">
        <w:t xml:space="preserve">Scholl, G., </w:t>
      </w:r>
      <w:proofErr w:type="spellStart"/>
      <w:r w:rsidRPr="002B49F7">
        <w:t>Glanz</w:t>
      </w:r>
      <w:proofErr w:type="spellEnd"/>
      <w:r w:rsidRPr="002B49F7">
        <w:t>, A., &amp; Davison, A. (2006).</w:t>
      </w:r>
      <w:proofErr w:type="gramEnd"/>
      <w:r w:rsidRPr="002B49F7">
        <w:t xml:space="preserve"> Importance-performance analysis of supportive recreation inclusion services: Community agency perspective. </w:t>
      </w:r>
      <w:r w:rsidRPr="002B49F7">
        <w:rPr>
          <w:i/>
          <w:iCs/>
        </w:rPr>
        <w:t>Journal of Park and Recreation Administration, 24</w:t>
      </w:r>
      <w:r w:rsidRPr="002B49F7">
        <w:t>, 102-124.</w:t>
      </w:r>
    </w:p>
    <w:p w:rsidR="002B49F7" w:rsidRPr="002B49F7" w:rsidRDefault="002B49F7" w:rsidP="002B49F7">
      <w:pPr>
        <w:autoSpaceDE w:val="0"/>
        <w:autoSpaceDN w:val="0"/>
        <w:adjustRightInd w:val="0"/>
        <w:ind w:left="720" w:hanging="720"/>
      </w:pPr>
      <w:r w:rsidRPr="002B49F7">
        <w:t xml:space="preserve">White, D. D. (2007). </w:t>
      </w:r>
      <w:proofErr w:type="gramStart"/>
      <w:r w:rsidRPr="002B49F7">
        <w:t>An interpretive study of Yosemite National Park visitors’ perspectives toward alternative transportation in Yosemite Valley.</w:t>
      </w:r>
      <w:proofErr w:type="gramEnd"/>
      <w:r w:rsidRPr="002B49F7">
        <w:t xml:space="preserve"> </w:t>
      </w:r>
      <w:r w:rsidRPr="002B49F7">
        <w:rPr>
          <w:i/>
          <w:iCs/>
        </w:rPr>
        <w:t>Environmental Management, 39</w:t>
      </w:r>
      <w:r w:rsidRPr="002B49F7">
        <w:t>, 50-62.</w:t>
      </w:r>
    </w:p>
    <w:p w:rsidR="002B49F7" w:rsidRPr="002B49F7" w:rsidRDefault="002B49F7" w:rsidP="002B49F7">
      <w:pPr>
        <w:autoSpaceDE w:val="0"/>
        <w:autoSpaceDN w:val="0"/>
        <w:adjustRightInd w:val="0"/>
        <w:ind w:left="720" w:hanging="720"/>
      </w:pPr>
      <w:proofErr w:type="gramStart"/>
      <w:r w:rsidRPr="002B49F7">
        <w:t xml:space="preserve">Xie, H., </w:t>
      </w:r>
      <w:proofErr w:type="spellStart"/>
      <w:r w:rsidRPr="002B49F7">
        <w:t>Kerstetter</w:t>
      </w:r>
      <w:proofErr w:type="spellEnd"/>
      <w:r w:rsidRPr="002B49F7">
        <w:t xml:space="preserve">, D. L., &amp; </w:t>
      </w:r>
      <w:proofErr w:type="spellStart"/>
      <w:r w:rsidRPr="002B49F7">
        <w:t>Mattila</w:t>
      </w:r>
      <w:proofErr w:type="spellEnd"/>
      <w:r w:rsidRPr="002B49F7">
        <w:t>, A. S. (2012).</w:t>
      </w:r>
      <w:proofErr w:type="gramEnd"/>
      <w:r w:rsidRPr="002B49F7">
        <w:t xml:space="preserve"> The attributes of a cruise ship that influence the decision making of cruisers and potential cruisers. </w:t>
      </w:r>
      <w:r w:rsidRPr="002B49F7">
        <w:rPr>
          <w:i/>
          <w:iCs/>
        </w:rPr>
        <w:t>International Journal of Hospitality Management, 31</w:t>
      </w:r>
      <w:r w:rsidRPr="002B49F7">
        <w:t xml:space="preserve">, 152-159. </w:t>
      </w:r>
    </w:p>
    <w:p w:rsidR="002B49F7" w:rsidRPr="002B49F7" w:rsidRDefault="002B49F7" w:rsidP="002B49F7">
      <w:pPr>
        <w:autoSpaceDE w:val="0"/>
        <w:autoSpaceDN w:val="0"/>
        <w:adjustRightInd w:val="0"/>
        <w:rPr>
          <w:b/>
          <w:u w:val="single"/>
        </w:rPr>
      </w:pPr>
    </w:p>
    <w:p w:rsidR="002B49F7" w:rsidRPr="002B49F7" w:rsidRDefault="002B49F7" w:rsidP="002B49F7">
      <w:pPr>
        <w:autoSpaceDE w:val="0"/>
        <w:autoSpaceDN w:val="0"/>
        <w:adjustRightInd w:val="0"/>
        <w:rPr>
          <w:b/>
          <w:u w:val="single"/>
        </w:rPr>
      </w:pPr>
      <w:r w:rsidRPr="002B49F7">
        <w:rPr>
          <w:b/>
          <w:u w:val="single"/>
        </w:rPr>
        <w:t>Course Policies and Guidelines:</w:t>
      </w:r>
    </w:p>
    <w:p w:rsidR="002B49F7" w:rsidRPr="002B49F7" w:rsidRDefault="002B49F7" w:rsidP="002B49F7">
      <w:pPr>
        <w:autoSpaceDE w:val="0"/>
        <w:autoSpaceDN w:val="0"/>
        <w:adjustRightInd w:val="0"/>
        <w:rPr>
          <w:b/>
          <w:u w:val="single"/>
        </w:rPr>
      </w:pPr>
    </w:p>
    <w:p w:rsidR="002B49F7" w:rsidRPr="002B49F7" w:rsidRDefault="002B49F7" w:rsidP="002B49F7">
      <w:pPr>
        <w:numPr>
          <w:ilvl w:val="0"/>
          <w:numId w:val="13"/>
        </w:numPr>
        <w:autoSpaceDE w:val="0"/>
        <w:autoSpaceDN w:val="0"/>
        <w:adjustRightInd w:val="0"/>
        <w:ind w:left="450"/>
        <w:contextualSpacing/>
        <w:rPr>
          <w:rFonts w:eastAsia="SimSun"/>
          <w:lang w:eastAsia="zh-CN"/>
        </w:rPr>
      </w:pPr>
      <w:r w:rsidRPr="002B49F7">
        <w:rPr>
          <w:rFonts w:eastAsia="SimSun"/>
          <w:lang w:eastAsia="zh-CN"/>
        </w:rPr>
        <w:t xml:space="preserve">Students’ participation is vital to successful learning. Therefore, students are expected to log-in to the class regularly, complete reading assignments on schedule, listen to presentations, and actively participate in discussions and other learning activities. </w:t>
      </w:r>
    </w:p>
    <w:p w:rsidR="002B49F7" w:rsidRPr="002B49F7" w:rsidRDefault="002B49F7" w:rsidP="002B49F7">
      <w:pPr>
        <w:autoSpaceDE w:val="0"/>
        <w:autoSpaceDN w:val="0"/>
        <w:adjustRightInd w:val="0"/>
        <w:ind w:left="360"/>
        <w:contextualSpacing/>
        <w:rPr>
          <w:rFonts w:eastAsia="SimSun"/>
          <w:lang w:eastAsia="zh-CN"/>
        </w:rPr>
      </w:pPr>
    </w:p>
    <w:p w:rsidR="002B49F7" w:rsidRPr="002B49F7" w:rsidRDefault="002B49F7" w:rsidP="002B49F7">
      <w:pPr>
        <w:numPr>
          <w:ilvl w:val="0"/>
          <w:numId w:val="13"/>
        </w:numPr>
        <w:autoSpaceDE w:val="0"/>
        <w:autoSpaceDN w:val="0"/>
        <w:adjustRightInd w:val="0"/>
        <w:ind w:left="450"/>
        <w:contextualSpacing/>
        <w:rPr>
          <w:rFonts w:eastAsia="SimSun"/>
          <w:lang w:eastAsia="zh-CN"/>
        </w:rPr>
      </w:pPr>
      <w:r w:rsidRPr="002B49F7">
        <w:rPr>
          <w:rFonts w:eastAsia="SimSun"/>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2B49F7" w:rsidRPr="002B49F7" w:rsidRDefault="002B49F7" w:rsidP="002B49F7">
      <w:pPr>
        <w:contextualSpacing/>
        <w:jc w:val="both"/>
        <w:rPr>
          <w:rFonts w:eastAsia="SimSun"/>
          <w:lang w:eastAsia="zh-CN"/>
        </w:rPr>
      </w:pPr>
    </w:p>
    <w:p w:rsidR="002B49F7" w:rsidRPr="002B49F7" w:rsidRDefault="002B49F7" w:rsidP="002B49F7">
      <w:pPr>
        <w:numPr>
          <w:ilvl w:val="0"/>
          <w:numId w:val="13"/>
        </w:numPr>
        <w:autoSpaceDE w:val="0"/>
        <w:autoSpaceDN w:val="0"/>
        <w:adjustRightInd w:val="0"/>
        <w:ind w:left="450"/>
        <w:contextualSpacing/>
        <w:rPr>
          <w:rFonts w:eastAsia="SimSun"/>
          <w:lang w:eastAsia="zh-CN"/>
        </w:rPr>
      </w:pPr>
      <w:r w:rsidRPr="002B49F7">
        <w:rPr>
          <w:rFonts w:eastAsia="SimSun"/>
          <w:u w:val="single"/>
          <w:lang w:eastAsia="zh-CN"/>
        </w:rPr>
        <w:t>Communication:</w:t>
      </w:r>
      <w:r w:rsidRPr="002B49F7">
        <w:rPr>
          <w:rFonts w:eastAsia="SimSun"/>
          <w:lang w:eastAsia="zh-CN"/>
        </w:rPr>
        <w:t xml:space="preserve"> </w:t>
      </w:r>
      <w:r w:rsidRPr="002B49F7">
        <w:rPr>
          <w:rFonts w:eastAsia="SimSun"/>
        </w:rPr>
        <w:t>Students are expected to have access to their CSUN email account and the web learning platform for the class.</w:t>
      </w:r>
      <w:r w:rsidRPr="002B49F7">
        <w:rPr>
          <w:rFonts w:eastAsia="SimSun"/>
          <w:sz w:val="22"/>
          <w:szCs w:val="22"/>
        </w:rPr>
        <w:t xml:space="preserve"> </w:t>
      </w:r>
      <w:r w:rsidRPr="002B49F7">
        <w:rPr>
          <w:rFonts w:eastAsia="SimSun"/>
          <w:lang w:eastAsia="zh-CN"/>
        </w:rPr>
        <w:t>The instructor will send class announcement to students via students’ official CSUN emails. If you have a primary email that is not your CSUN account, please have your CSUN email forwarded to your primary email.</w:t>
      </w:r>
    </w:p>
    <w:p w:rsidR="002B49F7" w:rsidRPr="002B49F7" w:rsidRDefault="002B49F7" w:rsidP="002B49F7">
      <w:pPr>
        <w:ind w:left="720"/>
        <w:contextualSpacing/>
        <w:jc w:val="both"/>
        <w:rPr>
          <w:rFonts w:eastAsia="SimSun"/>
          <w:u w:val="single"/>
          <w:lang w:eastAsia="zh-CN"/>
        </w:rPr>
      </w:pPr>
    </w:p>
    <w:p w:rsidR="002B49F7" w:rsidRPr="002B49F7" w:rsidRDefault="002B49F7" w:rsidP="002B49F7">
      <w:pPr>
        <w:numPr>
          <w:ilvl w:val="0"/>
          <w:numId w:val="13"/>
        </w:numPr>
        <w:autoSpaceDE w:val="0"/>
        <w:autoSpaceDN w:val="0"/>
        <w:adjustRightInd w:val="0"/>
        <w:ind w:left="450"/>
        <w:contextualSpacing/>
        <w:rPr>
          <w:rFonts w:eastAsia="SimSun"/>
          <w:lang w:eastAsia="zh-CN"/>
        </w:rPr>
      </w:pPr>
      <w:r w:rsidRPr="002B49F7">
        <w:rPr>
          <w:rFonts w:eastAsia="SimSun"/>
          <w:u w:val="single"/>
          <w:lang w:eastAsia="zh-CN"/>
        </w:rPr>
        <w:t>Late Assignment:</w:t>
      </w:r>
      <w:r w:rsidRPr="002B49F7">
        <w:rPr>
          <w:rFonts w:eastAsia="SimSun"/>
          <w:lang w:eastAsia="zh-CN"/>
        </w:rPr>
        <w:t xml:space="preserve"> Late assignments will be accepted with </w:t>
      </w:r>
      <w:r w:rsidRPr="002B49F7">
        <w:rPr>
          <w:rFonts w:eastAsia="SimSun"/>
          <w:u w:val="single"/>
          <w:lang w:eastAsia="zh-CN"/>
        </w:rPr>
        <w:t>a penalty of 15% off per day</w:t>
      </w:r>
      <w:r w:rsidRPr="002B49F7">
        <w:rPr>
          <w:rFonts w:eastAsia="SimSun"/>
          <w:lang w:eastAsia="zh-CN"/>
        </w:rPr>
        <w:t>. Assignments submitted more than three days late will not be accepted without prior arrangement with the instructor.</w:t>
      </w:r>
      <w:r w:rsidRPr="002B49F7">
        <w:rPr>
          <w:rFonts w:eastAsia="SimSun"/>
        </w:rPr>
        <w:t xml:space="preserve"> No assignments will be accepted after the last official day of class.</w:t>
      </w:r>
    </w:p>
    <w:p w:rsidR="002B49F7" w:rsidRPr="002B49F7" w:rsidRDefault="002B49F7" w:rsidP="002B49F7">
      <w:pPr>
        <w:ind w:left="720"/>
        <w:contextualSpacing/>
        <w:jc w:val="both"/>
        <w:rPr>
          <w:rFonts w:eastAsia="SimSun"/>
          <w:u w:val="single"/>
          <w:lang w:eastAsia="zh-CN"/>
        </w:rPr>
      </w:pPr>
    </w:p>
    <w:p w:rsidR="002B49F7" w:rsidRPr="002B49F7" w:rsidRDefault="002B49F7" w:rsidP="002B49F7">
      <w:pPr>
        <w:numPr>
          <w:ilvl w:val="0"/>
          <w:numId w:val="13"/>
        </w:numPr>
        <w:autoSpaceDE w:val="0"/>
        <w:autoSpaceDN w:val="0"/>
        <w:adjustRightInd w:val="0"/>
        <w:ind w:left="450"/>
        <w:contextualSpacing/>
        <w:rPr>
          <w:rFonts w:eastAsia="SimSun"/>
          <w:lang w:eastAsia="zh-CN"/>
        </w:rPr>
      </w:pPr>
      <w:r w:rsidRPr="002B49F7">
        <w:rPr>
          <w:rFonts w:eastAsia="SimSun"/>
          <w:u w:val="single"/>
          <w:lang w:eastAsia="zh-CN"/>
        </w:rPr>
        <w:t>Make-up Work:</w:t>
      </w:r>
      <w:r w:rsidRPr="002B49F7">
        <w:rPr>
          <w:rFonts w:eastAsia="SimSun"/>
          <w:b/>
          <w:lang w:eastAsia="zh-CN"/>
        </w:rPr>
        <w:t xml:space="preserve"> </w:t>
      </w:r>
      <w:r w:rsidRPr="002B49F7">
        <w:rPr>
          <w:rFonts w:eastAsia="SimSun"/>
          <w:lang w:eastAsia="zh-CN"/>
        </w:rPr>
        <w:t xml:space="preserve">Make-up assignments or exams will be given </w:t>
      </w:r>
      <w:r w:rsidRPr="002B49F7">
        <w:rPr>
          <w:rFonts w:eastAsia="SimSun"/>
          <w:b/>
          <w:lang w:eastAsia="zh-CN"/>
        </w:rPr>
        <w:t>only</w:t>
      </w:r>
      <w:r w:rsidRPr="002B49F7">
        <w:rPr>
          <w:rFonts w:eastAsia="SimSun"/>
          <w:lang w:eastAsia="zh-CN"/>
        </w:rPr>
        <w:t xml:space="preserve"> when students meet the following conditions: </w:t>
      </w:r>
    </w:p>
    <w:p w:rsidR="002B49F7" w:rsidRPr="002B49F7" w:rsidRDefault="002B49F7" w:rsidP="002B49F7">
      <w:pPr>
        <w:numPr>
          <w:ilvl w:val="0"/>
          <w:numId w:val="26"/>
        </w:numPr>
        <w:ind w:right="720"/>
        <w:contextualSpacing/>
        <w:rPr>
          <w:rFonts w:eastAsia="SimSun"/>
          <w:lang w:eastAsia="zh-CN"/>
        </w:rPr>
      </w:pPr>
      <w:r w:rsidRPr="002B49F7">
        <w:rPr>
          <w:rFonts w:eastAsia="SimSun"/>
          <w:lang w:eastAsia="zh-CN"/>
        </w:rPr>
        <w:t>Conditions creating a delay in submissions include: hospitalization, death in the family, or other emergencies. Verification must be documented via email. Acceptable documentation includes a letter from a physician, a newspaper obituary, or a memorial service program.</w:t>
      </w:r>
    </w:p>
    <w:p w:rsidR="002B49F7" w:rsidRPr="002B49F7" w:rsidRDefault="002B49F7" w:rsidP="002B49F7">
      <w:pPr>
        <w:autoSpaceDE w:val="0"/>
        <w:autoSpaceDN w:val="0"/>
        <w:adjustRightInd w:val="0"/>
        <w:ind w:left="360"/>
      </w:pPr>
      <w:r w:rsidRPr="002B49F7">
        <w:t>Please contact the instructor if you have any questions regarding your eligibility to delay an assignment with no penalty.</w:t>
      </w:r>
    </w:p>
    <w:p w:rsidR="002B49F7" w:rsidRPr="002B49F7" w:rsidRDefault="002B49F7" w:rsidP="002B49F7"/>
    <w:p w:rsidR="002B49F7" w:rsidRPr="002B49F7" w:rsidRDefault="002B49F7" w:rsidP="002B49F7">
      <w:pPr>
        <w:numPr>
          <w:ilvl w:val="0"/>
          <w:numId w:val="13"/>
        </w:numPr>
        <w:autoSpaceDE w:val="0"/>
        <w:autoSpaceDN w:val="0"/>
        <w:adjustRightInd w:val="0"/>
        <w:contextualSpacing/>
        <w:rPr>
          <w:rFonts w:eastAsia="SimSun"/>
          <w:lang w:eastAsia="zh-CN"/>
        </w:rPr>
      </w:pPr>
      <w:r w:rsidRPr="002B49F7">
        <w:rPr>
          <w:rFonts w:eastAsia="SimSun"/>
          <w:bCs/>
          <w:color w:val="000000"/>
          <w:szCs w:val="22"/>
          <w:u w:val="single"/>
          <w:lang w:eastAsia="zh-CN"/>
        </w:rPr>
        <w:t>Academic Honesty</w:t>
      </w:r>
      <w:r w:rsidRPr="002B49F7">
        <w:rPr>
          <w:rFonts w:eastAsia="SimSun"/>
          <w:color w:val="000000"/>
          <w:szCs w:val="22"/>
          <w:u w:val="single"/>
          <w:lang w:eastAsia="zh-CN"/>
        </w:rPr>
        <w:t>:</w:t>
      </w:r>
      <w:r w:rsidRPr="002B49F7">
        <w:rPr>
          <w:rFonts w:eastAsia="SimSun"/>
          <w:color w:val="000000"/>
          <w:szCs w:val="22"/>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assignment or the course. Student behavior will be reported to the university and the report may request further disciplinary action. Please refer to </w:t>
      </w:r>
      <w:hyperlink r:id="rId6" w:history="1">
        <w:r w:rsidRPr="002B49F7">
          <w:rPr>
            <w:rFonts w:eastAsia="SimSun"/>
            <w:color w:val="0000FF"/>
            <w:szCs w:val="22"/>
            <w:u w:val="single"/>
            <w:lang w:eastAsia="zh-CN"/>
          </w:rPr>
          <w:t>www.csun.edu/a&amp;r/soc/studentconduct.html</w:t>
        </w:r>
      </w:hyperlink>
      <w:r w:rsidRPr="002B49F7">
        <w:rPr>
          <w:rFonts w:eastAsia="SimSun"/>
          <w:color w:val="000000"/>
          <w:szCs w:val="22"/>
          <w:lang w:eastAsia="zh-CN"/>
        </w:rPr>
        <w:t xml:space="preserve"> for additional information.</w:t>
      </w:r>
    </w:p>
    <w:p w:rsidR="002B49F7" w:rsidRPr="002B49F7" w:rsidRDefault="002B49F7" w:rsidP="002B49F7">
      <w:pPr>
        <w:contextualSpacing/>
        <w:jc w:val="both"/>
        <w:rPr>
          <w:rFonts w:eastAsia="SimSun"/>
          <w:lang w:eastAsia="zh-CN"/>
        </w:rPr>
      </w:pPr>
    </w:p>
    <w:p w:rsidR="002B49F7" w:rsidRPr="002B49F7" w:rsidRDefault="002B49F7" w:rsidP="002B49F7">
      <w:pPr>
        <w:numPr>
          <w:ilvl w:val="0"/>
          <w:numId w:val="13"/>
        </w:numPr>
        <w:autoSpaceDE w:val="0"/>
        <w:autoSpaceDN w:val="0"/>
        <w:adjustRightInd w:val="0"/>
        <w:ind w:left="450"/>
        <w:contextualSpacing/>
        <w:rPr>
          <w:rFonts w:eastAsia="SimSun"/>
          <w:lang w:eastAsia="zh-CN"/>
        </w:rPr>
      </w:pPr>
      <w:r w:rsidRPr="002B49F7">
        <w:rPr>
          <w:rFonts w:eastAsia="SimSun"/>
          <w:lang w:eastAsia="zh-CN"/>
        </w:rPr>
        <w:t xml:space="preserve">Students are advised to consult with campus services to receive assistance if they have concerns regarding skills in areas such as writing or studying or computer skills. </w:t>
      </w:r>
    </w:p>
    <w:p w:rsidR="002B49F7" w:rsidRPr="002B49F7" w:rsidRDefault="002B49F7" w:rsidP="002B49F7">
      <w:pPr>
        <w:autoSpaceDE w:val="0"/>
        <w:autoSpaceDN w:val="0"/>
        <w:adjustRightInd w:val="0"/>
      </w:pPr>
    </w:p>
    <w:p w:rsidR="002B49F7" w:rsidRPr="002B49F7" w:rsidRDefault="002B49F7" w:rsidP="002B49F7">
      <w:pPr>
        <w:numPr>
          <w:ilvl w:val="0"/>
          <w:numId w:val="13"/>
        </w:numPr>
        <w:autoSpaceDE w:val="0"/>
        <w:autoSpaceDN w:val="0"/>
        <w:adjustRightInd w:val="0"/>
        <w:ind w:left="450"/>
        <w:contextualSpacing/>
        <w:rPr>
          <w:rFonts w:eastAsia="SimSun"/>
          <w:lang w:eastAsia="zh-CN"/>
        </w:rPr>
      </w:pPr>
      <w:r w:rsidRPr="002B49F7">
        <w:rPr>
          <w:rFonts w:eastAsia="SimSun"/>
          <w:lang w:eastAsia="zh-CN"/>
        </w:rPr>
        <w:t>Students are encouraged to be proactive and seek out the instructor as soon as they have any concerns about the class or their performance. The end of the semester is too late to take action to bring up a grade.</w:t>
      </w:r>
    </w:p>
    <w:p w:rsidR="002B49F7" w:rsidRPr="002B49F7" w:rsidRDefault="002B49F7" w:rsidP="002B49F7">
      <w:pPr>
        <w:ind w:left="720"/>
        <w:contextualSpacing/>
        <w:jc w:val="both"/>
        <w:rPr>
          <w:rFonts w:eastAsia="SimSun"/>
          <w:lang w:eastAsia="zh-CN"/>
        </w:rPr>
      </w:pPr>
    </w:p>
    <w:p w:rsidR="002B49F7" w:rsidRPr="002B49F7" w:rsidRDefault="002B49F7" w:rsidP="002B49F7">
      <w:pPr>
        <w:numPr>
          <w:ilvl w:val="0"/>
          <w:numId w:val="13"/>
        </w:numPr>
        <w:autoSpaceDE w:val="0"/>
        <w:autoSpaceDN w:val="0"/>
        <w:adjustRightInd w:val="0"/>
        <w:ind w:left="450"/>
        <w:rPr>
          <w:color w:val="000000"/>
        </w:rPr>
      </w:pPr>
      <w:r w:rsidRPr="002B49F7">
        <w:rPr>
          <w:color w:val="000000"/>
        </w:rPr>
        <w:t>All assignments must be typed, double spaced, 12-point font, 1 inch margins and should follow the American Psychological Association (APA) style.</w:t>
      </w:r>
    </w:p>
    <w:p w:rsidR="002B49F7" w:rsidRPr="002B49F7" w:rsidRDefault="002B49F7" w:rsidP="002B49F7">
      <w:pPr>
        <w:ind w:left="720"/>
        <w:contextualSpacing/>
        <w:jc w:val="both"/>
        <w:rPr>
          <w:rFonts w:eastAsia="SimSun"/>
          <w:lang w:eastAsia="zh-CN"/>
        </w:rPr>
      </w:pPr>
    </w:p>
    <w:p w:rsidR="002B49F7" w:rsidRPr="002B49F7" w:rsidRDefault="002B49F7" w:rsidP="002B49F7">
      <w:pPr>
        <w:numPr>
          <w:ilvl w:val="0"/>
          <w:numId w:val="13"/>
        </w:numPr>
        <w:autoSpaceDE w:val="0"/>
        <w:autoSpaceDN w:val="0"/>
        <w:adjustRightInd w:val="0"/>
        <w:ind w:left="450"/>
        <w:contextualSpacing/>
        <w:rPr>
          <w:rFonts w:eastAsia="SimSun"/>
          <w:lang w:eastAsia="zh-CN"/>
        </w:rPr>
      </w:pPr>
      <w:r w:rsidRPr="002B49F7">
        <w:rPr>
          <w:rFonts w:eastAsia="SimSun"/>
          <w:lang w:eastAsia="zh-CN"/>
        </w:rPr>
        <w:t xml:space="preserve">Microsoft Word is the ONLY acceptable document format for online or email submission. The following format should be used when naming the file: Course </w:t>
      </w:r>
      <w:proofErr w:type="spellStart"/>
      <w:r w:rsidRPr="002B49F7">
        <w:rPr>
          <w:rFonts w:eastAsia="SimSun"/>
          <w:lang w:eastAsia="zh-CN"/>
        </w:rPr>
        <w:t>number_last</w:t>
      </w:r>
      <w:proofErr w:type="spellEnd"/>
      <w:r w:rsidRPr="002B49F7">
        <w:rPr>
          <w:rFonts w:eastAsia="SimSun"/>
          <w:lang w:eastAsia="zh-CN"/>
        </w:rPr>
        <w:t xml:space="preserve"> </w:t>
      </w:r>
      <w:proofErr w:type="spellStart"/>
      <w:r w:rsidRPr="002B49F7">
        <w:rPr>
          <w:rFonts w:eastAsia="SimSun"/>
          <w:lang w:eastAsia="zh-CN"/>
        </w:rPr>
        <w:t>name_first</w:t>
      </w:r>
      <w:proofErr w:type="spellEnd"/>
      <w:r w:rsidRPr="002B49F7">
        <w:rPr>
          <w:rFonts w:eastAsia="SimSun"/>
          <w:lang w:eastAsia="zh-CN"/>
        </w:rPr>
        <w:t xml:space="preserve"> </w:t>
      </w:r>
      <w:proofErr w:type="spellStart"/>
      <w:r w:rsidRPr="002B49F7">
        <w:rPr>
          <w:rFonts w:eastAsia="SimSun"/>
          <w:lang w:eastAsia="zh-CN"/>
        </w:rPr>
        <w:t>name_short</w:t>
      </w:r>
      <w:proofErr w:type="spellEnd"/>
      <w:r w:rsidRPr="002B49F7">
        <w:rPr>
          <w:rFonts w:eastAsia="SimSun"/>
          <w:lang w:eastAsia="zh-CN"/>
        </w:rPr>
        <w:t xml:space="preserve"> title (for example: RTM</w:t>
      </w:r>
      <w:r w:rsidRPr="002B49F7">
        <w:rPr>
          <w:rFonts w:eastAsia="SimSun" w:hint="eastAsia"/>
          <w:lang w:eastAsia="zh-CN"/>
        </w:rPr>
        <w:t>550</w:t>
      </w:r>
      <w:r w:rsidRPr="002B49F7">
        <w:rPr>
          <w:rFonts w:eastAsia="SimSun"/>
          <w:lang w:eastAsia="zh-CN"/>
        </w:rPr>
        <w:t>_xie_jimmy_syllabus).</w:t>
      </w:r>
    </w:p>
    <w:p w:rsidR="002B49F7" w:rsidRPr="002B49F7" w:rsidRDefault="002B49F7" w:rsidP="002B49F7">
      <w:pPr>
        <w:tabs>
          <w:tab w:val="num" w:pos="1080"/>
        </w:tabs>
        <w:autoSpaceDE w:val="0"/>
        <w:autoSpaceDN w:val="0"/>
        <w:adjustRightInd w:val="0"/>
        <w:jc w:val="both"/>
        <w:rPr>
          <w:color w:val="000000"/>
        </w:rPr>
      </w:pPr>
    </w:p>
    <w:p w:rsidR="002B49F7" w:rsidRPr="002B49F7" w:rsidRDefault="002B49F7" w:rsidP="002B49F7">
      <w:pPr>
        <w:tabs>
          <w:tab w:val="num" w:pos="1080"/>
        </w:tabs>
        <w:autoSpaceDE w:val="0"/>
        <w:autoSpaceDN w:val="0"/>
        <w:adjustRightInd w:val="0"/>
        <w:ind w:left="720"/>
        <w:jc w:val="both"/>
        <w:rPr>
          <w:color w:val="000000"/>
        </w:rPr>
      </w:pPr>
      <w:r w:rsidRPr="002B49F7">
        <w:rPr>
          <w:color w:val="000000"/>
        </w:rPr>
        <w:t xml:space="preserve"> </w:t>
      </w:r>
    </w:p>
    <w:p w:rsidR="002B49F7" w:rsidRPr="002B49F7" w:rsidRDefault="002B49F7" w:rsidP="002B49F7">
      <w:pPr>
        <w:autoSpaceDE w:val="0"/>
        <w:autoSpaceDN w:val="0"/>
        <w:adjustRightInd w:val="0"/>
        <w:rPr>
          <w:b/>
          <w:color w:val="000000"/>
          <w:u w:val="single"/>
        </w:rPr>
      </w:pPr>
      <w:r w:rsidRPr="002B49F7">
        <w:rPr>
          <w:b/>
          <w:color w:val="000000"/>
          <w:u w:val="single"/>
        </w:rPr>
        <w:t>STUDENT RESOURCES</w:t>
      </w:r>
    </w:p>
    <w:p w:rsidR="002B49F7" w:rsidRPr="002B49F7" w:rsidRDefault="002B49F7" w:rsidP="002B49F7">
      <w:pPr>
        <w:autoSpaceDE w:val="0"/>
        <w:autoSpaceDN w:val="0"/>
        <w:adjustRightInd w:val="0"/>
        <w:rPr>
          <w:color w:val="000000"/>
        </w:rPr>
      </w:pPr>
      <w:proofErr w:type="gramStart"/>
      <w:r w:rsidRPr="002B49F7">
        <w:rPr>
          <w:b/>
          <w:i/>
          <w:color w:val="000000"/>
        </w:rPr>
        <w:t>Disability Resources and Educational Services (DRES)</w:t>
      </w:r>
      <w:r w:rsidRPr="002B49F7">
        <w:rPr>
          <w:color w:val="000000"/>
        </w:rPr>
        <w:t>.</w:t>
      </w:r>
      <w:proofErr w:type="gramEnd"/>
      <w:r w:rsidRPr="002B49F7">
        <w:rPr>
          <w:color w:val="000000"/>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w:t>
      </w:r>
      <w:proofErr w:type="spellStart"/>
      <w:r w:rsidRPr="002B49F7">
        <w:rPr>
          <w:color w:val="000000"/>
        </w:rPr>
        <w:t>Bayramian</w:t>
      </w:r>
      <w:proofErr w:type="spellEnd"/>
      <w:r w:rsidRPr="002B49F7">
        <w:rPr>
          <w:color w:val="000000"/>
        </w:rPr>
        <w:t xml:space="preserve"> Hall room 110 (BH 110). Please visit </w:t>
      </w:r>
      <w:hyperlink r:id="rId7" w:history="1">
        <w:r w:rsidRPr="002B49F7">
          <w:rPr>
            <w:color w:val="0000FF"/>
            <w:u w:val="single"/>
          </w:rPr>
          <w:t>www.csun.edu/dres/index.php</w:t>
        </w:r>
      </w:hyperlink>
      <w:r w:rsidRPr="002B49F7">
        <w:rPr>
          <w:color w:val="000000"/>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2B49F7" w:rsidRPr="002B49F7" w:rsidRDefault="002B49F7" w:rsidP="002B49F7">
      <w:pPr>
        <w:autoSpaceDE w:val="0"/>
        <w:autoSpaceDN w:val="0"/>
        <w:adjustRightInd w:val="0"/>
        <w:rPr>
          <w:color w:val="000000"/>
        </w:rPr>
      </w:pPr>
    </w:p>
    <w:p w:rsidR="002B49F7" w:rsidRPr="002B49F7" w:rsidRDefault="002B49F7" w:rsidP="002B49F7">
      <w:pPr>
        <w:autoSpaceDE w:val="0"/>
        <w:autoSpaceDN w:val="0"/>
        <w:adjustRightInd w:val="0"/>
        <w:rPr>
          <w:color w:val="000000"/>
        </w:rPr>
      </w:pPr>
      <w:proofErr w:type="gramStart"/>
      <w:r w:rsidRPr="002B49F7">
        <w:rPr>
          <w:b/>
          <w:i/>
          <w:color w:val="000000"/>
        </w:rPr>
        <w:t>Learning Resource Center (LRC) and Writing Center</w:t>
      </w:r>
      <w:r w:rsidRPr="002B49F7">
        <w:rPr>
          <w:color w:val="000000"/>
        </w:rPr>
        <w:t>.</w:t>
      </w:r>
      <w:proofErr w:type="gramEnd"/>
      <w:r w:rsidRPr="002B49F7">
        <w:rPr>
          <w:color w:val="000000"/>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w:t>
      </w:r>
      <w:proofErr w:type="spellStart"/>
      <w:r w:rsidRPr="002B49F7">
        <w:rPr>
          <w:color w:val="000000"/>
        </w:rPr>
        <w:t>Bayramian</w:t>
      </w:r>
      <w:proofErr w:type="spellEnd"/>
      <w:r w:rsidRPr="002B49F7">
        <w:rPr>
          <w:color w:val="000000"/>
        </w:rPr>
        <w:t xml:space="preserve"> Hall room 408 (BH 408) or call 818-677-2033 to make an appointment. Walk-ins are available on a limited basis. For additional information and/or assistance, please visit </w:t>
      </w:r>
      <w:r w:rsidRPr="002B49F7">
        <w:rPr>
          <w:color w:val="000000"/>
          <w:u w:val="single"/>
        </w:rPr>
        <w:t>www.csun.edu/lrc</w:t>
      </w:r>
      <w:r w:rsidRPr="002B49F7">
        <w:rPr>
          <w:color w:val="000000"/>
        </w:rPr>
        <w:t>.</w:t>
      </w:r>
    </w:p>
    <w:p w:rsidR="002B49F7" w:rsidRPr="002B49F7" w:rsidRDefault="002B49F7" w:rsidP="002B49F7">
      <w:pPr>
        <w:autoSpaceDE w:val="0"/>
        <w:autoSpaceDN w:val="0"/>
        <w:adjustRightInd w:val="0"/>
        <w:rPr>
          <w:color w:val="000000"/>
        </w:rPr>
      </w:pPr>
    </w:p>
    <w:p w:rsidR="002B49F7" w:rsidRPr="002B49F7" w:rsidRDefault="002B49F7" w:rsidP="002B49F7">
      <w:pPr>
        <w:autoSpaceDE w:val="0"/>
        <w:autoSpaceDN w:val="0"/>
        <w:adjustRightInd w:val="0"/>
        <w:rPr>
          <w:color w:val="000000"/>
        </w:rPr>
      </w:pPr>
      <w:r w:rsidRPr="002B49F7">
        <w:rPr>
          <w:b/>
          <w:i/>
          <w:color w:val="000000"/>
        </w:rPr>
        <w:t>University Counseling Services (UCS)</w:t>
      </w:r>
      <w:r w:rsidRPr="002B49F7">
        <w:rPr>
          <w:color w:val="000000"/>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w:t>
      </w:r>
      <w:proofErr w:type="spellStart"/>
      <w:r w:rsidRPr="002B49F7">
        <w:rPr>
          <w:color w:val="000000"/>
        </w:rPr>
        <w:t>Bayramian</w:t>
      </w:r>
      <w:proofErr w:type="spellEnd"/>
      <w:r w:rsidRPr="002B49F7">
        <w:rPr>
          <w:color w:val="000000"/>
        </w:rPr>
        <w:t xml:space="preserve"> Hall room 520 (BH 520) or call 818-677-2366 (V), 818-677-7834 (TTY) for an appointment. UCS is located on the web at </w:t>
      </w:r>
      <w:hyperlink r:id="rId8" w:history="1">
        <w:r w:rsidRPr="002B49F7">
          <w:rPr>
            <w:color w:val="0000FF"/>
            <w:u w:val="single"/>
          </w:rPr>
          <w:t>www.csun.edu/counseling</w:t>
        </w:r>
      </w:hyperlink>
      <w:r w:rsidRPr="002B49F7">
        <w:rPr>
          <w:color w:val="000000"/>
        </w:rPr>
        <w:t>.</w:t>
      </w:r>
    </w:p>
    <w:p w:rsidR="002B49F7" w:rsidRPr="002B49F7" w:rsidRDefault="002B49F7" w:rsidP="002B49F7">
      <w:pPr>
        <w:autoSpaceDE w:val="0"/>
        <w:autoSpaceDN w:val="0"/>
        <w:adjustRightInd w:val="0"/>
      </w:pPr>
    </w:p>
    <w:p w:rsidR="00C01325" w:rsidRPr="002B49F7" w:rsidRDefault="00C01325" w:rsidP="002B49F7">
      <w:bookmarkStart w:id="0" w:name="_GoBack"/>
      <w:bookmarkEnd w:id="0"/>
    </w:p>
    <w:sectPr w:rsidR="00C01325" w:rsidRPr="002B49F7" w:rsidSect="002B49F7">
      <w:pgSz w:w="12240" w:h="15840"/>
      <w:pgMar w:top="1008" w:right="1008" w:bottom="1008" w:left="1008" w:header="720" w:footer="691" w:gutter="0"/>
      <w:pgNumType w:start="1"/>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8341349"/>
    <w:lvl w:ilvl="0" w:tplc="8BE8AEE8">
      <w:numFmt w:val="bullet"/>
      <w:lvlText w:val=""/>
      <w:lvlJc w:val="left"/>
      <w:pPr>
        <w:ind w:left="360" w:hanging="360"/>
      </w:pPr>
      <w:rPr>
        <w:rFonts w:ascii="Symbol" w:eastAsia="Symbol" w:hAnsi="Symbol" w:hint="default"/>
        <w:sz w:val="24"/>
      </w:rPr>
    </w:lvl>
    <w:lvl w:ilvl="1" w:tplc="9DF06E3E">
      <w:numFmt w:val="bullet"/>
      <w:lvlText w:val=""/>
      <w:lvlJc w:val="left"/>
      <w:pPr>
        <w:ind w:left="360" w:hanging="360"/>
      </w:pPr>
      <w:rPr>
        <w:rFonts w:ascii="Symbol" w:eastAsia="Symbol" w:hAnsi="Symbol" w:hint="default"/>
        <w:sz w:val="24"/>
      </w:rPr>
    </w:lvl>
    <w:lvl w:ilvl="2" w:tplc="D45A076C">
      <w:numFmt w:val="bullet"/>
      <w:lvlText w:val=""/>
      <w:lvlJc w:val="left"/>
      <w:pPr>
        <w:ind w:left="360" w:hanging="360"/>
      </w:pPr>
      <w:rPr>
        <w:rFonts w:ascii="Symbol" w:eastAsia="Symbol" w:hAnsi="Symbol" w:hint="default"/>
        <w:sz w:val="24"/>
      </w:rPr>
    </w:lvl>
    <w:lvl w:ilvl="3" w:tplc="06124E6E">
      <w:numFmt w:val="bullet"/>
      <w:lvlText w:val=""/>
      <w:lvlJc w:val="left"/>
      <w:pPr>
        <w:ind w:left="360" w:hanging="360"/>
      </w:pPr>
      <w:rPr>
        <w:rFonts w:ascii="Symbol" w:eastAsia="Symbol" w:hAnsi="Symbol" w:hint="default"/>
        <w:sz w:val="24"/>
      </w:rPr>
    </w:lvl>
    <w:lvl w:ilvl="4" w:tplc="3912DB3A">
      <w:numFmt w:val="bullet"/>
      <w:lvlText w:val=""/>
      <w:lvlJc w:val="left"/>
      <w:pPr>
        <w:ind w:left="360" w:hanging="360"/>
      </w:pPr>
      <w:rPr>
        <w:rFonts w:ascii="Symbol" w:eastAsia="Symbol" w:hAnsi="Symbol" w:hint="default"/>
        <w:sz w:val="24"/>
      </w:rPr>
    </w:lvl>
    <w:lvl w:ilvl="5" w:tplc="BB1CA720">
      <w:numFmt w:val="bullet"/>
      <w:lvlText w:val=""/>
      <w:lvlJc w:val="left"/>
      <w:pPr>
        <w:ind w:left="360" w:hanging="360"/>
      </w:pPr>
      <w:rPr>
        <w:rFonts w:ascii="Symbol" w:eastAsia="Symbol" w:hAnsi="Symbol" w:hint="default"/>
        <w:sz w:val="24"/>
      </w:rPr>
    </w:lvl>
    <w:lvl w:ilvl="6" w:tplc="0D584898">
      <w:numFmt w:val="bullet"/>
      <w:lvlText w:val=""/>
      <w:lvlJc w:val="left"/>
      <w:pPr>
        <w:ind w:left="360" w:hanging="360"/>
      </w:pPr>
      <w:rPr>
        <w:rFonts w:ascii="Symbol" w:eastAsia="Symbol" w:hAnsi="Symbol" w:hint="default"/>
        <w:sz w:val="24"/>
      </w:rPr>
    </w:lvl>
    <w:lvl w:ilvl="7" w:tplc="45843360">
      <w:numFmt w:val="bullet"/>
      <w:lvlText w:val=""/>
      <w:lvlJc w:val="left"/>
      <w:pPr>
        <w:ind w:left="360" w:hanging="360"/>
      </w:pPr>
      <w:rPr>
        <w:rFonts w:ascii="Symbol" w:eastAsia="Symbol" w:hAnsi="Symbol" w:hint="default"/>
        <w:sz w:val="24"/>
      </w:rPr>
    </w:lvl>
    <w:lvl w:ilvl="8" w:tplc="60BA42B2">
      <w:numFmt w:val="bullet"/>
      <w:lvlText w:val=""/>
      <w:lvlJc w:val="left"/>
      <w:pPr>
        <w:ind w:left="360" w:hanging="360"/>
      </w:pPr>
      <w:rPr>
        <w:rFonts w:ascii="Symbol" w:eastAsia="Symbol" w:hAnsi="Symbol" w:hint="default"/>
        <w:sz w:val="24"/>
      </w:rPr>
    </w:lvl>
  </w:abstractNum>
  <w:abstractNum w:abstractNumId="1">
    <w:nsid w:val="00000001"/>
    <w:multiLevelType w:val="hybridMultilevel"/>
    <w:tmpl w:val="57EC854A"/>
    <w:lvl w:ilvl="0" w:tplc="04090001">
      <w:start w:val="1"/>
      <w:numFmt w:val="bullet"/>
      <w:lvlText w:val=""/>
      <w:lvlJc w:val="left"/>
      <w:pPr>
        <w:ind w:left="720" w:hanging="360"/>
      </w:pPr>
      <w:rPr>
        <w:rFonts w:ascii="Symbol" w:hAnsi="Symbol" w:hint="default"/>
        <w:sz w:val="24"/>
      </w:rPr>
    </w:lvl>
    <w:lvl w:ilvl="1" w:tplc="4D2AC014">
      <w:numFmt w:val="bullet"/>
      <w:lvlText w:val=""/>
      <w:lvlJc w:val="left"/>
      <w:pPr>
        <w:ind w:left="720" w:hanging="360"/>
      </w:pPr>
      <w:rPr>
        <w:rFonts w:ascii="Symbol" w:eastAsia="Symbol" w:hAnsi="Symbol" w:hint="default"/>
        <w:sz w:val="24"/>
      </w:rPr>
    </w:lvl>
    <w:lvl w:ilvl="2" w:tplc="5FC4569C">
      <w:numFmt w:val="bullet"/>
      <w:lvlText w:val=""/>
      <w:lvlJc w:val="left"/>
      <w:pPr>
        <w:ind w:left="720" w:hanging="360"/>
      </w:pPr>
      <w:rPr>
        <w:rFonts w:ascii="Symbol" w:eastAsia="Symbol" w:hAnsi="Symbol" w:hint="default"/>
        <w:sz w:val="24"/>
      </w:rPr>
    </w:lvl>
    <w:lvl w:ilvl="3" w:tplc="F200815A">
      <w:numFmt w:val="bullet"/>
      <w:lvlText w:val=""/>
      <w:lvlJc w:val="left"/>
      <w:pPr>
        <w:ind w:left="720" w:hanging="360"/>
      </w:pPr>
      <w:rPr>
        <w:rFonts w:ascii="Symbol" w:eastAsia="Symbol" w:hAnsi="Symbol" w:hint="default"/>
        <w:sz w:val="24"/>
      </w:rPr>
    </w:lvl>
    <w:lvl w:ilvl="4" w:tplc="C78A7F56">
      <w:numFmt w:val="bullet"/>
      <w:lvlText w:val=""/>
      <w:lvlJc w:val="left"/>
      <w:pPr>
        <w:ind w:left="720" w:hanging="360"/>
      </w:pPr>
      <w:rPr>
        <w:rFonts w:ascii="Symbol" w:eastAsia="Symbol" w:hAnsi="Symbol" w:hint="default"/>
        <w:sz w:val="24"/>
      </w:rPr>
    </w:lvl>
    <w:lvl w:ilvl="5" w:tplc="7C58CBAE">
      <w:numFmt w:val="bullet"/>
      <w:lvlText w:val=""/>
      <w:lvlJc w:val="left"/>
      <w:pPr>
        <w:ind w:left="720" w:hanging="360"/>
      </w:pPr>
      <w:rPr>
        <w:rFonts w:ascii="Symbol" w:eastAsia="Symbol" w:hAnsi="Symbol" w:hint="default"/>
        <w:sz w:val="24"/>
      </w:rPr>
    </w:lvl>
    <w:lvl w:ilvl="6" w:tplc="5484D700">
      <w:numFmt w:val="bullet"/>
      <w:lvlText w:val=""/>
      <w:lvlJc w:val="left"/>
      <w:pPr>
        <w:ind w:left="720" w:hanging="360"/>
      </w:pPr>
      <w:rPr>
        <w:rFonts w:ascii="Symbol" w:eastAsia="Symbol" w:hAnsi="Symbol" w:hint="default"/>
        <w:sz w:val="24"/>
      </w:rPr>
    </w:lvl>
    <w:lvl w:ilvl="7" w:tplc="91D0846C">
      <w:numFmt w:val="bullet"/>
      <w:lvlText w:val=""/>
      <w:lvlJc w:val="left"/>
      <w:pPr>
        <w:ind w:left="720" w:hanging="360"/>
      </w:pPr>
      <w:rPr>
        <w:rFonts w:ascii="Symbol" w:eastAsia="Symbol" w:hAnsi="Symbol" w:hint="default"/>
        <w:sz w:val="24"/>
      </w:rPr>
    </w:lvl>
    <w:lvl w:ilvl="8" w:tplc="965002C4">
      <w:numFmt w:val="bullet"/>
      <w:lvlText w:val=""/>
      <w:lvlJc w:val="left"/>
      <w:pPr>
        <w:ind w:left="720" w:hanging="360"/>
      </w:pPr>
      <w:rPr>
        <w:rFonts w:ascii="Symbol" w:eastAsia="Symbol" w:hAnsi="Symbol" w:hint="default"/>
        <w:sz w:val="24"/>
      </w:rPr>
    </w:lvl>
  </w:abstractNum>
  <w:abstractNum w:abstractNumId="2">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B706CDF"/>
    <w:multiLevelType w:val="hybridMultilevel"/>
    <w:tmpl w:val="B6C050AE"/>
    <w:lvl w:ilvl="0" w:tplc="F8940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FD12AE"/>
    <w:multiLevelType w:val="hybridMultilevel"/>
    <w:tmpl w:val="59E415DA"/>
    <w:lvl w:ilvl="0" w:tplc="0CFEA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FD3690"/>
    <w:multiLevelType w:val="hybridMultilevel"/>
    <w:tmpl w:val="E844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307AA"/>
    <w:multiLevelType w:val="hybridMultilevel"/>
    <w:tmpl w:val="E946DC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857414"/>
    <w:multiLevelType w:val="hybridMultilevel"/>
    <w:tmpl w:val="D044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81B07"/>
    <w:multiLevelType w:val="hybridMultilevel"/>
    <w:tmpl w:val="0BA4E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8207E"/>
    <w:multiLevelType w:val="hybridMultilevel"/>
    <w:tmpl w:val="D3C49518"/>
    <w:lvl w:ilvl="0" w:tplc="37C4BBA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6D8726B"/>
    <w:multiLevelType w:val="hybridMultilevel"/>
    <w:tmpl w:val="6FAE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E410C0"/>
    <w:multiLevelType w:val="hybridMultilevel"/>
    <w:tmpl w:val="8366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26274"/>
    <w:multiLevelType w:val="hybridMultilevel"/>
    <w:tmpl w:val="964C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8802B9"/>
    <w:multiLevelType w:val="hybridMultilevel"/>
    <w:tmpl w:val="B738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8734B"/>
    <w:multiLevelType w:val="hybridMultilevel"/>
    <w:tmpl w:val="A0324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C94043"/>
    <w:multiLevelType w:val="hybridMultilevel"/>
    <w:tmpl w:val="07BC3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E66F33"/>
    <w:multiLevelType w:val="hybridMultilevel"/>
    <w:tmpl w:val="8C32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D9692C"/>
    <w:multiLevelType w:val="hybridMultilevel"/>
    <w:tmpl w:val="9B42D45A"/>
    <w:lvl w:ilvl="0" w:tplc="78107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4D7E9B"/>
    <w:multiLevelType w:val="hybridMultilevel"/>
    <w:tmpl w:val="A5AA0C24"/>
    <w:lvl w:ilvl="0" w:tplc="F62ED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112FEE"/>
    <w:multiLevelType w:val="hybridMultilevel"/>
    <w:tmpl w:val="9936218E"/>
    <w:lvl w:ilvl="0" w:tplc="0409000F">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0">
    <w:nsid w:val="6F8215CA"/>
    <w:multiLevelType w:val="hybridMultilevel"/>
    <w:tmpl w:val="43F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8E4DF1"/>
    <w:multiLevelType w:val="hybridMultilevel"/>
    <w:tmpl w:val="13EC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B753C8"/>
    <w:multiLevelType w:val="hybridMultilevel"/>
    <w:tmpl w:val="DDE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7"/>
  </w:num>
  <w:num w:numId="5">
    <w:abstractNumId w:val="13"/>
  </w:num>
  <w:num w:numId="6">
    <w:abstractNumId w:val="6"/>
  </w:num>
  <w:num w:numId="7">
    <w:abstractNumId w:val="2"/>
  </w:num>
  <w:num w:numId="8">
    <w:abstractNumId w:val="24"/>
    <w:lvlOverride w:ilvl="0"/>
    <w:lvlOverride w:ilvl="1"/>
    <w:lvlOverride w:ilvl="2"/>
    <w:lvlOverride w:ilvl="3"/>
    <w:lvlOverride w:ilvl="4"/>
    <w:lvlOverride w:ilvl="5"/>
    <w:lvlOverride w:ilvl="6"/>
    <w:lvlOverride w:ilvl="7"/>
    <w:lvlOverride w:ilvl="8"/>
  </w:num>
  <w:num w:numId="9">
    <w:abstractNumId w:val="4"/>
  </w:num>
  <w:num w:numId="10">
    <w:abstractNumId w:val="0"/>
  </w:num>
  <w:num w:numId="11">
    <w:abstractNumId w:val="1"/>
  </w:num>
  <w:num w:numId="12">
    <w:abstractNumId w:val="21"/>
  </w:num>
  <w:num w:numId="13">
    <w:abstractNumId w:val="23"/>
  </w:num>
  <w:num w:numId="14">
    <w:abstractNumId w:val="18"/>
  </w:num>
  <w:num w:numId="15">
    <w:abstractNumId w:val="14"/>
  </w:num>
  <w:num w:numId="16">
    <w:abstractNumId w:val="16"/>
  </w:num>
  <w:num w:numId="17">
    <w:abstractNumId w:val="10"/>
  </w:num>
  <w:num w:numId="18">
    <w:abstractNumId w:val="11"/>
  </w:num>
  <w:num w:numId="19">
    <w:abstractNumId w:val="22"/>
  </w:num>
  <w:num w:numId="20">
    <w:abstractNumId w:val="7"/>
  </w:num>
  <w:num w:numId="21">
    <w:abstractNumId w:val="5"/>
  </w:num>
  <w:num w:numId="22">
    <w:abstractNumId w:val="8"/>
  </w:num>
  <w:num w:numId="23">
    <w:abstractNumId w:val="12"/>
  </w:num>
  <w:num w:numId="24">
    <w:abstractNumId w:val="20"/>
  </w:num>
  <w:num w:numId="25">
    <w:abstractNumId w:val="1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84"/>
    <w:rsid w:val="002339A3"/>
    <w:rsid w:val="002B49F7"/>
    <w:rsid w:val="002E5546"/>
    <w:rsid w:val="009C7884"/>
    <w:rsid w:val="00C01325"/>
    <w:rsid w:val="00E5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2013-10-01T21:54:00Z</dcterms:created>
  <dcterms:modified xsi:type="dcterms:W3CDTF">2013-10-01T21:54:00Z</dcterms:modified>
</cp:coreProperties>
</file>