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56" w:rsidRPr="00094DAD" w:rsidRDefault="003C5A99" w:rsidP="00094DAD">
      <w:pPr>
        <w:pStyle w:val="Style"/>
        <w:shd w:val="clear" w:color="auto" w:fill="FFFFFF"/>
        <w:spacing w:after="120"/>
        <w:ind w:left="475" w:right="360" w:hanging="475"/>
        <w:rPr>
          <w:rFonts w:ascii="Times New Roman" w:hAnsi="Times New Roman" w:cs="Times New Roman"/>
          <w:sz w:val="28"/>
          <w:szCs w:val="28"/>
        </w:rPr>
      </w:pPr>
      <w:r w:rsidRPr="00094DAD">
        <w:rPr>
          <w:rFonts w:ascii="Times New Roman" w:hAnsi="Times New Roman" w:cs="Times New Roman"/>
          <w:sz w:val="28"/>
          <w:szCs w:val="28"/>
        </w:rPr>
        <w:t>3.</w:t>
      </w:r>
      <w:r w:rsidR="00AF286E"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  <w:r w:rsidRPr="00094DAD">
        <w:rPr>
          <w:rFonts w:ascii="Times New Roman" w:hAnsi="Times New Roman" w:cs="Times New Roman"/>
          <w:sz w:val="28"/>
          <w:szCs w:val="28"/>
        </w:rPr>
        <w:t xml:space="preserve"> </w:t>
      </w:r>
      <w:r w:rsidRPr="00094DAD">
        <w:rPr>
          <w:rFonts w:ascii="Times New Roman" w:hAnsi="Times New Roman" w:cs="Times New Roman"/>
          <w:b/>
          <w:sz w:val="28"/>
          <w:szCs w:val="28"/>
        </w:rPr>
        <w:t>General Audit Procedures and Financial Statement Assertions</w:t>
      </w:r>
      <w:r w:rsidRPr="00094DAD">
        <w:rPr>
          <w:rFonts w:ascii="Times New Roman" w:hAnsi="Times New Roman" w:cs="Times New Roman"/>
          <w:sz w:val="28"/>
          <w:szCs w:val="28"/>
        </w:rPr>
        <w:t xml:space="preserve">. </w:t>
      </w:r>
      <w:r w:rsidR="009A5256" w:rsidRPr="00094DAD">
        <w:rPr>
          <w:rFonts w:ascii="Times New Roman" w:hAnsi="Times New Roman" w:cs="Times New Roman"/>
          <w:sz w:val="28"/>
          <w:szCs w:val="28"/>
        </w:rPr>
        <w:br/>
      </w:r>
      <w:r w:rsidR="009A5256" w:rsidRPr="00094DAD">
        <w:rPr>
          <w:rFonts w:ascii="Times New Roman" w:hAnsi="Times New Roman" w:cs="Times New Roman"/>
          <w:sz w:val="28"/>
          <w:szCs w:val="28"/>
        </w:rPr>
        <w:br/>
      </w:r>
      <w:r w:rsidRPr="00094DAD">
        <w:rPr>
          <w:rFonts w:ascii="Times New Roman" w:hAnsi="Times New Roman" w:cs="Times New Roman"/>
          <w:sz w:val="28"/>
          <w:szCs w:val="28"/>
        </w:rPr>
        <w:t xml:space="preserve">The eight general audit procedures produce evidence about the principal management assertions in financial statements. However, some procedures are useful for producing evidence about certain </w:t>
      </w:r>
      <w:r w:rsidR="009A5256" w:rsidRPr="00094DAD">
        <w:rPr>
          <w:rFonts w:ascii="Times New Roman" w:hAnsi="Times New Roman" w:cs="Times New Roman"/>
          <w:sz w:val="28"/>
          <w:szCs w:val="28"/>
        </w:rPr>
        <w:t xml:space="preserve">assertions while other procedures are useful for producing evidence about other assertions. The assertion being audited can influence the auditors' choice of procedures. </w:t>
      </w:r>
    </w:p>
    <w:p w:rsidR="009A5256" w:rsidRPr="00094DAD" w:rsidRDefault="009A5256" w:rsidP="009A5256">
      <w:pPr>
        <w:pStyle w:val="Style"/>
        <w:shd w:val="clear" w:color="auto" w:fill="FFFFFF"/>
        <w:spacing w:before="120" w:after="120"/>
        <w:ind w:left="9"/>
        <w:rPr>
          <w:rFonts w:ascii="Times New Roman" w:hAnsi="Times New Roman" w:cs="Times New Roman"/>
          <w:sz w:val="28"/>
          <w:szCs w:val="28"/>
        </w:rPr>
      </w:pPr>
      <w:r w:rsidRPr="00094DAD">
        <w:rPr>
          <w:rFonts w:ascii="Times New Roman" w:hAnsi="Times New Roman" w:cs="Times New Roman"/>
          <w:b/>
          <w:sz w:val="28"/>
          <w:szCs w:val="28"/>
        </w:rPr>
        <w:t>Required</w:t>
      </w:r>
      <w:r w:rsidRPr="00094D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5256" w:rsidRPr="00094DAD" w:rsidRDefault="009A5256" w:rsidP="009A5256">
      <w:pPr>
        <w:pStyle w:val="Style"/>
        <w:shd w:val="clear" w:color="auto" w:fill="FFFFFF"/>
        <w:spacing w:before="120" w:after="120"/>
        <w:ind w:left="475" w:right="52"/>
        <w:rPr>
          <w:rFonts w:ascii="Times New Roman" w:hAnsi="Times New Roman" w:cs="Times New Roman"/>
          <w:sz w:val="28"/>
          <w:szCs w:val="28"/>
        </w:rPr>
      </w:pPr>
      <w:r w:rsidRPr="00094DAD">
        <w:rPr>
          <w:rFonts w:ascii="Times New Roman" w:hAnsi="Times New Roman" w:cs="Times New Roman"/>
          <w:sz w:val="28"/>
          <w:szCs w:val="28"/>
        </w:rPr>
        <w:t xml:space="preserve">Opposite each general audit procedure, write the management assertions most usefully audited by using each procedure. </w:t>
      </w:r>
    </w:p>
    <w:tbl>
      <w:tblPr>
        <w:tblW w:w="9422" w:type="dxa"/>
        <w:tblInd w:w="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4140"/>
        <w:gridCol w:w="2520"/>
        <w:gridCol w:w="2430"/>
      </w:tblGrid>
      <w:tr w:rsidR="009A5256" w:rsidRPr="00094DAD" w:rsidTr="00094DAD">
        <w:trPr>
          <w:trHeight w:val="562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Audit Procedures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PCAOB Assertions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ASB Assertions </w:t>
            </w: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Inspection of records or documents (vouching)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Inspection of records or documents (tracing)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Inspection of records or documents (scanning)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Inspection of tangible assets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e.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Observation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f.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Confirmation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g.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Inquiry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h.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Recalculation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Reperformance</w:t>
            </w:r>
            <w:proofErr w:type="spellEnd"/>
            <w:r w:rsidRPr="00094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56" w:rsidRPr="00094DAD" w:rsidTr="00094DAD">
        <w:trPr>
          <w:trHeight w:val="56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256" w:rsidRPr="00094DAD" w:rsidRDefault="009A5256" w:rsidP="00094DAD">
            <w:pPr>
              <w:pStyle w:val="Style"/>
              <w:spacing w:before="180" w:after="18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j.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094DAD">
              <w:rPr>
                <w:rFonts w:ascii="Times New Roman" w:hAnsi="Times New Roman" w:cs="Times New Roman"/>
                <w:sz w:val="28"/>
                <w:szCs w:val="28"/>
              </w:rPr>
              <w:t>Analytical procedures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6" w:rsidRPr="00094DAD" w:rsidRDefault="009A5256" w:rsidP="009A5256">
            <w:pPr>
              <w:pStyle w:val="Style"/>
              <w:spacing w:before="180"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307" w:rsidRPr="00094DAD" w:rsidRDefault="005A1307" w:rsidP="00094DA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A1307" w:rsidRPr="00094DAD" w:rsidSect="009A5256">
      <w:pgSz w:w="12241" w:h="15842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99"/>
    <w:rsid w:val="00094DAD"/>
    <w:rsid w:val="003C5A99"/>
    <w:rsid w:val="005A1307"/>
    <w:rsid w:val="009A5256"/>
    <w:rsid w:val="00A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C5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C5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G</dc:creator>
  <cp:lastModifiedBy>Uncle G</cp:lastModifiedBy>
  <cp:revision>2</cp:revision>
  <dcterms:created xsi:type="dcterms:W3CDTF">2014-02-02T20:10:00Z</dcterms:created>
  <dcterms:modified xsi:type="dcterms:W3CDTF">2015-01-28T17:51:00Z</dcterms:modified>
</cp:coreProperties>
</file>