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249" w:rsidRDefault="00A4738C" w:rsidP="001C5249">
      <w:pPr>
        <w:ind w:left="360"/>
      </w:pPr>
      <w:r w:rsidRPr="001C5249">
        <w:t>The design of a new product is expected to</w:t>
      </w:r>
      <w:r w:rsidR="001C5249">
        <w:t xml:space="preserve"> take 2 years, at a cost of $10M</w:t>
      </w:r>
      <w:r w:rsidRPr="001C5249">
        <w:t>/year.</w:t>
      </w:r>
      <w:r w:rsidR="001C5249">
        <w:t xml:space="preserve"> There will be two cash outflows, each for $10m at </w:t>
      </w:r>
      <w:proofErr w:type="gramStart"/>
      <w:r w:rsidR="001C5249">
        <w:t>the  end</w:t>
      </w:r>
      <w:proofErr w:type="gramEnd"/>
      <w:r w:rsidR="001C5249">
        <w:t xml:space="preserve"> of year 1 and year 2. </w:t>
      </w:r>
      <w:r w:rsidRPr="001C5249">
        <w:t xml:space="preserve"> </w:t>
      </w:r>
    </w:p>
    <w:p w:rsidR="0068010E" w:rsidRPr="001C5249" w:rsidRDefault="00A4738C" w:rsidP="001C5249">
      <w:pPr>
        <w:ind w:left="360"/>
      </w:pPr>
      <w:r w:rsidRPr="001C5249">
        <w:t>There is a 0.7 probability that the product will be technically feasible</w:t>
      </w:r>
      <w:r w:rsidR="001C5249">
        <w:t xml:space="preserve">. </w:t>
      </w:r>
      <w:r w:rsidRPr="001C5249">
        <w:t xml:space="preserve">If feasible, the product can be launched at </w:t>
      </w:r>
      <w:r w:rsidR="001C5249">
        <w:t>year three. The investment is completed at the end of this year</w:t>
      </w:r>
      <w:r w:rsidR="001C5249" w:rsidRPr="001C5249">
        <w:t xml:space="preserve"> with an estimated cost of </w:t>
      </w:r>
      <w:r w:rsidR="005F13EC">
        <w:t>$8.57M</w:t>
      </w:r>
      <w:proofErr w:type="gramStart"/>
      <w:r w:rsidR="001C5249">
        <w:t>;  cash</w:t>
      </w:r>
      <w:proofErr w:type="gramEnd"/>
      <w:r w:rsidR="001C5249">
        <w:t xml:space="preserve"> outflow at the end of year </w:t>
      </w:r>
      <w:r w:rsidRPr="001C5249">
        <w:t xml:space="preserve"> 3</w:t>
      </w:r>
      <w:r w:rsidR="00065C8B">
        <w:t xml:space="preserve"> is $8.57</w:t>
      </w:r>
      <w:r w:rsidR="001C5249">
        <w:t>M.</w:t>
      </w:r>
      <w:r w:rsidRPr="001C5249">
        <w:t xml:space="preserve"> </w:t>
      </w:r>
    </w:p>
    <w:p w:rsidR="0068010E" w:rsidRDefault="00A4738C" w:rsidP="001C5249">
      <w:pPr>
        <w:ind w:left="360"/>
      </w:pPr>
      <w:r w:rsidRPr="001C5249">
        <w:t>If launched, the product will be a commercial success with probability 0.75, earning net cash inflow of $50</w:t>
      </w:r>
      <w:r w:rsidR="005F13EC">
        <w:t>M</w:t>
      </w:r>
      <w:r w:rsidRPr="001C5249">
        <w:t>/year for 2 years</w:t>
      </w:r>
      <w:r w:rsidR="001C5249">
        <w:t xml:space="preserve"> at the end of years 4 and 5.</w:t>
      </w:r>
      <w:r w:rsidRPr="001C5249">
        <w:t xml:space="preserve">If it is a commercial failure, then the net cash inflow </w:t>
      </w:r>
      <w:r w:rsidR="001C5249">
        <w:t>is only $6M per year at the end of years 4 and 5.</w:t>
      </w:r>
    </w:p>
    <w:p w:rsidR="001C5249" w:rsidRDefault="001C5249" w:rsidP="001C5249">
      <w:pPr>
        <w:ind w:left="360"/>
      </w:pPr>
      <w:r>
        <w:t>Graphical representation is shown below</w:t>
      </w:r>
    </w:p>
    <w:p w:rsidR="00F37F3F" w:rsidRDefault="00F37F3F" w:rsidP="001C5249">
      <w:pPr>
        <w:ind w:left="360"/>
      </w:pPr>
      <w:r w:rsidRPr="00F37F3F">
        <w:rPr>
          <w:noProof/>
        </w:rPr>
        <w:drawing>
          <wp:inline distT="0" distB="0" distL="0" distR="0">
            <wp:extent cx="5943600" cy="2245360"/>
            <wp:effectExtent l="19050" t="0" r="0" b="0"/>
            <wp:docPr id="3" name="Object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839200" cy="3338513"/>
                      <a:chOff x="76200" y="1371600"/>
                      <a:chExt cx="8839200" cy="3338513"/>
                    </a:xfrm>
                  </a:grpSpPr>
                  <a:sp>
                    <a:nvSpPr>
                      <a:cNvPr id="11" name="Rectangle 8"/>
                      <a:cNvSpPr>
                        <a:spLocks noChangeArrowheads="1"/>
                      </a:cNvSpPr>
                    </a:nvSpPr>
                    <a:spPr bwMode="auto">
                      <a:xfrm>
                        <a:off x="76200" y="1371600"/>
                        <a:ext cx="8839200" cy="32766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 w="285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eaLnBrk="0" hangingPunct="0">
                            <a:spcBef>
                              <a:spcPct val="50000"/>
                            </a:spcBef>
                            <a:defRPr/>
                          </a:pPr>
                          <a:r>
                            <a:rPr lang="en-US" sz="2000" b="1" dirty="0">
                              <a:solidFill>
                                <a:schemeClr val="tx2"/>
                              </a:solidFill>
                              <a:latin typeface="Times New Roman" pitchFamily="18" charset="0"/>
                            </a:rPr>
                            <a:t>Discount rate =</a:t>
                          </a:r>
                          <a:r>
                            <a:rPr lang="en-US" sz="2000" b="1" dirty="0" smtClean="0">
                              <a:solidFill>
                                <a:schemeClr val="tx2"/>
                              </a:solidFill>
                              <a:latin typeface="Times New Roman" pitchFamily="18" charset="0"/>
                            </a:rPr>
                            <a:t>15%</a:t>
                          </a:r>
                          <a:endParaRPr lang="en-US" sz="2000" b="1" dirty="0">
                            <a:solidFill>
                              <a:schemeClr val="tx2"/>
                            </a:solidFill>
                            <a:latin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3318" name="Line 9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1687513" y="2816225"/>
                        <a:ext cx="584200" cy="404813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13319" name="Oval 10"/>
                      <a:cNvSpPr>
                        <a:spLocks noChangeArrowheads="1"/>
                      </a:cNvSpPr>
                    </a:nvSpPr>
                    <a:spPr bwMode="auto">
                      <a:xfrm>
                        <a:off x="381000" y="2830513"/>
                        <a:ext cx="1319213" cy="963612"/>
                      </a:xfrm>
                      <a:prstGeom prst="ellipse">
                        <a:avLst/>
                      </a:prstGeom>
                      <a:solidFill>
                        <a:srgbClr val="FFFF99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eaLnBrk="0" hangingPunct="0"/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13320" name="Text Box 11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04800" y="2895600"/>
                        <a:ext cx="1524000" cy="838200"/>
                      </a:xfrm>
                      <a:prstGeom prst="rect">
                        <a:avLst/>
                      </a:prstGeom>
                      <a:solidFill>
                        <a:srgbClr val="FFFF99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eaLnBrk="0" hangingPunct="0"/>
                          <a:r>
                            <a:rPr lang="en-US" sz="1400" b="1">
                              <a:solidFill>
                                <a:srgbClr val="003399"/>
                              </a:solidFill>
                              <a:latin typeface="Times" pitchFamily="1" charset="0"/>
                            </a:rPr>
                            <a:t>Research &amp; Product Development</a:t>
                          </a:r>
                          <a:endParaRPr lang="en-US" sz="1400" b="1">
                            <a:latin typeface="Times" pitchFamily="1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3321" name="Line 12"/>
                      <a:cNvSpPr>
                        <a:spLocks noChangeShapeType="1"/>
                      </a:cNvSpPr>
                    </a:nvSpPr>
                    <a:spPr bwMode="auto">
                      <a:xfrm>
                        <a:off x="1687513" y="3522663"/>
                        <a:ext cx="584200" cy="4032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13322" name="Text Box 13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286000" y="2614613"/>
                        <a:ext cx="1555750" cy="493712"/>
                      </a:xfrm>
                      <a:prstGeom prst="rect">
                        <a:avLst/>
                      </a:prstGeom>
                      <a:solidFill>
                        <a:srgbClr val="99CC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eaLnBrk="0" hangingPunct="0"/>
                          <a:r>
                            <a:rPr lang="en-US" sz="1500" b="1">
                              <a:solidFill>
                                <a:srgbClr val="003399"/>
                              </a:solidFill>
                            </a:rPr>
                            <a:t>Development Succeeds</a:t>
                          </a:r>
                          <a:endParaRPr lang="en-US" sz="1500" b="1"/>
                        </a:p>
                      </a:txBody>
                      <a:useSpRect/>
                    </a:txSp>
                  </a:sp>
                  <a:sp>
                    <a:nvSpPr>
                      <a:cNvPr id="13323" name="Text Box 1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209800" y="2209800"/>
                        <a:ext cx="1676400" cy="304800"/>
                      </a:xfrm>
                      <a:prstGeom prst="rect">
                        <a:avLst/>
                      </a:prstGeom>
                      <a:solidFill>
                        <a:srgbClr val="C0C0C0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eaLnBrk="0" hangingPunct="0"/>
                          <a:r>
                            <a:rPr lang="en-US" sz="1500" b="1">
                              <a:solidFill>
                                <a:srgbClr val="660033"/>
                              </a:solidFill>
                              <a:latin typeface="Times" pitchFamily="1" charset="0"/>
                            </a:rPr>
                            <a:t>Probability = 0.7</a:t>
                          </a:r>
                          <a:endParaRPr lang="en-US" sz="1500" b="1">
                            <a:latin typeface="Times" pitchFamily="1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3324" name="Text Box 15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271713" y="3825875"/>
                        <a:ext cx="1538287" cy="501650"/>
                      </a:xfrm>
                      <a:prstGeom prst="rect">
                        <a:avLst/>
                      </a:prstGeom>
                      <a:solidFill>
                        <a:srgbClr val="99CC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eaLnBrk="0" hangingPunct="0"/>
                          <a:r>
                            <a:rPr lang="en-US" sz="1500" b="1">
                              <a:solidFill>
                                <a:srgbClr val="003399"/>
                              </a:solidFill>
                            </a:rPr>
                            <a:t>Development Fails</a:t>
                          </a:r>
                          <a:endParaRPr lang="en-US" sz="1500" b="1"/>
                        </a:p>
                      </a:txBody>
                      <a:useSpRect/>
                    </a:txSp>
                  </a:sp>
                  <a:sp>
                    <a:nvSpPr>
                      <a:cNvPr id="13325" name="Text Box 16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209800" y="3489325"/>
                        <a:ext cx="1766888" cy="271463"/>
                      </a:xfrm>
                      <a:prstGeom prst="rect">
                        <a:avLst/>
                      </a:prstGeom>
                      <a:solidFill>
                        <a:srgbClr val="C0C0C0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eaLnBrk="0" hangingPunct="0"/>
                          <a:r>
                            <a:rPr lang="en-US" sz="1500" b="1">
                              <a:solidFill>
                                <a:srgbClr val="660033"/>
                              </a:solidFill>
                              <a:latin typeface="Times" pitchFamily="1" charset="0"/>
                            </a:rPr>
                            <a:t>Probability = 0.3</a:t>
                          </a:r>
                          <a:endParaRPr lang="en-US" sz="1500" b="1">
                            <a:latin typeface="Times" pitchFamily="1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3326" name="Oval 17"/>
                      <a:cNvSpPr>
                        <a:spLocks noChangeArrowheads="1"/>
                      </a:cNvSpPr>
                    </a:nvSpPr>
                    <a:spPr bwMode="auto">
                      <a:xfrm>
                        <a:off x="4216400" y="2312988"/>
                        <a:ext cx="1346200" cy="857250"/>
                      </a:xfrm>
                      <a:prstGeom prst="ellipse">
                        <a:avLst/>
                      </a:prstGeom>
                      <a:solidFill>
                        <a:srgbClr val="FFFF99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eaLnBrk="0" hangingPunct="0"/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13327" name="Text Box 18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267200" y="2498725"/>
                        <a:ext cx="1295400" cy="701675"/>
                      </a:xfrm>
                      <a:prstGeom prst="rect">
                        <a:avLst/>
                      </a:prstGeom>
                      <a:solidFill>
                        <a:srgbClr val="FFFF99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eaLnBrk="0" hangingPunct="0"/>
                          <a:r>
                            <a:rPr lang="en-US" sz="1500" b="1">
                              <a:solidFill>
                                <a:schemeClr val="tx2"/>
                              </a:solidFill>
                            </a:rPr>
                            <a:t>Launch New Product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3328" name="Line 19"/>
                      <a:cNvSpPr>
                        <a:spLocks noChangeShapeType="1"/>
                      </a:cNvSpPr>
                    </a:nvSpPr>
                    <a:spPr bwMode="auto">
                      <a:xfrm>
                        <a:off x="3827463" y="2716213"/>
                        <a:ext cx="388937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13329" name="Text Box 58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038600" y="1676400"/>
                        <a:ext cx="1828800" cy="646113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eaLnBrk="0" hangingPunct="0">
                            <a:spcBef>
                              <a:spcPct val="50000"/>
                            </a:spcBef>
                          </a:pPr>
                          <a:r>
                            <a:rPr lang="en-US" sz="1800" b="1" dirty="0">
                              <a:solidFill>
                                <a:schemeClr val="tx2"/>
                              </a:solidFill>
                            </a:rPr>
                            <a:t>One-time cost of </a:t>
                          </a:r>
                          <a:r>
                            <a:rPr lang="en-US" sz="1800" b="1" dirty="0" smtClean="0">
                              <a:solidFill>
                                <a:schemeClr val="tx2"/>
                              </a:solidFill>
                            </a:rPr>
                            <a:t>$8.57M</a:t>
                          </a:r>
                          <a:endParaRPr lang="en-US" sz="1800" b="1" dirty="0">
                            <a:solidFill>
                              <a:schemeClr val="tx2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3330" name="Text Box 6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81000" y="2438400"/>
                        <a:ext cx="1295400" cy="366713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eaLnBrk="0" hangingPunct="0">
                            <a:spcBef>
                              <a:spcPct val="50000"/>
                            </a:spcBef>
                          </a:pPr>
                          <a:r>
                            <a:rPr lang="en-US" sz="1800" b="1">
                              <a:solidFill>
                                <a:schemeClr val="tx2"/>
                              </a:solidFill>
                            </a:rPr>
                            <a:t>2 Years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3331" name="Text Box 63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6172200" y="1371600"/>
                        <a:ext cx="1295400" cy="366713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eaLnBrk="0" hangingPunct="0">
                            <a:spcBef>
                              <a:spcPct val="50000"/>
                            </a:spcBef>
                          </a:pPr>
                          <a:r>
                            <a:rPr lang="en-US" sz="1800" b="1">
                              <a:solidFill>
                                <a:schemeClr val="tx2"/>
                              </a:solidFill>
                            </a:rPr>
                            <a:t>2 Years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3332" name="Line 64"/>
                      <a:cNvSpPr>
                        <a:spLocks noChangeShapeType="1"/>
                      </a:cNvSpPr>
                    </a:nvSpPr>
                    <a:spPr bwMode="auto">
                      <a:xfrm>
                        <a:off x="3810000" y="4038600"/>
                        <a:ext cx="388938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13333" name="Oval 68"/>
                      <a:cNvSpPr>
                        <a:spLocks noChangeArrowheads="1"/>
                      </a:cNvSpPr>
                    </a:nvSpPr>
                    <a:spPr bwMode="auto">
                      <a:xfrm>
                        <a:off x="4191000" y="3581400"/>
                        <a:ext cx="1346200" cy="857250"/>
                      </a:xfrm>
                      <a:prstGeom prst="ellipse">
                        <a:avLst/>
                      </a:prstGeom>
                      <a:solidFill>
                        <a:srgbClr val="FFFF99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eaLnBrk="0" hangingPunct="0"/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13334" name="Text Box 69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191000" y="3717925"/>
                        <a:ext cx="1295400" cy="701675"/>
                      </a:xfrm>
                      <a:prstGeom prst="rect">
                        <a:avLst/>
                      </a:prstGeom>
                      <a:solidFill>
                        <a:srgbClr val="FFFF99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eaLnBrk="0" hangingPunct="0"/>
                          <a:r>
                            <a:rPr lang="en-US" sz="1500" b="1">
                              <a:solidFill>
                                <a:schemeClr val="tx2"/>
                              </a:solidFill>
                            </a:rPr>
                            <a:t>Drop Product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3335" name="Text Box 7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81000" y="3810000"/>
                        <a:ext cx="1295400" cy="646113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eaLnBrk="0" hangingPunct="0">
                            <a:spcBef>
                              <a:spcPct val="50000"/>
                            </a:spcBef>
                          </a:pPr>
                          <a:r>
                            <a:rPr lang="en-US" sz="1800" b="1">
                              <a:solidFill>
                                <a:schemeClr val="tx2"/>
                              </a:solidFill>
                            </a:rPr>
                            <a:t>Cost: $10M/yr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3336" name="Line 73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5562600" y="2209800"/>
                        <a:ext cx="457200" cy="3810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13337" name="Line 74"/>
                      <a:cNvSpPr>
                        <a:spLocks noChangeShapeType="1"/>
                      </a:cNvSpPr>
                    </a:nvSpPr>
                    <a:spPr bwMode="auto">
                      <a:xfrm>
                        <a:off x="5562600" y="2895600"/>
                        <a:ext cx="457200" cy="3810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13338" name="Text Box 75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6019800" y="1752600"/>
                        <a:ext cx="1981200" cy="533400"/>
                      </a:xfrm>
                      <a:prstGeom prst="rect">
                        <a:avLst/>
                      </a:prstGeom>
                      <a:solidFill>
                        <a:srgbClr val="99CC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eaLnBrk="0" hangingPunct="0"/>
                          <a:r>
                            <a:rPr lang="en-US" sz="1500" b="1">
                              <a:solidFill>
                                <a:srgbClr val="003399"/>
                              </a:solidFill>
                            </a:rPr>
                            <a:t>Commercial Success </a:t>
                          </a:r>
                        </a:p>
                        <a:p>
                          <a:pPr algn="ctr" eaLnBrk="0" hangingPunct="0"/>
                          <a:r>
                            <a:rPr lang="en-US" sz="1500" b="1">
                              <a:solidFill>
                                <a:srgbClr val="003399"/>
                              </a:solidFill>
                            </a:rPr>
                            <a:t>Rev.= 50M/yr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3339" name="Text Box 76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6096000" y="2362200"/>
                        <a:ext cx="2133600" cy="381000"/>
                      </a:xfrm>
                      <a:prstGeom prst="rect">
                        <a:avLst/>
                      </a:prstGeom>
                      <a:solidFill>
                        <a:srgbClr val="C0C0C0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eaLnBrk="0" hangingPunct="0"/>
                          <a:r>
                            <a:rPr lang="en-US" sz="1500" b="1" dirty="0">
                              <a:solidFill>
                                <a:srgbClr val="660033"/>
                              </a:solidFill>
                              <a:latin typeface="Times" pitchFamily="1" charset="0"/>
                            </a:rPr>
                            <a:t>Probability = </a:t>
                          </a:r>
                          <a:r>
                            <a:rPr lang="en-US" sz="1500" b="1" dirty="0" smtClean="0">
                              <a:solidFill>
                                <a:srgbClr val="660033"/>
                              </a:solidFill>
                              <a:latin typeface="Times" pitchFamily="1" charset="0"/>
                            </a:rPr>
                            <a:t>0.75</a:t>
                          </a:r>
                          <a:endParaRPr lang="en-US" sz="1500" b="1" dirty="0">
                            <a:latin typeface="Times" pitchFamily="1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3340" name="Text Box 77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6019800" y="2971800"/>
                        <a:ext cx="1860550" cy="609600"/>
                      </a:xfrm>
                      <a:prstGeom prst="rect">
                        <a:avLst/>
                      </a:prstGeom>
                      <a:solidFill>
                        <a:srgbClr val="99CC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eaLnBrk="0" hangingPunct="0"/>
                          <a:r>
                            <a:rPr lang="en-US" sz="1500" b="1">
                              <a:solidFill>
                                <a:srgbClr val="003399"/>
                              </a:solidFill>
                            </a:rPr>
                            <a:t>Commercial Failure </a:t>
                          </a:r>
                        </a:p>
                        <a:p>
                          <a:pPr algn="ctr" eaLnBrk="0" hangingPunct="0"/>
                          <a:r>
                            <a:rPr lang="en-US" sz="1500" b="1">
                              <a:solidFill>
                                <a:srgbClr val="003399"/>
                              </a:solidFill>
                            </a:rPr>
                            <a:t>Rev.= 6 M/yr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3341" name="Text Box 78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6172200" y="3657600"/>
                        <a:ext cx="2133600" cy="304800"/>
                      </a:xfrm>
                      <a:prstGeom prst="rect">
                        <a:avLst/>
                      </a:prstGeom>
                      <a:solidFill>
                        <a:srgbClr val="C0C0C0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eaLnBrk="0" hangingPunct="0"/>
                          <a:r>
                            <a:rPr lang="en-US" sz="1500" b="1">
                              <a:solidFill>
                                <a:srgbClr val="660033"/>
                              </a:solidFill>
                              <a:latin typeface="Times" pitchFamily="1" charset="0"/>
                            </a:rPr>
                            <a:t>Probability = 0.25</a:t>
                          </a:r>
                          <a:endParaRPr lang="en-US" sz="1500" b="1">
                            <a:latin typeface="Times" pitchFamily="1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3342" name="Text Box 80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114800" y="4343400"/>
                        <a:ext cx="1524000" cy="366713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eaLnBrk="0" hangingPunct="0">
                            <a:spcBef>
                              <a:spcPct val="50000"/>
                            </a:spcBef>
                          </a:pPr>
                          <a:r>
                            <a:rPr lang="en-US" sz="1800" b="1">
                              <a:solidFill>
                                <a:schemeClr val="tx2"/>
                              </a:solidFill>
                            </a:rPr>
                            <a:t>No Cost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1C5249" w:rsidRDefault="001C5249" w:rsidP="001C5249">
      <w:pPr>
        <w:ind w:left="360"/>
      </w:pPr>
      <w:r>
        <w:t>Minimum acceptable rate of return, or interest rate, or discount rate is 15%.</w:t>
      </w:r>
    </w:p>
    <w:p w:rsidR="003268D8" w:rsidRDefault="003268D8" w:rsidP="001C5249">
      <w:pPr>
        <w:ind w:left="360"/>
      </w:pPr>
      <w:r>
        <w:t>The present value of one dollar at the end of year t using 15% interest rate is given below.</w:t>
      </w:r>
    </w:p>
    <w:p w:rsidR="003268D8" w:rsidRDefault="003268D8" w:rsidP="001C5249">
      <w:pPr>
        <w:ind w:left="360"/>
      </w:pPr>
      <w:r>
        <w:object w:dxaOrig="6215" w:dyaOrig="6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1pt;height:31.45pt" o:ole="">
            <v:imagedata r:id="rId5" o:title=""/>
          </v:shape>
          <o:OLEObject Type="Embed" ProgID="Excel.Sheet.12" ShapeID="_x0000_i1025" DrawAspect="Content" ObjectID="_1341068431" r:id="rId6"/>
        </w:object>
      </w:r>
    </w:p>
    <w:p w:rsidR="003268D8" w:rsidRDefault="003268D8" w:rsidP="001C5249">
      <w:pPr>
        <w:ind w:left="360"/>
      </w:pPr>
      <w:r>
        <w:t xml:space="preserve">Compute Expected Commercial Value (Expected NPV) of this project. </w:t>
      </w:r>
    </w:p>
    <w:p w:rsidR="001C5249" w:rsidRDefault="001C5249" w:rsidP="001C5249">
      <w:pPr>
        <w:ind w:left="360"/>
      </w:pPr>
    </w:p>
    <w:sectPr w:rsidR="001C5249" w:rsidSect="00E01D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F296B"/>
    <w:multiLevelType w:val="hybridMultilevel"/>
    <w:tmpl w:val="58DECB94"/>
    <w:lvl w:ilvl="0" w:tplc="802A36D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0C242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6E14A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18DEA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423BA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E2042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7C3C3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4011E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44DE2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1C5249"/>
    <w:rsid w:val="0001734B"/>
    <w:rsid w:val="00017B6D"/>
    <w:rsid w:val="000339CD"/>
    <w:rsid w:val="00037A68"/>
    <w:rsid w:val="00050B76"/>
    <w:rsid w:val="00052BD2"/>
    <w:rsid w:val="00062C37"/>
    <w:rsid w:val="00065C8B"/>
    <w:rsid w:val="000801DC"/>
    <w:rsid w:val="0008466A"/>
    <w:rsid w:val="000A3EE1"/>
    <w:rsid w:val="000B7488"/>
    <w:rsid w:val="000C7810"/>
    <w:rsid w:val="000D366B"/>
    <w:rsid w:val="000D5797"/>
    <w:rsid w:val="000D72CC"/>
    <w:rsid w:val="000E53F4"/>
    <w:rsid w:val="000F398E"/>
    <w:rsid w:val="000F459E"/>
    <w:rsid w:val="001110B4"/>
    <w:rsid w:val="00114750"/>
    <w:rsid w:val="0012229A"/>
    <w:rsid w:val="00127640"/>
    <w:rsid w:val="001417ED"/>
    <w:rsid w:val="001565E9"/>
    <w:rsid w:val="00172A07"/>
    <w:rsid w:val="00191DC8"/>
    <w:rsid w:val="00194B34"/>
    <w:rsid w:val="00194E65"/>
    <w:rsid w:val="001954CA"/>
    <w:rsid w:val="001B12D8"/>
    <w:rsid w:val="001C1CCA"/>
    <w:rsid w:val="001C5249"/>
    <w:rsid w:val="001C5947"/>
    <w:rsid w:val="001D796C"/>
    <w:rsid w:val="001F2959"/>
    <w:rsid w:val="001F4B41"/>
    <w:rsid w:val="001F6356"/>
    <w:rsid w:val="00221DDD"/>
    <w:rsid w:val="0024134F"/>
    <w:rsid w:val="00246D1B"/>
    <w:rsid w:val="00250802"/>
    <w:rsid w:val="0026072D"/>
    <w:rsid w:val="00264BDB"/>
    <w:rsid w:val="0027193B"/>
    <w:rsid w:val="00273CA6"/>
    <w:rsid w:val="00276FE7"/>
    <w:rsid w:val="00280EDC"/>
    <w:rsid w:val="002836A2"/>
    <w:rsid w:val="00297316"/>
    <w:rsid w:val="002A2896"/>
    <w:rsid w:val="002A78FA"/>
    <w:rsid w:val="002B7462"/>
    <w:rsid w:val="002C7A40"/>
    <w:rsid w:val="002D12CD"/>
    <w:rsid w:val="002D1B18"/>
    <w:rsid w:val="002D3275"/>
    <w:rsid w:val="002E5FC8"/>
    <w:rsid w:val="002F39E9"/>
    <w:rsid w:val="00300212"/>
    <w:rsid w:val="00310F35"/>
    <w:rsid w:val="003122D5"/>
    <w:rsid w:val="003147C3"/>
    <w:rsid w:val="003204E2"/>
    <w:rsid w:val="003246A1"/>
    <w:rsid w:val="00325D2D"/>
    <w:rsid w:val="003268D8"/>
    <w:rsid w:val="003346E5"/>
    <w:rsid w:val="00337FA2"/>
    <w:rsid w:val="00341821"/>
    <w:rsid w:val="00343030"/>
    <w:rsid w:val="00360069"/>
    <w:rsid w:val="00363A13"/>
    <w:rsid w:val="00365CD2"/>
    <w:rsid w:val="0037443C"/>
    <w:rsid w:val="0039527F"/>
    <w:rsid w:val="003A1F9C"/>
    <w:rsid w:val="003A4045"/>
    <w:rsid w:val="003B3C9C"/>
    <w:rsid w:val="003B6E1C"/>
    <w:rsid w:val="003C0F0E"/>
    <w:rsid w:val="003D6B8A"/>
    <w:rsid w:val="003E42B0"/>
    <w:rsid w:val="00410239"/>
    <w:rsid w:val="0045553D"/>
    <w:rsid w:val="0046141D"/>
    <w:rsid w:val="004660AA"/>
    <w:rsid w:val="004A0061"/>
    <w:rsid w:val="004A61B8"/>
    <w:rsid w:val="004B01F3"/>
    <w:rsid w:val="004B163C"/>
    <w:rsid w:val="004C0F8A"/>
    <w:rsid w:val="004C1A82"/>
    <w:rsid w:val="004C37E8"/>
    <w:rsid w:val="004C58DE"/>
    <w:rsid w:val="004D3EA6"/>
    <w:rsid w:val="004D6BA7"/>
    <w:rsid w:val="004D6D0F"/>
    <w:rsid w:val="004E36B5"/>
    <w:rsid w:val="004F3E89"/>
    <w:rsid w:val="00500C02"/>
    <w:rsid w:val="00504A16"/>
    <w:rsid w:val="00507541"/>
    <w:rsid w:val="005109D3"/>
    <w:rsid w:val="005369BD"/>
    <w:rsid w:val="00553865"/>
    <w:rsid w:val="00564AA9"/>
    <w:rsid w:val="00572873"/>
    <w:rsid w:val="00572DF5"/>
    <w:rsid w:val="00573FB1"/>
    <w:rsid w:val="00596C96"/>
    <w:rsid w:val="00597D8B"/>
    <w:rsid w:val="005A1ED7"/>
    <w:rsid w:val="005A31B9"/>
    <w:rsid w:val="005A373F"/>
    <w:rsid w:val="005C0404"/>
    <w:rsid w:val="005C1846"/>
    <w:rsid w:val="005C2560"/>
    <w:rsid w:val="005D2490"/>
    <w:rsid w:val="005D275C"/>
    <w:rsid w:val="005F13EC"/>
    <w:rsid w:val="005F3FF9"/>
    <w:rsid w:val="00600655"/>
    <w:rsid w:val="006032B2"/>
    <w:rsid w:val="00606720"/>
    <w:rsid w:val="00612DB8"/>
    <w:rsid w:val="0061372D"/>
    <w:rsid w:val="006438C9"/>
    <w:rsid w:val="00643EA7"/>
    <w:rsid w:val="00646B6A"/>
    <w:rsid w:val="006473A7"/>
    <w:rsid w:val="00652737"/>
    <w:rsid w:val="006543AC"/>
    <w:rsid w:val="0066534C"/>
    <w:rsid w:val="00667A8F"/>
    <w:rsid w:val="00675586"/>
    <w:rsid w:val="0068010E"/>
    <w:rsid w:val="00682686"/>
    <w:rsid w:val="00682692"/>
    <w:rsid w:val="00684364"/>
    <w:rsid w:val="00691AB1"/>
    <w:rsid w:val="006B4C8F"/>
    <w:rsid w:val="006B5667"/>
    <w:rsid w:val="006C6688"/>
    <w:rsid w:val="006D1729"/>
    <w:rsid w:val="006D644B"/>
    <w:rsid w:val="006E299F"/>
    <w:rsid w:val="006F07E2"/>
    <w:rsid w:val="006F3E38"/>
    <w:rsid w:val="00705E90"/>
    <w:rsid w:val="0071712E"/>
    <w:rsid w:val="00745090"/>
    <w:rsid w:val="00764990"/>
    <w:rsid w:val="00765353"/>
    <w:rsid w:val="00771AEB"/>
    <w:rsid w:val="0077675C"/>
    <w:rsid w:val="00785C37"/>
    <w:rsid w:val="007942ED"/>
    <w:rsid w:val="007A086D"/>
    <w:rsid w:val="007A12A7"/>
    <w:rsid w:val="007B4E0F"/>
    <w:rsid w:val="007C3453"/>
    <w:rsid w:val="007C423B"/>
    <w:rsid w:val="007E082B"/>
    <w:rsid w:val="007E4357"/>
    <w:rsid w:val="007E76B0"/>
    <w:rsid w:val="007F292E"/>
    <w:rsid w:val="00800282"/>
    <w:rsid w:val="00803B80"/>
    <w:rsid w:val="008066F9"/>
    <w:rsid w:val="00807F09"/>
    <w:rsid w:val="00811AD1"/>
    <w:rsid w:val="008128D7"/>
    <w:rsid w:val="00822ED2"/>
    <w:rsid w:val="00837A91"/>
    <w:rsid w:val="00851855"/>
    <w:rsid w:val="008608E6"/>
    <w:rsid w:val="008636DF"/>
    <w:rsid w:val="008867D4"/>
    <w:rsid w:val="008907F8"/>
    <w:rsid w:val="00890BED"/>
    <w:rsid w:val="00897712"/>
    <w:rsid w:val="008A0EB4"/>
    <w:rsid w:val="008A197E"/>
    <w:rsid w:val="008A65B8"/>
    <w:rsid w:val="008B21B8"/>
    <w:rsid w:val="008B5B6D"/>
    <w:rsid w:val="008B7EC1"/>
    <w:rsid w:val="008D4C73"/>
    <w:rsid w:val="008E0597"/>
    <w:rsid w:val="009036BF"/>
    <w:rsid w:val="00904695"/>
    <w:rsid w:val="00904749"/>
    <w:rsid w:val="00913CFA"/>
    <w:rsid w:val="00943185"/>
    <w:rsid w:val="009542BA"/>
    <w:rsid w:val="00964951"/>
    <w:rsid w:val="00973121"/>
    <w:rsid w:val="0099528F"/>
    <w:rsid w:val="009A7A8C"/>
    <w:rsid w:val="009D3A8D"/>
    <w:rsid w:val="009E626E"/>
    <w:rsid w:val="009F0591"/>
    <w:rsid w:val="00A27668"/>
    <w:rsid w:val="00A4738C"/>
    <w:rsid w:val="00A508E2"/>
    <w:rsid w:val="00A54726"/>
    <w:rsid w:val="00A563BF"/>
    <w:rsid w:val="00A62852"/>
    <w:rsid w:val="00A67A77"/>
    <w:rsid w:val="00A82168"/>
    <w:rsid w:val="00A90C7D"/>
    <w:rsid w:val="00AB0CA4"/>
    <w:rsid w:val="00AB1532"/>
    <w:rsid w:val="00AC753F"/>
    <w:rsid w:val="00AC75D6"/>
    <w:rsid w:val="00AE43CC"/>
    <w:rsid w:val="00B15904"/>
    <w:rsid w:val="00B16D5A"/>
    <w:rsid w:val="00B222B2"/>
    <w:rsid w:val="00B2541D"/>
    <w:rsid w:val="00B26452"/>
    <w:rsid w:val="00B30927"/>
    <w:rsid w:val="00B519F9"/>
    <w:rsid w:val="00B524B3"/>
    <w:rsid w:val="00B5407F"/>
    <w:rsid w:val="00B546DD"/>
    <w:rsid w:val="00B558CD"/>
    <w:rsid w:val="00B731AD"/>
    <w:rsid w:val="00B73E9F"/>
    <w:rsid w:val="00B80452"/>
    <w:rsid w:val="00B964C3"/>
    <w:rsid w:val="00B969E8"/>
    <w:rsid w:val="00BA281E"/>
    <w:rsid w:val="00BA4187"/>
    <w:rsid w:val="00BA5D39"/>
    <w:rsid w:val="00BB0744"/>
    <w:rsid w:val="00BB0BDC"/>
    <w:rsid w:val="00BD378D"/>
    <w:rsid w:val="00BE0514"/>
    <w:rsid w:val="00C00DB2"/>
    <w:rsid w:val="00C424A7"/>
    <w:rsid w:val="00C51485"/>
    <w:rsid w:val="00C60936"/>
    <w:rsid w:val="00C63999"/>
    <w:rsid w:val="00C76117"/>
    <w:rsid w:val="00C76CFC"/>
    <w:rsid w:val="00C8035F"/>
    <w:rsid w:val="00C8333B"/>
    <w:rsid w:val="00C84065"/>
    <w:rsid w:val="00C91E22"/>
    <w:rsid w:val="00CC76BB"/>
    <w:rsid w:val="00CE5044"/>
    <w:rsid w:val="00CF1B2E"/>
    <w:rsid w:val="00D028A4"/>
    <w:rsid w:val="00D1621E"/>
    <w:rsid w:val="00D17A08"/>
    <w:rsid w:val="00D26463"/>
    <w:rsid w:val="00D34E97"/>
    <w:rsid w:val="00D35F56"/>
    <w:rsid w:val="00D4246C"/>
    <w:rsid w:val="00D439CD"/>
    <w:rsid w:val="00D44CDD"/>
    <w:rsid w:val="00D46C85"/>
    <w:rsid w:val="00D64223"/>
    <w:rsid w:val="00D77A71"/>
    <w:rsid w:val="00D91924"/>
    <w:rsid w:val="00D91971"/>
    <w:rsid w:val="00D95FC7"/>
    <w:rsid w:val="00DA1CFE"/>
    <w:rsid w:val="00DA317F"/>
    <w:rsid w:val="00DA6DDA"/>
    <w:rsid w:val="00DA7152"/>
    <w:rsid w:val="00DB1534"/>
    <w:rsid w:val="00DB4938"/>
    <w:rsid w:val="00DB4D04"/>
    <w:rsid w:val="00DB606D"/>
    <w:rsid w:val="00DE103C"/>
    <w:rsid w:val="00DE2781"/>
    <w:rsid w:val="00DF4240"/>
    <w:rsid w:val="00DF638B"/>
    <w:rsid w:val="00E01D8A"/>
    <w:rsid w:val="00E02417"/>
    <w:rsid w:val="00E06443"/>
    <w:rsid w:val="00E07C97"/>
    <w:rsid w:val="00E1552D"/>
    <w:rsid w:val="00E2296F"/>
    <w:rsid w:val="00E27C45"/>
    <w:rsid w:val="00E30789"/>
    <w:rsid w:val="00E36C80"/>
    <w:rsid w:val="00E422B1"/>
    <w:rsid w:val="00E43561"/>
    <w:rsid w:val="00E46277"/>
    <w:rsid w:val="00E462EA"/>
    <w:rsid w:val="00E531CE"/>
    <w:rsid w:val="00E54676"/>
    <w:rsid w:val="00E550FF"/>
    <w:rsid w:val="00E63BB3"/>
    <w:rsid w:val="00E662BE"/>
    <w:rsid w:val="00E674A5"/>
    <w:rsid w:val="00E812A4"/>
    <w:rsid w:val="00E825E3"/>
    <w:rsid w:val="00EA0DB8"/>
    <w:rsid w:val="00EA4119"/>
    <w:rsid w:val="00EB1C50"/>
    <w:rsid w:val="00EC3DBF"/>
    <w:rsid w:val="00EC52E1"/>
    <w:rsid w:val="00EE7834"/>
    <w:rsid w:val="00EF5C36"/>
    <w:rsid w:val="00F05C55"/>
    <w:rsid w:val="00F10B8B"/>
    <w:rsid w:val="00F156B4"/>
    <w:rsid w:val="00F37F3F"/>
    <w:rsid w:val="00F51723"/>
    <w:rsid w:val="00F534DF"/>
    <w:rsid w:val="00F541C3"/>
    <w:rsid w:val="00F62ADF"/>
    <w:rsid w:val="00F71DE5"/>
    <w:rsid w:val="00F81B5B"/>
    <w:rsid w:val="00F83EC9"/>
    <w:rsid w:val="00F86104"/>
    <w:rsid w:val="00F91C72"/>
    <w:rsid w:val="00F91DB2"/>
    <w:rsid w:val="00F96C5A"/>
    <w:rsid w:val="00FA17D2"/>
    <w:rsid w:val="00FA4813"/>
    <w:rsid w:val="00FA5958"/>
    <w:rsid w:val="00FB51A2"/>
    <w:rsid w:val="00FB774D"/>
    <w:rsid w:val="00FD50D4"/>
    <w:rsid w:val="00FD7A03"/>
    <w:rsid w:val="00FF0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D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2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3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03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22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97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9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8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Office_Excel_Worksheet1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aa2035</dc:creator>
  <cp:keywords/>
  <dc:description/>
  <cp:lastModifiedBy>faculty</cp:lastModifiedBy>
  <cp:revision>3</cp:revision>
  <cp:lastPrinted>2010-07-20T00:00:00Z</cp:lastPrinted>
  <dcterms:created xsi:type="dcterms:W3CDTF">2010-07-19T23:19:00Z</dcterms:created>
  <dcterms:modified xsi:type="dcterms:W3CDTF">2010-07-20T01:14:00Z</dcterms:modified>
</cp:coreProperties>
</file>