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EB707" w14:textId="77777777" w:rsidR="007C2132" w:rsidRDefault="00277DCE">
      <w:pPr>
        <w:rPr>
          <w:sz w:val="20"/>
        </w:rPr>
      </w:pPr>
      <w:r>
        <w:rPr>
          <w:noProof/>
        </w:rPr>
        <w:drawing>
          <wp:anchor distT="0" distB="0" distL="114300" distR="114300" simplePos="0" relativeHeight="251658240" behindDoc="0" locked="0" layoutInCell="1" allowOverlap="1" wp14:anchorId="544D0906" wp14:editId="2A600074">
            <wp:simplePos x="0" y="0"/>
            <wp:positionH relativeFrom="column">
              <wp:posOffset>0</wp:posOffset>
            </wp:positionH>
            <wp:positionV relativeFrom="paragraph">
              <wp:posOffset>0</wp:posOffset>
            </wp:positionV>
            <wp:extent cx="2148840" cy="693420"/>
            <wp:effectExtent l="0" t="0" r="0" b="0"/>
            <wp:wrapSquare wrapText="bothSides"/>
            <wp:docPr id="2" name="Picture 2"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University, Northridge - Home"/>
                    <pic:cNvPicPr>
                      <a:picLocks noChangeAspect="1" noChangeArrowheads="1"/>
                    </pic:cNvPicPr>
                  </pic:nvPicPr>
                  <pic:blipFill rotWithShape="1">
                    <a:blip r:embed="rId8">
                      <a:extLst>
                        <a:ext uri="{28A0092B-C50C-407E-A947-70E740481C1C}">
                          <a14:useLocalDpi xmlns:a14="http://schemas.microsoft.com/office/drawing/2010/main" val="0"/>
                        </a:ext>
                      </a:extLst>
                    </a:blip>
                    <a:srcRect r="50177"/>
                    <a:stretch/>
                  </pic:blipFill>
                  <pic:spPr bwMode="auto">
                    <a:xfrm>
                      <a:off x="0" y="0"/>
                      <a:ext cx="214884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E08E1E" w14:textId="77777777" w:rsidR="00B57C14" w:rsidRPr="000D7263" w:rsidRDefault="00277DCE" w:rsidP="00B57C14">
      <w:pPr>
        <w:pStyle w:val="Heading2"/>
        <w:ind w:right="12" w:firstLine="720"/>
        <w:jc w:val="right"/>
        <w:rPr>
          <w:sz w:val="28"/>
          <w:szCs w:val="28"/>
        </w:rPr>
      </w:pPr>
      <w:r>
        <w:rPr>
          <w:noProof/>
        </w:rPr>
        <mc:AlternateContent>
          <mc:Choice Requires="wps">
            <w:drawing>
              <wp:anchor distT="0" distB="0" distL="114300" distR="114300" simplePos="0" relativeHeight="251657216" behindDoc="0" locked="0" layoutInCell="1" allowOverlap="1" wp14:anchorId="3FFE18C4" wp14:editId="1208DAA4">
                <wp:simplePos x="0" y="0"/>
                <wp:positionH relativeFrom="column">
                  <wp:posOffset>-114300</wp:posOffset>
                </wp:positionH>
                <wp:positionV relativeFrom="paragraph">
                  <wp:posOffset>219710</wp:posOffset>
                </wp:positionV>
                <wp:extent cx="3811905" cy="0"/>
                <wp:effectExtent l="0" t="0" r="17145"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3pt" to="291.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">
                <w10:wrap type="square"/>
              </v:line>
            </w:pict>
          </mc:Fallback>
        </mc:AlternateContent>
      </w:r>
      <w:r>
        <w:t xml:space="preserve">  </w:t>
      </w:r>
      <w:r w:rsidR="00584BBD">
        <w:rPr>
          <w:sz w:val="28"/>
          <w:szCs w:val="28"/>
        </w:rPr>
        <w:t>Restrictions o</w:t>
      </w:r>
      <w:r w:rsidR="000D7263" w:rsidRPr="000D7263">
        <w:rPr>
          <w:sz w:val="28"/>
          <w:szCs w:val="28"/>
        </w:rPr>
        <w:t>n Additional Employment</w:t>
      </w:r>
    </w:p>
    <w:p w14:paraId="03B8D112" w14:textId="77777777" w:rsidR="007C2132" w:rsidRDefault="007C2132">
      <w:pPr>
        <w:pStyle w:val="Heading1"/>
        <w:jc w:val="center"/>
      </w:pPr>
      <w:r>
        <w:t xml:space="preserve">                                                  </w:t>
      </w:r>
      <w:r w:rsidR="00277DCE">
        <w:t xml:space="preserve">                        </w:t>
      </w:r>
      <w:r>
        <w:t>Office of Faculty Affairs</w:t>
      </w:r>
    </w:p>
    <w:p w14:paraId="64394D8B" w14:textId="77777777" w:rsidR="009D2F16" w:rsidRDefault="009D2F16" w:rsidP="009D2F16">
      <w:pPr>
        <w:ind w:firstLine="1440"/>
      </w:pPr>
    </w:p>
    <w:p w14:paraId="0560BB92" w14:textId="77777777" w:rsidR="00E2676B" w:rsidRDefault="00E2676B" w:rsidP="003D57D2">
      <w:pPr>
        <w:rPr>
          <w:b/>
          <w:bCs/>
          <w:sz w:val="28"/>
          <w:szCs w:val="28"/>
          <w:u w:val="single"/>
        </w:rPr>
      </w:pPr>
    </w:p>
    <w:p w14:paraId="6B087CFE" w14:textId="77777777" w:rsidR="003D57D2" w:rsidRPr="00E2676B" w:rsidRDefault="003D57D2" w:rsidP="003D57D2">
      <w:pPr>
        <w:rPr>
          <w:b/>
          <w:bCs/>
          <w:sz w:val="32"/>
          <w:szCs w:val="32"/>
        </w:rPr>
      </w:pPr>
      <w:r w:rsidRPr="00E2676B">
        <w:rPr>
          <w:b/>
          <w:bCs/>
          <w:sz w:val="32"/>
          <w:szCs w:val="32"/>
          <w:u w:val="single"/>
        </w:rPr>
        <w:t>125% Rule</w:t>
      </w:r>
      <w:r w:rsidRPr="00E2676B">
        <w:rPr>
          <w:b/>
          <w:bCs/>
          <w:sz w:val="32"/>
          <w:szCs w:val="32"/>
        </w:rPr>
        <w:t xml:space="preserve"> </w:t>
      </w:r>
    </w:p>
    <w:p w14:paraId="3FB01BE0" w14:textId="77777777" w:rsidR="003D57D2" w:rsidRDefault="003D57D2" w:rsidP="003D57D2">
      <w:pPr>
        <w:rPr>
          <w:b/>
          <w:bCs/>
          <w:sz w:val="28"/>
          <w:szCs w:val="28"/>
        </w:rPr>
      </w:pPr>
    </w:p>
    <w:p w14:paraId="622A471A" w14:textId="77777777" w:rsidR="003D57D2" w:rsidRPr="00181A7B" w:rsidRDefault="003D57D2" w:rsidP="003D57D2">
      <w:pPr>
        <w:jc w:val="both"/>
      </w:pPr>
      <w:r>
        <w:t xml:space="preserve">The </w:t>
      </w:r>
      <w:r w:rsidRPr="000E1E22">
        <w:rPr>
          <w:b/>
        </w:rPr>
        <w:t>Unit-3 Faculty Collective Bargaining Agreement (Article 36)</w:t>
      </w:r>
      <w:r w:rsidRPr="00181A7B">
        <w:t xml:space="preserve"> and the </w:t>
      </w:r>
      <w:r w:rsidRPr="000E1E22">
        <w:rPr>
          <w:b/>
        </w:rPr>
        <w:t>CSU System-Wide Additional Employment Policy (HR 2002-05)</w:t>
      </w:r>
      <w:r w:rsidRPr="00181A7B">
        <w:t xml:space="preserve"> limit total employment in the California State University system to 125% of full-time.   </w:t>
      </w:r>
    </w:p>
    <w:p w14:paraId="0AF68B69" w14:textId="77777777" w:rsidR="003D57D2" w:rsidRPr="00181A7B" w:rsidRDefault="003D57D2" w:rsidP="003D57D2">
      <w:pPr>
        <w:jc w:val="both"/>
      </w:pPr>
    </w:p>
    <w:p w14:paraId="2F4F0241" w14:textId="77777777" w:rsidR="003D57D2" w:rsidRDefault="003D57D2" w:rsidP="003D57D2">
      <w:pPr>
        <w:jc w:val="both"/>
      </w:pPr>
      <w:r w:rsidRPr="00181A7B">
        <w:t xml:space="preserve">The 25% overage allowed (an average of 10 hours per week or 3.75 units per semester) is </w:t>
      </w:r>
      <w:r w:rsidRPr="00D4418A">
        <w:rPr>
          <w:u w:val="single"/>
        </w:rPr>
        <w:t>calculated as a percentage of a full-time workload</w:t>
      </w:r>
      <w:r w:rsidRPr="00181A7B">
        <w:t xml:space="preserve"> (40 hours per week or 15 units) or, when appropriate, timebase (.25).  </w:t>
      </w:r>
    </w:p>
    <w:p w14:paraId="0516398E" w14:textId="77777777" w:rsidR="003D57D2" w:rsidRPr="00181A7B" w:rsidRDefault="003D57D2" w:rsidP="003D57D2">
      <w:pPr>
        <w:jc w:val="both"/>
      </w:pPr>
    </w:p>
    <w:p w14:paraId="40AAAA11" w14:textId="77777777" w:rsidR="003D57D2" w:rsidRPr="00181A7B" w:rsidRDefault="003D57D2" w:rsidP="003D57D2">
      <w:pPr>
        <w:jc w:val="both"/>
      </w:pPr>
      <w:r w:rsidRPr="00181A7B">
        <w:t xml:space="preserve">The limitations apply to work performed for any CSU campus and for any CSU auxiliary organization such as the </w:t>
      </w:r>
      <w:r>
        <w:t xml:space="preserve">University </w:t>
      </w:r>
      <w:r w:rsidRPr="00181A7B">
        <w:t>Corporation, the Foundation/University Advancement, Extended Learning, and grants and contracts administered by CSU auxiliary organizations.  Work performed as a Special Consultant is also counted as part of an individual’s total workload.</w:t>
      </w:r>
    </w:p>
    <w:p w14:paraId="6E4B31D4" w14:textId="77777777" w:rsidR="003D57D2" w:rsidRPr="00181A7B" w:rsidRDefault="003D57D2" w:rsidP="003D57D2">
      <w:pPr>
        <w:jc w:val="both"/>
      </w:pPr>
    </w:p>
    <w:p w14:paraId="55C3822F" w14:textId="77777777" w:rsidR="003D57D2" w:rsidRPr="00181A7B" w:rsidRDefault="003D57D2" w:rsidP="003D57D2">
      <w:pPr>
        <w:jc w:val="both"/>
      </w:pPr>
      <w:r w:rsidRPr="00181A7B">
        <w:rPr>
          <w:b/>
          <w:bCs/>
        </w:rPr>
        <w:t>Unit 3 Faculty</w:t>
      </w:r>
      <w:r w:rsidRPr="00181A7B">
        <w:t xml:space="preserve"> (Lecturers, Coaches, Librarians, Tenure-Track </w:t>
      </w:r>
      <w:r>
        <w:t>F</w:t>
      </w:r>
      <w:r w:rsidRPr="00181A7B">
        <w:t xml:space="preserve">aculty, Counseling </w:t>
      </w:r>
      <w:r>
        <w:t>F</w:t>
      </w:r>
      <w:r w:rsidRPr="00181A7B">
        <w:t>aculty, and others represented by the Unit</w:t>
      </w:r>
      <w:r>
        <w:t>-</w:t>
      </w:r>
      <w:r w:rsidRPr="00181A7B">
        <w:t>3</w:t>
      </w:r>
      <w:r>
        <w:t xml:space="preserve"> </w:t>
      </w:r>
      <w:r w:rsidRPr="00181A7B">
        <w:t>Faculty Collective Bargaining Agreement) are allowed an overage of 25% of a full-time position only if the overage employment meets one or more of the following criteria:</w:t>
      </w:r>
    </w:p>
    <w:p w14:paraId="48661BC4" w14:textId="77777777" w:rsidR="003D57D2" w:rsidRPr="00181A7B" w:rsidRDefault="003D57D2" w:rsidP="003D57D2">
      <w:pPr>
        <w:jc w:val="both"/>
      </w:pPr>
    </w:p>
    <w:p w14:paraId="10440E1D" w14:textId="77777777" w:rsidR="003D57D2" w:rsidRDefault="003D57D2" w:rsidP="003D57D2">
      <w:pPr>
        <w:numPr>
          <w:ilvl w:val="0"/>
          <w:numId w:val="2"/>
        </w:numPr>
      </w:pPr>
      <w:r>
        <w:t xml:space="preserve">Consists of employment of a </w:t>
      </w:r>
      <w:r>
        <w:rPr>
          <w:b/>
          <w:bCs/>
          <w:u w:val="single"/>
        </w:rPr>
        <w:t>substantially different nature</w:t>
      </w:r>
      <w:r>
        <w:t xml:space="preserve"> from the primary or normal employment; </w:t>
      </w:r>
      <w:r>
        <w:rPr>
          <w:b/>
          <w:bCs/>
        </w:rPr>
        <w:t>OR</w:t>
      </w:r>
    </w:p>
    <w:p w14:paraId="1DDE3532" w14:textId="77777777" w:rsidR="003D57D2" w:rsidRDefault="003D57D2" w:rsidP="003D57D2">
      <w:pPr>
        <w:numPr>
          <w:ilvl w:val="0"/>
          <w:numId w:val="2"/>
        </w:numPr>
      </w:pPr>
      <w:r>
        <w:t xml:space="preserve">Is funded from </w:t>
      </w:r>
      <w:r>
        <w:rPr>
          <w:b/>
          <w:bCs/>
          <w:u w:val="single"/>
        </w:rPr>
        <w:t>non-general fund</w:t>
      </w:r>
      <w:r>
        <w:t xml:space="preserve"> sources; </w:t>
      </w:r>
      <w:r>
        <w:rPr>
          <w:b/>
          <w:bCs/>
        </w:rPr>
        <w:t>OR</w:t>
      </w:r>
    </w:p>
    <w:p w14:paraId="70AB7DA7" w14:textId="77777777" w:rsidR="003D57D2" w:rsidRDefault="003D57D2" w:rsidP="003D57D2">
      <w:pPr>
        <w:numPr>
          <w:ilvl w:val="0"/>
          <w:numId w:val="2"/>
        </w:numPr>
      </w:pPr>
      <w:r>
        <w:t xml:space="preserve">Is the result of the accrual of </w:t>
      </w:r>
      <w:r>
        <w:rPr>
          <w:b/>
          <w:bCs/>
          <w:u w:val="single"/>
        </w:rPr>
        <w:t>part-time employment on</w:t>
      </w:r>
      <w:r>
        <w:rPr>
          <w:u w:val="single"/>
        </w:rPr>
        <w:t xml:space="preserve"> </w:t>
      </w:r>
      <w:r>
        <w:rPr>
          <w:b/>
          <w:bCs/>
          <w:u w:val="single"/>
        </w:rPr>
        <w:t>more than one CSU campus.</w:t>
      </w:r>
    </w:p>
    <w:p w14:paraId="7E005C3C" w14:textId="77777777" w:rsidR="003D57D2" w:rsidRPr="00181A7B" w:rsidRDefault="003D57D2" w:rsidP="003D57D2">
      <w:pPr>
        <w:ind w:left="720"/>
        <w:jc w:val="both"/>
      </w:pPr>
    </w:p>
    <w:p w14:paraId="6EDF71A4" w14:textId="77777777" w:rsidR="003D57D2" w:rsidRPr="00181A7B" w:rsidRDefault="003D57D2" w:rsidP="003D57D2">
      <w:pPr>
        <w:ind w:left="720"/>
        <w:jc w:val="both"/>
      </w:pPr>
      <w:r w:rsidRPr="00181A7B">
        <w:rPr>
          <w:b/>
          <w:bCs/>
        </w:rPr>
        <w:t>NOTE:</w:t>
      </w:r>
      <w:r w:rsidRPr="00181A7B">
        <w:t xml:space="preserve">  Part-time faculty may be employed up to 18.75 units as a Lecturer </w:t>
      </w:r>
      <w:r w:rsidRPr="00181A7B">
        <w:rPr>
          <w:b/>
          <w:bCs/>
          <w:u w:val="single"/>
        </w:rPr>
        <w:t>only if</w:t>
      </w:r>
      <w:r w:rsidRPr="00181A7B">
        <w:rPr>
          <w:b/>
          <w:bCs/>
        </w:rPr>
        <w:t xml:space="preserve"> the work is split between two or more CSU campuses</w:t>
      </w:r>
      <w:r w:rsidRPr="00181A7B">
        <w:t xml:space="preserve">.   Otherwise, they are restricted to a total of 15 units of teaching, even if the units are in two different departments on the same campus.  However, they may work the additional 25% overage in a position that is </w:t>
      </w:r>
      <w:r w:rsidRPr="00181A7B">
        <w:rPr>
          <w:b/>
          <w:bCs/>
          <w:u w:val="single"/>
        </w:rPr>
        <w:t>substantially different</w:t>
      </w:r>
      <w:r w:rsidRPr="00181A7B">
        <w:t xml:space="preserve"> from their Lecturer position.</w:t>
      </w:r>
    </w:p>
    <w:p w14:paraId="0D17868F" w14:textId="77777777" w:rsidR="003D57D2" w:rsidRDefault="003D57D2" w:rsidP="003D57D2">
      <w:pPr>
        <w:rPr>
          <w:b/>
          <w:bCs/>
        </w:rPr>
      </w:pPr>
    </w:p>
    <w:p w14:paraId="5A91D7AA" w14:textId="77777777" w:rsidR="003D57D2" w:rsidRDefault="003D57D2" w:rsidP="003D57D2">
      <w:r>
        <w:t xml:space="preserve">The applicable time period for </w:t>
      </w:r>
      <w:r w:rsidRPr="003256EA">
        <w:rPr>
          <w:b/>
          <w:u w:val="single"/>
        </w:rPr>
        <w:t xml:space="preserve">ten-month and </w:t>
      </w:r>
      <w:r>
        <w:rPr>
          <w:b/>
          <w:u w:val="single"/>
        </w:rPr>
        <w:t>A</w:t>
      </w:r>
      <w:r w:rsidRPr="003256EA">
        <w:rPr>
          <w:b/>
          <w:u w:val="single"/>
        </w:rPr>
        <w:t>cademic-</w:t>
      </w:r>
      <w:r>
        <w:rPr>
          <w:b/>
          <w:u w:val="single"/>
        </w:rPr>
        <w:t>Y</w:t>
      </w:r>
      <w:r w:rsidRPr="003256EA">
        <w:rPr>
          <w:b/>
          <w:u w:val="single"/>
        </w:rPr>
        <w:t>ear employees</w:t>
      </w:r>
      <w:r>
        <w:t xml:space="preserve"> is the </w:t>
      </w:r>
      <w:r>
        <w:rPr>
          <w:b/>
          <w:u w:val="single"/>
        </w:rPr>
        <w:t>Ac</w:t>
      </w:r>
      <w:r w:rsidRPr="003256EA">
        <w:rPr>
          <w:b/>
          <w:u w:val="single"/>
        </w:rPr>
        <w:t xml:space="preserve">ademic </w:t>
      </w:r>
      <w:r w:rsidR="00575A41">
        <w:rPr>
          <w:b/>
          <w:u w:val="single"/>
        </w:rPr>
        <w:t>Y</w:t>
      </w:r>
      <w:r w:rsidRPr="003256EA">
        <w:rPr>
          <w:b/>
          <w:u w:val="single"/>
        </w:rPr>
        <w:t>ear</w:t>
      </w:r>
      <w:r>
        <w:t xml:space="preserve">.  Additional employment and overload limits are calculated and applied independently during vacation, holiday periods, or other academic breaks (i.e., Intersession and Summer Session). </w:t>
      </w:r>
      <w:r w:rsidRPr="00481D96">
        <w:t>We have interpreted this to mean that an academic year faculty member is allowed to work 125% of a full-time workload during the summer months (50 hours per week).  However, as indicated above, this additional work</w:t>
      </w:r>
      <w:r>
        <w:t xml:space="preserve"> (10 hours per week)</w:t>
      </w:r>
      <w:r w:rsidRPr="00481D96">
        <w:t xml:space="preserve"> must be of a substantially different nature from </w:t>
      </w:r>
      <w:r>
        <w:t>his/</w:t>
      </w:r>
      <w:r w:rsidRPr="00481D96">
        <w:t>her regular faculty work or must be funded from a non-general fund source.</w:t>
      </w:r>
      <w:r>
        <w:t xml:space="preserve">  The number of allowable units depends upon the duration of the summer session course. </w:t>
      </w:r>
    </w:p>
    <w:p w14:paraId="280B8C0C" w14:textId="77777777" w:rsidR="003D57D2" w:rsidRDefault="003D57D2" w:rsidP="003D57D2"/>
    <w:p w14:paraId="5E08626D" w14:textId="77777777" w:rsidR="003D57D2" w:rsidRDefault="003D57D2" w:rsidP="003D57D2">
      <w:pPr>
        <w:rPr>
          <w:b/>
          <w:u w:val="single"/>
        </w:rPr>
      </w:pPr>
    </w:p>
    <w:p w14:paraId="02B4E70A" w14:textId="77777777" w:rsidR="003D57D2" w:rsidRDefault="003D57D2" w:rsidP="003D57D2">
      <w:pPr>
        <w:rPr>
          <w:b/>
          <w:u w:val="single"/>
        </w:rPr>
      </w:pPr>
    </w:p>
    <w:p w14:paraId="71100C46" w14:textId="77777777" w:rsidR="003D57D2" w:rsidRDefault="003D57D2" w:rsidP="003D57D2">
      <w:pPr>
        <w:rPr>
          <w:b/>
          <w:bCs/>
          <w:sz w:val="28"/>
          <w:szCs w:val="28"/>
        </w:rPr>
      </w:pPr>
      <w:r w:rsidRPr="00E57159">
        <w:rPr>
          <w:b/>
          <w:bCs/>
          <w:sz w:val="28"/>
          <w:szCs w:val="28"/>
          <w:u w:val="single"/>
        </w:rPr>
        <w:lastRenderedPageBreak/>
        <w:t>FERP Participants</w:t>
      </w:r>
      <w:r w:rsidR="00E57159">
        <w:rPr>
          <w:b/>
          <w:bCs/>
          <w:sz w:val="28"/>
          <w:szCs w:val="28"/>
        </w:rPr>
        <w:t xml:space="preserve"> </w:t>
      </w:r>
      <w:r w:rsidRPr="00E57159">
        <w:rPr>
          <w:b/>
          <w:bCs/>
          <w:sz w:val="28"/>
          <w:szCs w:val="28"/>
        </w:rPr>
        <w:t>-Article 29 Restrictions</w:t>
      </w:r>
    </w:p>
    <w:p w14:paraId="0FB3C8A1" w14:textId="77777777" w:rsidR="00E57159" w:rsidRDefault="00E57159" w:rsidP="003D57D2">
      <w:pPr>
        <w:rPr>
          <w:bCs/>
          <w:sz w:val="28"/>
          <w:szCs w:val="28"/>
        </w:rPr>
      </w:pPr>
    </w:p>
    <w:p w14:paraId="7F2481F4" w14:textId="77777777" w:rsidR="00E57159" w:rsidRPr="00E57159" w:rsidRDefault="00E57159" w:rsidP="003D57D2">
      <w:pPr>
        <w:rPr>
          <w:bCs/>
        </w:rPr>
      </w:pPr>
      <w:r w:rsidRPr="00E57159">
        <w:rPr>
          <w:bCs/>
        </w:rPr>
        <w:t>Faculty</w:t>
      </w:r>
      <w:r>
        <w:rPr>
          <w:bCs/>
        </w:rPr>
        <w:t xml:space="preserve"> participating in the Faculty Early Retirement Program (FERP) are restricted in employment to:</w:t>
      </w:r>
    </w:p>
    <w:p w14:paraId="369A7A0F" w14:textId="77777777" w:rsidR="003D57D2" w:rsidRDefault="003D57D2" w:rsidP="003D57D2">
      <w:pPr>
        <w:rPr>
          <w:u w:val="single"/>
        </w:rPr>
      </w:pPr>
    </w:p>
    <w:p w14:paraId="5F495435" w14:textId="77777777" w:rsidR="003D57D2" w:rsidRDefault="003D57D2" w:rsidP="003D57D2">
      <w:pPr>
        <w:numPr>
          <w:ilvl w:val="0"/>
          <w:numId w:val="3"/>
        </w:numPr>
        <w:rPr>
          <w:u w:val="single"/>
        </w:rPr>
      </w:pPr>
      <w:r>
        <w:rPr>
          <w:b/>
          <w:bCs/>
        </w:rPr>
        <w:t>90 Days per fiscal year</w:t>
      </w:r>
      <w:r>
        <w:t xml:space="preserve"> (a semester is typically 85 – 87 days) </w:t>
      </w:r>
      <w:r>
        <w:rPr>
          <w:b/>
          <w:bCs/>
        </w:rPr>
        <w:t>OR</w:t>
      </w:r>
    </w:p>
    <w:p w14:paraId="1B306F64" w14:textId="77777777" w:rsidR="003D57D2" w:rsidRDefault="003D57D2" w:rsidP="003D57D2">
      <w:pPr>
        <w:rPr>
          <w:b/>
          <w:bCs/>
        </w:rPr>
      </w:pPr>
    </w:p>
    <w:p w14:paraId="2C2E05A7" w14:textId="77777777" w:rsidR="00E57159" w:rsidRDefault="003D57D2" w:rsidP="00E57159">
      <w:pPr>
        <w:numPr>
          <w:ilvl w:val="0"/>
          <w:numId w:val="3"/>
        </w:numPr>
      </w:pPr>
      <w:r>
        <w:rPr>
          <w:b/>
          <w:bCs/>
        </w:rPr>
        <w:t>50%</w:t>
      </w:r>
      <w:r>
        <w:t xml:space="preserve"> of the faculty member’s timebase in the year preceding service retirement</w:t>
      </w:r>
      <w:r w:rsidR="00002D36">
        <w:t>,</w:t>
      </w:r>
    </w:p>
    <w:p w14:paraId="7C9BA597" w14:textId="77777777" w:rsidR="00002D36" w:rsidRDefault="00002D36" w:rsidP="00002D36"/>
    <w:p w14:paraId="7A2C8E75" w14:textId="77777777" w:rsidR="00002D36" w:rsidRDefault="00002D36" w:rsidP="00002D36">
      <w:pPr>
        <w:ind w:left="720"/>
      </w:pPr>
      <w:r>
        <w:rPr>
          <w:b/>
          <w:bCs/>
        </w:rPr>
        <w:t>Whichever is less.</w:t>
      </w:r>
    </w:p>
    <w:p w14:paraId="1A622168" w14:textId="77777777" w:rsidR="00E57159" w:rsidRDefault="00E57159" w:rsidP="00E57159"/>
    <w:p w14:paraId="41A852D8" w14:textId="77777777" w:rsidR="00E57159" w:rsidRPr="00E57159" w:rsidRDefault="00E57159" w:rsidP="00E57159">
      <w:r w:rsidRPr="00E57159">
        <w:rPr>
          <w:bCs/>
        </w:rPr>
        <w:t xml:space="preserve">A FERP participant teaching 50% in each </w:t>
      </w:r>
      <w:r w:rsidR="00584BBD">
        <w:rPr>
          <w:bCs/>
        </w:rPr>
        <w:t xml:space="preserve">of </w:t>
      </w:r>
      <w:r w:rsidRPr="00E57159">
        <w:rPr>
          <w:bCs/>
        </w:rPr>
        <w:t xml:space="preserve">the Fall and Spring semesters cannot have additional CSU employment. </w:t>
      </w:r>
    </w:p>
    <w:p w14:paraId="717F0DEB" w14:textId="77777777" w:rsidR="00E57159" w:rsidRDefault="00E57159" w:rsidP="003D57D2"/>
    <w:p w14:paraId="3245EE54" w14:textId="77777777" w:rsidR="003D57D2" w:rsidRPr="00E57159" w:rsidRDefault="003D57D2" w:rsidP="003D57D2">
      <w:pPr>
        <w:rPr>
          <w:b/>
          <w:bCs/>
          <w:sz w:val="28"/>
          <w:szCs w:val="28"/>
          <w:u w:val="single"/>
        </w:rPr>
      </w:pPr>
      <w:r w:rsidRPr="00E57159">
        <w:rPr>
          <w:b/>
          <w:bCs/>
          <w:sz w:val="28"/>
          <w:szCs w:val="28"/>
          <w:u w:val="single"/>
        </w:rPr>
        <w:t>Rehired Annuitants</w:t>
      </w:r>
      <w:r w:rsidRPr="00E57159">
        <w:rPr>
          <w:b/>
          <w:bCs/>
          <w:sz w:val="28"/>
          <w:szCs w:val="28"/>
        </w:rPr>
        <w:t xml:space="preserve"> - 960 Hour PERS Limitation</w:t>
      </w:r>
    </w:p>
    <w:p w14:paraId="3FD4CD07" w14:textId="77777777" w:rsidR="003D57D2" w:rsidRDefault="003D57D2" w:rsidP="003D57D2">
      <w:pPr>
        <w:rPr>
          <w:sz w:val="28"/>
          <w:u w:val="single"/>
        </w:rPr>
      </w:pPr>
    </w:p>
    <w:p w14:paraId="61CA6E71" w14:textId="77777777" w:rsidR="003D57D2" w:rsidRPr="00515F24" w:rsidRDefault="003D57D2" w:rsidP="003D57D2">
      <w:pPr>
        <w:rPr>
          <w:b/>
        </w:rPr>
      </w:pPr>
      <w:r>
        <w:t xml:space="preserve">Any faculty member who has retired from The Public Employees’ Retirement System (CalPERS) is limited to </w:t>
      </w:r>
      <w:r w:rsidRPr="00515F24">
        <w:rPr>
          <w:b/>
        </w:rPr>
        <w:t xml:space="preserve">total post-retirement employment at any PERS agency of 960 Hours per Fiscal Year or 50% of the hours the member was employed during the last fiscal year of service prior to retirement, whichever is less. </w:t>
      </w:r>
    </w:p>
    <w:p w14:paraId="2DFBCA48" w14:textId="77777777" w:rsidR="003D57D2" w:rsidRDefault="003D57D2" w:rsidP="003D57D2"/>
    <w:p w14:paraId="2F8BEED8" w14:textId="77777777" w:rsidR="003D57D2" w:rsidRPr="00E2676B" w:rsidRDefault="003D57D2" w:rsidP="003D57D2">
      <w:pPr>
        <w:rPr>
          <w:b/>
          <w:sz w:val="32"/>
          <w:szCs w:val="32"/>
          <w:u w:val="single"/>
        </w:rPr>
      </w:pPr>
      <w:r w:rsidRPr="00E2676B">
        <w:rPr>
          <w:b/>
          <w:sz w:val="32"/>
          <w:szCs w:val="32"/>
          <w:u w:val="single"/>
        </w:rPr>
        <w:t>S</w:t>
      </w:r>
      <w:r w:rsidR="004C2538">
        <w:rPr>
          <w:b/>
          <w:sz w:val="32"/>
          <w:szCs w:val="32"/>
          <w:u w:val="single"/>
        </w:rPr>
        <w:t>tate Supported S</w:t>
      </w:r>
      <w:r w:rsidRPr="00E2676B">
        <w:rPr>
          <w:b/>
          <w:sz w:val="32"/>
          <w:szCs w:val="32"/>
          <w:u w:val="single"/>
        </w:rPr>
        <w:t>ummer Employment</w:t>
      </w:r>
    </w:p>
    <w:p w14:paraId="2656A146" w14:textId="77777777" w:rsidR="003D57D2" w:rsidRDefault="003D57D2" w:rsidP="003D57D2">
      <w:pPr>
        <w:rPr>
          <w:b/>
          <w:sz w:val="28"/>
          <w:szCs w:val="28"/>
          <w:u w:val="single"/>
        </w:rPr>
      </w:pPr>
    </w:p>
    <w:p w14:paraId="6475B4DF" w14:textId="77777777" w:rsidR="002907D5" w:rsidRDefault="00E421AF" w:rsidP="003D57D2">
      <w:r>
        <w:t xml:space="preserve">While Summer work is viewed separately from AY work, it is limited in total to 125%.  Units taught during </w:t>
      </w:r>
      <w:r w:rsidR="00472E22">
        <w:t xml:space="preserve">a state supported </w:t>
      </w:r>
      <w:r w:rsidR="002907D5">
        <w:t xml:space="preserve">Summer </w:t>
      </w:r>
      <w:r w:rsidR="00DC265D">
        <w:t>S</w:t>
      </w:r>
      <w:r w:rsidR="00472E22">
        <w:t xml:space="preserve">ession </w:t>
      </w:r>
      <w:r>
        <w:t>may apply to a temporary faculty members AY en</w:t>
      </w:r>
      <w:r w:rsidR="00584BBD">
        <w:t xml:space="preserve">titlements; </w:t>
      </w:r>
      <w:r>
        <w:t>Summer may be used to provide temporary faculty with their entitlement</w:t>
      </w:r>
      <w:r w:rsidR="00472E22">
        <w:t xml:space="preserve"> only if the summer session is state supported</w:t>
      </w:r>
      <w:r>
        <w:t>.</w:t>
      </w:r>
    </w:p>
    <w:p w14:paraId="12A8C2EE" w14:textId="77777777" w:rsidR="00E421AF" w:rsidRDefault="00E421AF" w:rsidP="003D57D2">
      <w:pPr>
        <w:rPr>
          <w:b/>
          <w:sz w:val="28"/>
          <w:szCs w:val="28"/>
          <w:u w:val="single"/>
        </w:rPr>
      </w:pPr>
    </w:p>
    <w:p w14:paraId="6F4AD7DC" w14:textId="77777777" w:rsidR="003D57D2" w:rsidRPr="00AF44F6" w:rsidRDefault="00575A41" w:rsidP="003D57D2">
      <w:pPr>
        <w:rPr>
          <w:b/>
          <w:u w:val="single"/>
        </w:rPr>
      </w:pPr>
      <w:r>
        <w:rPr>
          <w:b/>
          <w:u w:val="single"/>
        </w:rPr>
        <w:t>Academic-</w:t>
      </w:r>
      <w:r w:rsidR="003D57D2" w:rsidRPr="00AF44F6">
        <w:rPr>
          <w:b/>
          <w:u w:val="single"/>
        </w:rPr>
        <w:t>Year Faculty</w:t>
      </w:r>
    </w:p>
    <w:p w14:paraId="254803FE" w14:textId="77777777" w:rsidR="003D57D2" w:rsidRDefault="003D57D2" w:rsidP="003D57D2"/>
    <w:p w14:paraId="56CDDE7F" w14:textId="77777777" w:rsidR="003D57D2" w:rsidRDefault="003D57D2" w:rsidP="003D57D2">
      <w:r>
        <w:t xml:space="preserve">The Chancellor’s Office has advised us that the time and effort for Summer Session and Intersession courses is equivalent to the time and effort for courses taught during the regular semester.  </w:t>
      </w:r>
    </w:p>
    <w:p w14:paraId="32DD82F5" w14:textId="77777777" w:rsidR="003D57D2" w:rsidRDefault="003D57D2" w:rsidP="003D57D2"/>
    <w:p w14:paraId="76F5BC27" w14:textId="77777777" w:rsidR="003D57D2" w:rsidRDefault="003D57D2" w:rsidP="003D57D2">
      <w:r>
        <w:t xml:space="preserve">For example, a 3-unit Summer Session course represents a workload of 136 hours [85 days (the number of days in a normal semester) x 8 hours/day x 3/15 (timebase of a 3-unit course) = 136 hours].  Since Summer Session courses are taught over a condensed time period rather than the normal 17-work week semester, the </w:t>
      </w:r>
      <w:r w:rsidR="002907D5">
        <w:t xml:space="preserve">number of units a faculty member may teach is limited and may not result in exceeding the </w:t>
      </w:r>
      <w:r>
        <w:t xml:space="preserve">25% allowable overage.  </w:t>
      </w:r>
    </w:p>
    <w:p w14:paraId="4C402B7D" w14:textId="77777777" w:rsidR="003D57D2" w:rsidRDefault="003D57D2" w:rsidP="003D57D2"/>
    <w:p w14:paraId="54D1360C" w14:textId="77777777" w:rsidR="00E57159" w:rsidRDefault="00E57159" w:rsidP="00E57159">
      <w:r w:rsidRPr="00AE65D9">
        <w:rPr>
          <w:u w:val="single"/>
        </w:rPr>
        <w:t>Example</w:t>
      </w:r>
      <w:r>
        <w:t>:</w:t>
      </w:r>
    </w:p>
    <w:p w14:paraId="791349D1" w14:textId="77777777" w:rsidR="00E57159" w:rsidRDefault="00E57159" w:rsidP="00E57159"/>
    <w:p w14:paraId="7403C07F" w14:textId="77777777" w:rsidR="00E57159" w:rsidRPr="001F63E9" w:rsidRDefault="00E57159" w:rsidP="00E57159">
      <w:pPr>
        <w:rPr>
          <w:i/>
          <w:u w:val="single"/>
        </w:rPr>
      </w:pPr>
      <w:r w:rsidRPr="001F63E9">
        <w:rPr>
          <w:i/>
          <w:u w:val="single"/>
        </w:rPr>
        <w:t xml:space="preserve">3-Unit </w:t>
      </w:r>
      <w:r>
        <w:rPr>
          <w:i/>
          <w:u w:val="single"/>
        </w:rPr>
        <w:t>Summer Session</w:t>
      </w:r>
      <w:r w:rsidRPr="001F63E9">
        <w:rPr>
          <w:i/>
          <w:u w:val="single"/>
        </w:rPr>
        <w:t xml:space="preserve"> Course Taught Over </w:t>
      </w:r>
      <w:r>
        <w:rPr>
          <w:i/>
          <w:u w:val="single"/>
        </w:rPr>
        <w:t>6</w:t>
      </w:r>
      <w:r w:rsidRPr="001F63E9">
        <w:rPr>
          <w:i/>
          <w:u w:val="single"/>
        </w:rPr>
        <w:t xml:space="preserve"> Weeks:</w:t>
      </w:r>
    </w:p>
    <w:p w14:paraId="4EFCC5CA" w14:textId="77777777" w:rsidR="00E57159" w:rsidRDefault="00E57159" w:rsidP="00E57159">
      <w:r>
        <w:t>136 hours/6 weeks = 22.7 hours per week average</w:t>
      </w:r>
    </w:p>
    <w:p w14:paraId="523CC7C0" w14:textId="77777777" w:rsidR="002907D5" w:rsidRDefault="002907D5" w:rsidP="00E57159"/>
    <w:p w14:paraId="00C7E3C6" w14:textId="77777777" w:rsidR="002907D5" w:rsidRPr="001F63E9" w:rsidRDefault="00682D76" w:rsidP="002907D5">
      <w:pPr>
        <w:rPr>
          <w:i/>
          <w:u w:val="single"/>
        </w:rPr>
      </w:pPr>
      <w:r>
        <w:rPr>
          <w:i/>
          <w:u w:val="single"/>
        </w:rPr>
        <w:t>Two</w:t>
      </w:r>
      <w:r w:rsidR="002907D5">
        <w:rPr>
          <w:i/>
          <w:u w:val="single"/>
        </w:rPr>
        <w:t xml:space="preserve"> 3</w:t>
      </w:r>
      <w:r w:rsidR="002907D5" w:rsidRPr="001F63E9">
        <w:rPr>
          <w:i/>
          <w:u w:val="single"/>
        </w:rPr>
        <w:t xml:space="preserve">-Unit </w:t>
      </w:r>
      <w:r w:rsidR="002907D5">
        <w:rPr>
          <w:i/>
          <w:u w:val="single"/>
        </w:rPr>
        <w:t>Summer Session</w:t>
      </w:r>
      <w:r w:rsidR="002907D5" w:rsidRPr="001F63E9">
        <w:rPr>
          <w:i/>
          <w:u w:val="single"/>
        </w:rPr>
        <w:t xml:space="preserve"> Course</w:t>
      </w:r>
      <w:r w:rsidR="002907D5">
        <w:rPr>
          <w:i/>
          <w:u w:val="single"/>
        </w:rPr>
        <w:t>s</w:t>
      </w:r>
      <w:r w:rsidR="002907D5" w:rsidRPr="001F63E9">
        <w:rPr>
          <w:i/>
          <w:u w:val="single"/>
        </w:rPr>
        <w:t xml:space="preserve"> Taught Over </w:t>
      </w:r>
      <w:r w:rsidR="002907D5">
        <w:rPr>
          <w:i/>
          <w:u w:val="single"/>
        </w:rPr>
        <w:t>6</w:t>
      </w:r>
      <w:r w:rsidR="002907D5" w:rsidRPr="001F63E9">
        <w:rPr>
          <w:i/>
          <w:u w:val="single"/>
        </w:rPr>
        <w:t xml:space="preserve"> Weeks:</w:t>
      </w:r>
    </w:p>
    <w:p w14:paraId="0F79E04D" w14:textId="77777777" w:rsidR="002907D5" w:rsidRDefault="002907D5" w:rsidP="002907D5">
      <w:r>
        <w:t>272 hours/6 weeks = 45.33 hours per week average</w:t>
      </w:r>
    </w:p>
    <w:p w14:paraId="519E9462" w14:textId="77777777" w:rsidR="002907D5" w:rsidRDefault="002907D5" w:rsidP="00E57159">
      <w:r>
        <w:t xml:space="preserve">45.33 &lt; 50 hours/week, so this is </w:t>
      </w:r>
      <w:r w:rsidRPr="002F38B2">
        <w:rPr>
          <w:b/>
          <w:u w:val="single"/>
        </w:rPr>
        <w:t>allowed</w:t>
      </w:r>
    </w:p>
    <w:p w14:paraId="4BAF5199" w14:textId="77777777" w:rsidR="00E57159" w:rsidRDefault="00E57159" w:rsidP="00E57159">
      <w:pPr>
        <w:rPr>
          <w:b/>
        </w:rPr>
      </w:pPr>
    </w:p>
    <w:p w14:paraId="1FDA4296" w14:textId="77777777" w:rsidR="00E57159" w:rsidRDefault="00E57159" w:rsidP="003D57D2"/>
    <w:p w14:paraId="13392C77" w14:textId="77777777" w:rsidR="00E57159" w:rsidRDefault="00E57159" w:rsidP="003D57D2"/>
    <w:p w14:paraId="136B9F02" w14:textId="77777777" w:rsidR="003D57D2" w:rsidRPr="00A92860" w:rsidRDefault="00575A41" w:rsidP="003D57D2">
      <w:pPr>
        <w:rPr>
          <w:b/>
          <w:u w:val="single"/>
        </w:rPr>
      </w:pPr>
      <w:r>
        <w:rPr>
          <w:b/>
          <w:u w:val="single"/>
        </w:rPr>
        <w:t>12-</w:t>
      </w:r>
      <w:r w:rsidR="003D57D2">
        <w:rPr>
          <w:b/>
          <w:u w:val="single"/>
        </w:rPr>
        <w:t>m</w:t>
      </w:r>
      <w:r w:rsidR="009C151B">
        <w:rPr>
          <w:b/>
          <w:u w:val="single"/>
        </w:rPr>
        <w:t>onth Department Chairs &amp;</w:t>
      </w:r>
      <w:r>
        <w:rPr>
          <w:b/>
          <w:u w:val="single"/>
        </w:rPr>
        <w:t xml:space="preserve"> 12-</w:t>
      </w:r>
      <w:r w:rsidR="009C151B">
        <w:rPr>
          <w:b/>
          <w:u w:val="single"/>
        </w:rPr>
        <w:t>Month Faculty</w:t>
      </w:r>
    </w:p>
    <w:p w14:paraId="22BFD809" w14:textId="77777777" w:rsidR="00107304" w:rsidRDefault="00107304" w:rsidP="003D57D2"/>
    <w:p w14:paraId="34CF8F9C" w14:textId="77777777" w:rsidR="009C151B" w:rsidRDefault="00FE2DA5" w:rsidP="003D57D2">
      <w:r>
        <w:t xml:space="preserve">Provost Hellenbrand has approved a proposal that beginning with Summer </w:t>
      </w:r>
      <w:bookmarkStart w:id="0" w:name="_GoBack"/>
      <w:r>
        <w:t>2013</w:t>
      </w:r>
      <w:bookmarkEnd w:id="0"/>
      <w:r>
        <w:t xml:space="preserve">, </w:t>
      </w:r>
      <w:r w:rsidR="00107304">
        <w:t xml:space="preserve">vacations days </w:t>
      </w:r>
      <w:r>
        <w:t>are to be used by Department Chairs teaching in the summer. The calculations of vacation days will be based on the 12 week summer term, rather than on a weekly basis as has been done in the past.</w:t>
      </w:r>
      <w:r w:rsidR="00CC5835">
        <w:t xml:space="preserve"> </w:t>
      </w:r>
      <w:r w:rsidR="00A34D21">
        <w:t>And remember, i</w:t>
      </w:r>
      <w:r w:rsidR="004C2538">
        <w:t xml:space="preserve">f the additional work is being done through Extension or self- support funding Article 36 limitations </w:t>
      </w:r>
      <w:r w:rsidR="001A1D51">
        <w:t>still a</w:t>
      </w:r>
      <w:r w:rsidR="00CF63D2">
        <w:t>pply.</w:t>
      </w:r>
    </w:p>
    <w:p w14:paraId="19C5324F" w14:textId="77777777" w:rsidR="00FE2DA5" w:rsidRDefault="00FE2DA5" w:rsidP="003D57D2"/>
    <w:p w14:paraId="3D27C3FC" w14:textId="77777777" w:rsidR="00FE2DA5" w:rsidRPr="00FE2DA5" w:rsidRDefault="00FE2DA5" w:rsidP="003D57D2">
      <w:pPr>
        <w:rPr>
          <w:u w:val="single"/>
        </w:rPr>
      </w:pPr>
      <w:r w:rsidRPr="00FE2DA5">
        <w:rPr>
          <w:u w:val="single"/>
        </w:rPr>
        <w:t>Example:</w:t>
      </w:r>
    </w:p>
    <w:p w14:paraId="399678BC" w14:textId="77777777" w:rsidR="009C151B" w:rsidRDefault="009C151B" w:rsidP="003D57D2"/>
    <w:p w14:paraId="5CA28422" w14:textId="77777777" w:rsidR="00FE2DA5" w:rsidRPr="00FE2DA5" w:rsidRDefault="00FE2DA5" w:rsidP="003D57D2">
      <w:pPr>
        <w:rPr>
          <w:i/>
          <w:u w:val="single"/>
        </w:rPr>
      </w:pPr>
      <w:r w:rsidRPr="00FE2DA5">
        <w:rPr>
          <w:i/>
          <w:u w:val="single"/>
        </w:rPr>
        <w:t>3-Unit Summer Session Course Taught Over</w:t>
      </w:r>
      <w:r w:rsidR="005C2904">
        <w:rPr>
          <w:i/>
          <w:u w:val="single"/>
        </w:rPr>
        <w:t xml:space="preserve"> 12</w:t>
      </w:r>
      <w:r w:rsidRPr="00FE2DA5">
        <w:rPr>
          <w:i/>
          <w:u w:val="single"/>
        </w:rPr>
        <w:t>Weeks:</w:t>
      </w:r>
    </w:p>
    <w:p w14:paraId="61B40343" w14:textId="77777777" w:rsidR="00FE2DA5" w:rsidRDefault="005C2904" w:rsidP="003D57D2">
      <w:r>
        <w:t xml:space="preserve">45.33 </w:t>
      </w:r>
      <w:proofErr w:type="spellStart"/>
      <w:r>
        <w:t>hrs</w:t>
      </w:r>
      <w:proofErr w:type="spellEnd"/>
      <w:r>
        <w:t>/unit x 3 units = 136 hours</w:t>
      </w:r>
    </w:p>
    <w:p w14:paraId="51EE054B" w14:textId="77777777" w:rsidR="006E6308" w:rsidRDefault="005C2904" w:rsidP="003D57D2">
      <w:r>
        <w:t xml:space="preserve">136 </w:t>
      </w:r>
      <w:proofErr w:type="spellStart"/>
      <w:r>
        <w:t>hrs</w:t>
      </w:r>
      <w:proofErr w:type="spellEnd"/>
      <w:r>
        <w:t xml:space="preserve"> &gt; 120 </w:t>
      </w:r>
      <w:proofErr w:type="spellStart"/>
      <w:r>
        <w:t>hrs</w:t>
      </w:r>
      <w:proofErr w:type="spellEnd"/>
      <w:r>
        <w:t xml:space="preserve"> (10 </w:t>
      </w:r>
      <w:proofErr w:type="spellStart"/>
      <w:r>
        <w:t>hrs</w:t>
      </w:r>
      <w:proofErr w:type="spellEnd"/>
      <w:r>
        <w:t xml:space="preserve"> x 12 weeks) </w:t>
      </w:r>
    </w:p>
    <w:p w14:paraId="334DF3ED" w14:textId="77777777" w:rsidR="005C2904" w:rsidRDefault="006E6308" w:rsidP="003D57D2">
      <w:r>
        <w:t xml:space="preserve">136 hours - 120 hours </w:t>
      </w:r>
      <w:r w:rsidR="005C2904">
        <w:t>– 2 vacation days taken will cover the remaining 16 hrs.</w:t>
      </w:r>
    </w:p>
    <w:p w14:paraId="5093913B" w14:textId="77777777" w:rsidR="005C2904" w:rsidRPr="00406BF1" w:rsidRDefault="005C2904" w:rsidP="003D57D2">
      <w:pPr>
        <w:rPr>
          <w14:shadow w14:blurRad="50800" w14:dist="38100" w14:dir="18900000" w14:sx="100000" w14:sy="100000" w14:kx="0" w14:ky="0" w14:algn="bl">
            <w14:srgbClr w14:val="000000">
              <w14:alpha w14:val="60000"/>
            </w14:srgbClr>
          </w14:shadow>
        </w:rPr>
      </w:pPr>
    </w:p>
    <w:p w14:paraId="48375EDF" w14:textId="77777777" w:rsidR="003D57D2" w:rsidRPr="00E2676B" w:rsidRDefault="003D57D2" w:rsidP="003D57D2">
      <w:pPr>
        <w:rPr>
          <w:b/>
          <w:sz w:val="32"/>
          <w:szCs w:val="32"/>
          <w:u w:val="single"/>
        </w:rPr>
      </w:pPr>
      <w:r w:rsidRPr="00E2676B">
        <w:rPr>
          <w:b/>
          <w:sz w:val="32"/>
          <w:szCs w:val="32"/>
          <w:u w:val="single"/>
        </w:rPr>
        <w:t>Intersession Employment</w:t>
      </w:r>
    </w:p>
    <w:p w14:paraId="0F3F7412" w14:textId="77777777" w:rsidR="003D57D2" w:rsidRDefault="003D57D2" w:rsidP="003D57D2">
      <w:pPr>
        <w:rPr>
          <w:b/>
          <w:sz w:val="28"/>
          <w:szCs w:val="28"/>
          <w:u w:val="single"/>
        </w:rPr>
      </w:pPr>
    </w:p>
    <w:p w14:paraId="10548EF7" w14:textId="77777777" w:rsidR="003D57D2" w:rsidRPr="001F63E9" w:rsidRDefault="00575A41" w:rsidP="003D57D2">
      <w:pPr>
        <w:rPr>
          <w:b/>
          <w:u w:val="single"/>
        </w:rPr>
      </w:pPr>
      <w:r>
        <w:rPr>
          <w:b/>
          <w:u w:val="single"/>
        </w:rPr>
        <w:t>Academic-</w:t>
      </w:r>
      <w:r w:rsidR="003D57D2" w:rsidRPr="001F63E9">
        <w:rPr>
          <w:b/>
          <w:u w:val="single"/>
        </w:rPr>
        <w:t>Year Faculty</w:t>
      </w:r>
    </w:p>
    <w:p w14:paraId="16FD4498" w14:textId="77777777" w:rsidR="003D57D2" w:rsidRPr="001F63E9" w:rsidRDefault="003D57D2" w:rsidP="003D57D2">
      <w:pPr>
        <w:rPr>
          <w:u w:val="single"/>
        </w:rPr>
      </w:pPr>
    </w:p>
    <w:p w14:paraId="0D3D2ACD" w14:textId="77777777" w:rsidR="003D57D2" w:rsidRDefault="003D57D2" w:rsidP="003D57D2">
      <w:r>
        <w:t>Ac</w:t>
      </w:r>
      <w:r w:rsidR="009C151B">
        <w:t>ademic year faculty may teach during intersession. Caution must be taken so that the number of units assigned over the length of the intersession course does not exceed the allowable overage.</w:t>
      </w:r>
    </w:p>
    <w:p w14:paraId="7E9FBB0F" w14:textId="77777777" w:rsidR="003D57D2" w:rsidRDefault="003D57D2" w:rsidP="003D57D2"/>
    <w:p w14:paraId="50D81E51" w14:textId="77777777" w:rsidR="003D57D2" w:rsidRDefault="003D57D2" w:rsidP="003D57D2">
      <w:pPr>
        <w:rPr>
          <w:u w:val="single"/>
        </w:rPr>
      </w:pPr>
      <w:r w:rsidRPr="001F63E9">
        <w:rPr>
          <w:u w:val="single"/>
        </w:rPr>
        <w:t>Example:</w:t>
      </w:r>
    </w:p>
    <w:p w14:paraId="0E0FEA9C" w14:textId="77777777" w:rsidR="003D57D2" w:rsidRPr="001F63E9" w:rsidRDefault="003D57D2" w:rsidP="003D57D2">
      <w:pPr>
        <w:rPr>
          <w:u w:val="single"/>
        </w:rPr>
      </w:pPr>
    </w:p>
    <w:p w14:paraId="13A82CB4" w14:textId="77777777" w:rsidR="003D57D2" w:rsidRPr="001F63E9" w:rsidRDefault="003D57D2" w:rsidP="003D57D2">
      <w:pPr>
        <w:rPr>
          <w:i/>
          <w:u w:val="single"/>
        </w:rPr>
      </w:pPr>
      <w:r w:rsidRPr="001F63E9">
        <w:rPr>
          <w:i/>
          <w:u w:val="single"/>
        </w:rPr>
        <w:t>3 Unit Intersession Course Taught Over 3 Weeks</w:t>
      </w:r>
    </w:p>
    <w:p w14:paraId="35C7BA8D" w14:textId="77777777" w:rsidR="003D57D2" w:rsidRDefault="003D57D2" w:rsidP="003D57D2">
      <w:r>
        <w:t>136 hours/3 weeks = 45.3 hours per week average</w:t>
      </w:r>
    </w:p>
    <w:p w14:paraId="4A4C7FCD" w14:textId="77777777" w:rsidR="003D57D2" w:rsidRPr="002F38B2" w:rsidRDefault="003D57D2" w:rsidP="003D57D2">
      <w:pPr>
        <w:rPr>
          <w:b/>
        </w:rPr>
      </w:pPr>
      <w:r>
        <w:t xml:space="preserve">45.3 &lt; 50 hours/week so this is </w:t>
      </w:r>
      <w:r w:rsidRPr="002F38B2">
        <w:rPr>
          <w:b/>
          <w:u w:val="single"/>
        </w:rPr>
        <w:t>allowed</w:t>
      </w:r>
    </w:p>
    <w:p w14:paraId="73CFA75F" w14:textId="77777777" w:rsidR="003D57D2" w:rsidRDefault="003D57D2" w:rsidP="003D57D2"/>
    <w:p w14:paraId="0054E7CB" w14:textId="77777777" w:rsidR="003D57D2" w:rsidRDefault="003D57D2" w:rsidP="003D57D2">
      <w:pPr>
        <w:rPr>
          <w:b/>
          <w:u w:val="single"/>
        </w:rPr>
      </w:pPr>
    </w:p>
    <w:sectPr w:rsidR="003D57D2" w:rsidSect="004E3802">
      <w:footerReference w:type="defaul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23902" w14:textId="77777777" w:rsidR="006F63E3" w:rsidRDefault="006F63E3">
      <w:r>
        <w:separator/>
      </w:r>
    </w:p>
  </w:endnote>
  <w:endnote w:type="continuationSeparator" w:id="0">
    <w:p w14:paraId="47A98339" w14:textId="77777777" w:rsidR="006F63E3" w:rsidRDefault="006F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FF23" w14:textId="77777777" w:rsidR="00155744" w:rsidRDefault="00155744">
    <w:pPr>
      <w:pStyle w:val="Footer"/>
      <w:rPr>
        <w:u w:val="single"/>
      </w:rPr>
    </w:pPr>
    <w:r>
      <w:rPr>
        <w:u w:val="single"/>
      </w:rPr>
      <w:tab/>
    </w:r>
    <w:r>
      <w:rPr>
        <w:u w:val="single"/>
      </w:rPr>
      <w:tab/>
    </w:r>
    <w:r>
      <w:rPr>
        <w:u w:val="single"/>
      </w:rPr>
      <w:tab/>
    </w:r>
  </w:p>
  <w:p w14:paraId="7FB9C358" w14:textId="77777777" w:rsidR="00155744" w:rsidRPr="004E3802" w:rsidRDefault="00155744" w:rsidP="00CF3534">
    <w:pPr>
      <w:pStyle w:val="Footer"/>
      <w:jc w:val="right"/>
      <w:rPr>
        <w:sz w:val="16"/>
        <w:szCs w:val="16"/>
      </w:rPr>
    </w:pP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B758D4">
      <w:rPr>
        <w:noProof/>
        <w:sz w:val="16"/>
        <w:szCs w:val="16"/>
      </w:rPr>
      <w:t>3</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B758D4">
      <w:rPr>
        <w:noProof/>
        <w:sz w:val="16"/>
        <w:szCs w:val="16"/>
      </w:rPr>
      <w:t>3</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1487FAD0" w14:textId="77777777" w:rsidR="00155744" w:rsidRPr="004E3802" w:rsidRDefault="00155744" w:rsidP="00CF3534">
    <w:pPr>
      <w:pStyle w:val="Footer"/>
      <w:jc w:val="right"/>
      <w:rPr>
        <w:sz w:val="16"/>
        <w:szCs w:val="16"/>
      </w:rPr>
    </w:pPr>
    <w:r>
      <w:rPr>
        <w:sz w:val="16"/>
        <w:szCs w:val="16"/>
      </w:rPr>
      <w:t>V:</w:t>
    </w:r>
    <w:r w:rsidRPr="00E176BF">
      <w:rPr>
        <w:sz w:val="16"/>
        <w:szCs w:val="16"/>
      </w:rPr>
      <w:t xml:space="preserve"> </w:t>
    </w:r>
    <w:r>
      <w:rPr>
        <w:sz w:val="16"/>
        <w:szCs w:val="16"/>
      </w:rPr>
      <w:t xml:space="preserve">Processes: Additional Employment Restrictions                                                                                                                      </w:t>
    </w:r>
    <w:r w:rsidRPr="004E3802">
      <w:rPr>
        <w:sz w:val="16"/>
        <w:szCs w:val="16"/>
      </w:rPr>
      <w:t xml:space="preserve">Revised:  </w:t>
    </w:r>
    <w:r w:rsidR="00277DCE">
      <w:rPr>
        <w:sz w:val="16"/>
        <w:szCs w:val="16"/>
      </w:rPr>
      <w:t>07/29</w:t>
    </w:r>
    <w:r>
      <w:rPr>
        <w:sz w:val="16"/>
        <w:szCs w:val="16"/>
      </w:rPr>
      <w:t>/201</w:t>
    </w:r>
    <w:r w:rsidR="00B758D4">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2A35" w14:textId="77777777" w:rsidR="00155744" w:rsidRDefault="00155744">
    <w:pPr>
      <w:pStyle w:val="Footer"/>
      <w:pBdr>
        <w:bottom w:val="single" w:sz="12" w:space="1" w:color="auto"/>
      </w:pBdr>
    </w:pPr>
  </w:p>
  <w:p w14:paraId="3810E1C9" w14:textId="77777777" w:rsidR="00155744" w:rsidRPr="004E3802" w:rsidRDefault="00155744" w:rsidP="004E3802">
    <w:pPr>
      <w:pStyle w:val="Footer"/>
      <w:jc w:val="right"/>
      <w:rPr>
        <w:sz w:val="16"/>
        <w:szCs w:val="16"/>
      </w:rPr>
    </w:pP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B758D4">
      <w:rPr>
        <w:noProof/>
        <w:sz w:val="16"/>
        <w:szCs w:val="16"/>
      </w:rPr>
      <w:t>1</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B758D4">
      <w:rPr>
        <w:noProof/>
        <w:sz w:val="16"/>
        <w:szCs w:val="16"/>
      </w:rPr>
      <w:t>3</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7AB2AE23" w14:textId="77777777" w:rsidR="00155744" w:rsidRPr="004E3802" w:rsidRDefault="00155744" w:rsidP="000D7263">
    <w:pPr>
      <w:pStyle w:val="Footer"/>
      <w:jc w:val="center"/>
      <w:rPr>
        <w:sz w:val="16"/>
        <w:szCs w:val="16"/>
      </w:rPr>
    </w:pPr>
    <w:r>
      <w:rPr>
        <w:sz w:val="16"/>
        <w:szCs w:val="16"/>
      </w:rPr>
      <w:t>V: Processes: Additional Employment Restrictions                                                                                                                      R</w:t>
    </w:r>
    <w:r w:rsidRPr="004E3802">
      <w:rPr>
        <w:sz w:val="16"/>
        <w:szCs w:val="16"/>
      </w:rPr>
      <w:t xml:space="preserve">evised:  </w:t>
    </w:r>
    <w:r w:rsidR="00277DCE">
      <w:rPr>
        <w:sz w:val="16"/>
        <w:szCs w:val="16"/>
      </w:rPr>
      <w:t>07/29</w:t>
    </w:r>
    <w:r>
      <w:rPr>
        <w:sz w:val="16"/>
        <w:szCs w:val="16"/>
      </w:rPr>
      <w:t>/201</w:t>
    </w:r>
    <w:r w:rsidR="00B758D4">
      <w:rPr>
        <w:sz w:val="16"/>
        <w:szCs w:val="16"/>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04F2" w14:textId="77777777" w:rsidR="006F63E3" w:rsidRDefault="006F63E3">
      <w:r>
        <w:separator/>
      </w:r>
    </w:p>
  </w:footnote>
  <w:footnote w:type="continuationSeparator" w:id="0">
    <w:p w14:paraId="5C27BB99" w14:textId="77777777" w:rsidR="006F63E3" w:rsidRDefault="006F63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8AC"/>
    <w:multiLevelType w:val="hybridMultilevel"/>
    <w:tmpl w:val="B5A4D21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3272E"/>
    <w:multiLevelType w:val="hybridMultilevel"/>
    <w:tmpl w:val="7A2099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D36"/>
    <w:rsid w:val="00063DAD"/>
    <w:rsid w:val="00074650"/>
    <w:rsid w:val="000844CD"/>
    <w:rsid w:val="000D7263"/>
    <w:rsid w:val="000F4543"/>
    <w:rsid w:val="00107304"/>
    <w:rsid w:val="001255D4"/>
    <w:rsid w:val="001453B8"/>
    <w:rsid w:val="00155744"/>
    <w:rsid w:val="00173DB6"/>
    <w:rsid w:val="001A1D51"/>
    <w:rsid w:val="001D74EA"/>
    <w:rsid w:val="00232F8E"/>
    <w:rsid w:val="00253213"/>
    <w:rsid w:val="002723D6"/>
    <w:rsid w:val="00276DFA"/>
    <w:rsid w:val="00277DCE"/>
    <w:rsid w:val="002907D5"/>
    <w:rsid w:val="002B53C4"/>
    <w:rsid w:val="002D44B8"/>
    <w:rsid w:val="003108A9"/>
    <w:rsid w:val="0039375A"/>
    <w:rsid w:val="003C1F35"/>
    <w:rsid w:val="003D57D2"/>
    <w:rsid w:val="00406BF1"/>
    <w:rsid w:val="004622A2"/>
    <w:rsid w:val="00472E22"/>
    <w:rsid w:val="004C2538"/>
    <w:rsid w:val="004E3802"/>
    <w:rsid w:val="00575A41"/>
    <w:rsid w:val="00584883"/>
    <w:rsid w:val="00584BBD"/>
    <w:rsid w:val="005A2945"/>
    <w:rsid w:val="005C2904"/>
    <w:rsid w:val="005C3CA0"/>
    <w:rsid w:val="006726D0"/>
    <w:rsid w:val="00682D76"/>
    <w:rsid w:val="0069294D"/>
    <w:rsid w:val="006B7502"/>
    <w:rsid w:val="006D424E"/>
    <w:rsid w:val="006E6308"/>
    <w:rsid w:val="006F63E3"/>
    <w:rsid w:val="00725765"/>
    <w:rsid w:val="00733DAC"/>
    <w:rsid w:val="007C2132"/>
    <w:rsid w:val="00800347"/>
    <w:rsid w:val="008459DC"/>
    <w:rsid w:val="00860607"/>
    <w:rsid w:val="00893159"/>
    <w:rsid w:val="008E741E"/>
    <w:rsid w:val="00917376"/>
    <w:rsid w:val="009536FA"/>
    <w:rsid w:val="00953731"/>
    <w:rsid w:val="0095402E"/>
    <w:rsid w:val="009C151B"/>
    <w:rsid w:val="009C2C8C"/>
    <w:rsid w:val="009D2660"/>
    <w:rsid w:val="009D2F16"/>
    <w:rsid w:val="00A05F55"/>
    <w:rsid w:val="00A34D21"/>
    <w:rsid w:val="00A61196"/>
    <w:rsid w:val="00AD7E8E"/>
    <w:rsid w:val="00B360D7"/>
    <w:rsid w:val="00B57C14"/>
    <w:rsid w:val="00B7437A"/>
    <w:rsid w:val="00B758D4"/>
    <w:rsid w:val="00B90ADD"/>
    <w:rsid w:val="00BB277F"/>
    <w:rsid w:val="00C45BA8"/>
    <w:rsid w:val="00C468D0"/>
    <w:rsid w:val="00C46C0E"/>
    <w:rsid w:val="00C5036D"/>
    <w:rsid w:val="00C75BCE"/>
    <w:rsid w:val="00C83BB8"/>
    <w:rsid w:val="00CA0F18"/>
    <w:rsid w:val="00CC5835"/>
    <w:rsid w:val="00CF3534"/>
    <w:rsid w:val="00CF63D2"/>
    <w:rsid w:val="00D1022F"/>
    <w:rsid w:val="00DC265D"/>
    <w:rsid w:val="00E176BF"/>
    <w:rsid w:val="00E2676B"/>
    <w:rsid w:val="00E421AF"/>
    <w:rsid w:val="00E57159"/>
    <w:rsid w:val="00E66B81"/>
    <w:rsid w:val="00EC0037"/>
    <w:rsid w:val="00ED1DCF"/>
    <w:rsid w:val="00F01165"/>
    <w:rsid w:val="00F15794"/>
    <w:rsid w:val="00F611B2"/>
    <w:rsid w:val="00F807A2"/>
    <w:rsid w:val="00F91AB1"/>
    <w:rsid w:val="00FC0938"/>
    <w:rsid w:val="00FC54F0"/>
    <w:rsid w:val="00FC562E"/>
    <w:rsid w:val="00FE0878"/>
    <w:rsid w:val="00FE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0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7A"/>
    <w:rPr>
      <w:sz w:val="24"/>
      <w:szCs w:val="24"/>
    </w:rPr>
  </w:style>
  <w:style w:type="paragraph" w:styleId="Heading1">
    <w:name w:val="heading 1"/>
    <w:basedOn w:val="Normal"/>
    <w:next w:val="Normal"/>
    <w:qFormat/>
    <w:rsid w:val="00B7437A"/>
    <w:pPr>
      <w:keepNext/>
      <w:jc w:val="right"/>
      <w:outlineLvl w:val="0"/>
    </w:pPr>
    <w:rPr>
      <w:b/>
      <w:bCs/>
      <w:sz w:val="20"/>
    </w:rPr>
  </w:style>
  <w:style w:type="paragraph" w:styleId="Heading2">
    <w:name w:val="heading 2"/>
    <w:basedOn w:val="Normal"/>
    <w:next w:val="Normal"/>
    <w:qFormat/>
    <w:rsid w:val="00B7437A"/>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437A"/>
    <w:pPr>
      <w:tabs>
        <w:tab w:val="center" w:pos="4320"/>
        <w:tab w:val="right" w:pos="8640"/>
      </w:tabs>
    </w:pPr>
  </w:style>
  <w:style w:type="paragraph" w:styleId="Footer">
    <w:name w:val="footer"/>
    <w:basedOn w:val="Normal"/>
    <w:rsid w:val="00B7437A"/>
    <w:pPr>
      <w:tabs>
        <w:tab w:val="center" w:pos="4320"/>
        <w:tab w:val="right" w:pos="8640"/>
      </w:tabs>
    </w:pPr>
  </w:style>
  <w:style w:type="paragraph" w:styleId="BodyText">
    <w:name w:val="Body Text"/>
    <w:basedOn w:val="Normal"/>
    <w:rsid w:val="00B7437A"/>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3D57D2"/>
    <w:pPr>
      <w:jc w:val="center"/>
    </w:pPr>
    <w:rPr>
      <w:b/>
      <w:bCs/>
      <w:sz w:val="32"/>
    </w:rPr>
  </w:style>
  <w:style w:type="paragraph" w:styleId="BalloonText">
    <w:name w:val="Balloon Text"/>
    <w:basedOn w:val="Normal"/>
    <w:link w:val="BalloonTextChar"/>
    <w:rsid w:val="00F611B2"/>
    <w:rPr>
      <w:rFonts w:ascii="Tahoma" w:hAnsi="Tahoma" w:cs="Tahoma"/>
      <w:sz w:val="16"/>
      <w:szCs w:val="16"/>
    </w:rPr>
  </w:style>
  <w:style w:type="character" w:customStyle="1" w:styleId="BalloonTextChar">
    <w:name w:val="Balloon Text Char"/>
    <w:basedOn w:val="DefaultParagraphFont"/>
    <w:link w:val="BalloonText"/>
    <w:rsid w:val="00F6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AC01-09C9-5649-9A3F-004CF7E2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854</Words>
  <Characters>4871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Carvajal, Iliana</cp:lastModifiedBy>
  <cp:revision>6</cp:revision>
  <cp:lastPrinted>2015-07-29T15:58:00Z</cp:lastPrinted>
  <dcterms:created xsi:type="dcterms:W3CDTF">2013-12-17T20:33:00Z</dcterms:created>
  <dcterms:modified xsi:type="dcterms:W3CDTF">2016-07-29T20:40:00Z</dcterms:modified>
</cp:coreProperties>
</file>