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b/>
          <w:bCs/>
          <w:sz w:val="24"/>
          <w:szCs w:val="24"/>
        </w:rPr>
        <w:t>CONTEMPORARY ETHICAL ISSUES</w:t>
      </w:r>
    </w:p>
    <w:p w:rsidR="00176887" w:rsidRDefault="00176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Religious Studies 361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Fall</w:t>
      </w:r>
      <w:proofErr w:type="gramEnd"/>
      <w:r>
        <w:rPr>
          <w:rFonts w:ascii="Times New Roman" w:hAnsi="Times New Roman"/>
          <w:sz w:val="24"/>
          <w:szCs w:val="24"/>
        </w:rPr>
        <w:t xml:space="preserve"> 2015</w:t>
      </w: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#14372 T 4:00-6:45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Ken Todd</w:t>
      </w: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Sierra Hall 192</w:t>
      </w:r>
      <w:r>
        <w:rPr>
          <w:rFonts w:ascii="Times New Roman" w:hAnsi="Times New Roman"/>
          <w:sz w:val="24"/>
          <w:szCs w:val="24"/>
        </w:rPr>
        <w:tab/>
      </w: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Office Hours: T </w:t>
      </w:r>
      <w:proofErr w:type="spellStart"/>
      <w:r>
        <w:rPr>
          <w:rFonts w:ascii="Times New Roman" w:hAnsi="Times New Roman"/>
          <w:sz w:val="24"/>
          <w:szCs w:val="24"/>
        </w:rPr>
        <w:t>Th</w:t>
      </w:r>
      <w:proofErr w:type="spellEnd"/>
      <w:r>
        <w:rPr>
          <w:rFonts w:ascii="Times New Roman" w:hAnsi="Times New Roman"/>
          <w:sz w:val="24"/>
          <w:szCs w:val="24"/>
        </w:rPr>
        <w:t xml:space="preserve"> 1:00-1:50; 3:30-3:50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kenneth.todd@csun.edu</w:t>
      </w: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Santa Susana 418 (818 677-6875)</w:t>
      </w:r>
    </w:p>
    <w:p w:rsidR="00176887" w:rsidRDefault="00176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course addresses contemporary ethical issues: How should one </w:t>
      </w:r>
      <w:r>
        <w:rPr>
          <w:rFonts w:ascii="Times New Roman" w:hAnsi="Times New Roman"/>
          <w:i/>
          <w:iCs/>
          <w:sz w:val="24"/>
          <w:szCs w:val="24"/>
        </w:rPr>
        <w:t>be</w:t>
      </w:r>
      <w:r>
        <w:rPr>
          <w:rFonts w:ascii="Times New Roman" w:hAnsi="Times New Roman"/>
          <w:sz w:val="24"/>
          <w:szCs w:val="24"/>
        </w:rPr>
        <w:t xml:space="preserve"> in the world? How should one act? How do we create a society that is livable and addresses the needs of everyone in it? The first part of the course addresses religion and religious ethics: What does it mean to act ethically according to religion? The second part will address various modern theories of ethics and what constitutes ethical behavior. The third part will investigate several different ethical issues of contemporary concern. Ethics are important because our choices </w:t>
      </w:r>
      <w:proofErr w:type="gramStart"/>
      <w:r>
        <w:rPr>
          <w:rFonts w:ascii="Times New Roman" w:hAnsi="Times New Roman"/>
          <w:sz w:val="24"/>
          <w:szCs w:val="24"/>
        </w:rPr>
        <w:t>are</w:t>
      </w:r>
      <w:proofErr w:type="gramEnd"/>
      <w:r>
        <w:rPr>
          <w:rFonts w:ascii="Times New Roman" w:hAnsi="Times New Roman"/>
          <w:sz w:val="24"/>
          <w:szCs w:val="24"/>
        </w:rPr>
        <w:t xml:space="preserve"> important.</w:t>
      </w:r>
    </w:p>
    <w:p w:rsidR="00176887" w:rsidRDefault="00176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176887" w:rsidRDefault="00176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b/>
          <w:bCs/>
          <w:sz w:val="24"/>
          <w:szCs w:val="24"/>
        </w:rPr>
      </w:pPr>
      <w:proofErr w:type="gramStart"/>
      <w:r>
        <w:rPr>
          <w:rFonts w:ascii="Times New Roman" w:hAnsi="Times New Roman"/>
          <w:b/>
          <w:bCs/>
          <w:sz w:val="24"/>
          <w:szCs w:val="24"/>
          <w:u w:val="single"/>
        </w:rPr>
        <w:t>SLO’s for RS 361.</w:t>
      </w:r>
      <w:proofErr w:type="gramEnd"/>
      <w:r>
        <w:rPr>
          <w:rFonts w:ascii="Times New Roman" w:hAnsi="Times New Roman"/>
          <w:b/>
          <w:bCs/>
          <w:sz w:val="24"/>
          <w:szCs w:val="24"/>
          <w:u w:val="single"/>
        </w:rPr>
        <w:t xml:space="preserve"> Contemporary Ethical Issues</w:t>
      </w:r>
      <w:r>
        <w:rPr>
          <w:rFonts w:ascii="Times New Roman" w:hAnsi="Times New Roman"/>
          <w:b/>
          <w:bCs/>
          <w:sz w:val="24"/>
          <w:szCs w:val="24"/>
        </w:rPr>
        <w:t xml:space="preserve"> </w:t>
      </w:r>
    </w:p>
    <w:p w:rsidR="00176887" w:rsidRDefault="00176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b/>
          <w:bCs/>
          <w:sz w:val="24"/>
          <w:szCs w:val="24"/>
        </w:rPr>
      </w:pPr>
    </w:p>
    <w:p w:rsidR="00176887" w:rsidRDefault="00C64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course emphasizes the development of skills in critical thinking through analysis of such contemporary ethical issues as abortion, euthanasia, genetic engineering, sexual behavior, racism, gender bias, punishment, animal rights, the environment, and the relationships between religion and morality. </w:t>
      </w:r>
    </w:p>
    <w:p w:rsidR="00176887" w:rsidRDefault="00176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Students will be able to articulate, orally and in writing, the diversity and distinctiveness of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moral values implicit in and the ethical arguments currently employed within various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religious</w:t>
      </w:r>
      <w:proofErr w:type="gramEnd"/>
      <w:r>
        <w:rPr>
          <w:rFonts w:ascii="Times New Roman" w:hAnsi="Times New Roman"/>
          <w:sz w:val="24"/>
          <w:szCs w:val="24"/>
        </w:rPr>
        <w:t xml:space="preserve"> and secular traditions.</w:t>
      </w:r>
      <w:r>
        <w:rPr>
          <w:rFonts w:ascii="Times New Roman" w:hAnsi="Times New Roman"/>
          <w:sz w:val="24"/>
          <w:szCs w:val="24"/>
        </w:rPr>
        <w:br/>
      </w:r>
      <w:r>
        <w:rPr>
          <w:rFonts w:ascii="Times New Roman" w:hAnsi="Times New Roman"/>
          <w:sz w:val="24"/>
          <w:szCs w:val="24"/>
        </w:rPr>
        <w:br/>
        <w:t>2.</w:t>
      </w:r>
      <w:r>
        <w:rPr>
          <w:rFonts w:ascii="Times New Roman" w:hAnsi="Times New Roman"/>
          <w:sz w:val="24"/>
          <w:szCs w:val="24"/>
        </w:rPr>
        <w:tab/>
        <w:t xml:space="preserve">Students will demonstrate an understanding of the influence of diverse religious and secular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traditions</w:t>
      </w:r>
      <w:proofErr w:type="gramEnd"/>
      <w:r>
        <w:rPr>
          <w:rFonts w:ascii="Times New Roman" w:hAnsi="Times New Roman"/>
          <w:sz w:val="24"/>
          <w:szCs w:val="24"/>
        </w:rPr>
        <w:t xml:space="preserve"> on moral attitudes and behaviors.</w:t>
      </w:r>
      <w:r>
        <w:rPr>
          <w:rFonts w:ascii="Times New Roman" w:hAnsi="Times New Roman"/>
          <w:sz w:val="24"/>
          <w:szCs w:val="24"/>
        </w:rPr>
        <w:br/>
      </w:r>
      <w:r>
        <w:rPr>
          <w:rFonts w:ascii="Times New Roman" w:hAnsi="Times New Roman"/>
          <w:sz w:val="24"/>
          <w:szCs w:val="24"/>
        </w:rPr>
        <w:br/>
        <w:t>3.</w:t>
      </w:r>
      <w:r>
        <w:rPr>
          <w:rFonts w:ascii="Times New Roman" w:hAnsi="Times New Roman"/>
          <w:sz w:val="24"/>
          <w:szCs w:val="24"/>
        </w:rPr>
        <w:tab/>
        <w:t xml:space="preserve">Students will be able to develop oral and written proposals for resolving current moral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dilemmas</w:t>
      </w:r>
      <w:proofErr w:type="gramEnd"/>
      <w:r>
        <w:rPr>
          <w:rFonts w:ascii="Times New Roman" w:hAnsi="Times New Roman"/>
          <w:sz w:val="24"/>
          <w:szCs w:val="24"/>
        </w:rPr>
        <w:t xml:space="preserve"> in society.</w:t>
      </w:r>
      <w:r>
        <w:rPr>
          <w:rFonts w:ascii="Times New Roman" w:hAnsi="Times New Roman"/>
          <w:sz w:val="24"/>
          <w:szCs w:val="24"/>
        </w:rPr>
        <w:br/>
      </w:r>
      <w:r>
        <w:rPr>
          <w:rFonts w:ascii="Times New Roman" w:hAnsi="Times New Roman"/>
          <w:sz w:val="24"/>
          <w:szCs w:val="24"/>
        </w:rPr>
        <w:br/>
        <w:t>4.</w:t>
      </w:r>
      <w:r>
        <w:rPr>
          <w:rFonts w:ascii="Times New Roman" w:hAnsi="Times New Roman"/>
          <w:sz w:val="24"/>
          <w:szCs w:val="24"/>
        </w:rPr>
        <w:tab/>
        <w:t xml:space="preserve">Students will be able to recognize and critically evaluate their own and others’ assumptions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and</w:t>
      </w:r>
      <w:proofErr w:type="gramEnd"/>
      <w:r>
        <w:rPr>
          <w:rFonts w:ascii="Times New Roman" w:hAnsi="Times New Roman"/>
          <w:sz w:val="24"/>
          <w:szCs w:val="24"/>
        </w:rPr>
        <w:t xml:space="preserve"> biases as they play a role in - - and sometimes distort - - their thinking.</w:t>
      </w:r>
      <w:r>
        <w:rPr>
          <w:rFonts w:ascii="Times New Roman" w:hAnsi="Times New Roman"/>
          <w:sz w:val="24"/>
          <w:szCs w:val="24"/>
        </w:rPr>
        <w:br/>
      </w:r>
      <w:r>
        <w:rPr>
          <w:rFonts w:ascii="Times New Roman" w:hAnsi="Times New Roman"/>
          <w:sz w:val="24"/>
          <w:szCs w:val="24"/>
        </w:rPr>
        <w:br/>
        <w:t>5.</w:t>
      </w:r>
      <w:r>
        <w:rPr>
          <w:rFonts w:ascii="Times New Roman" w:hAnsi="Times New Roman"/>
          <w:sz w:val="24"/>
          <w:szCs w:val="24"/>
        </w:rPr>
        <w:tab/>
        <w:t xml:space="preserve">Students will demonstrate oral communication skills and mindful listening through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conversations</w:t>
      </w:r>
      <w:proofErr w:type="gramEnd"/>
      <w:r>
        <w:rPr>
          <w:rFonts w:ascii="Times New Roman" w:hAnsi="Times New Roman"/>
          <w:sz w:val="24"/>
          <w:szCs w:val="24"/>
        </w:rPr>
        <w:t xml:space="preserve"> in the classroom about the moral values and forms of ethical thinking of fellow students.</w:t>
      </w:r>
      <w:r>
        <w:rPr>
          <w:rFonts w:ascii="Times New Roman" w:hAnsi="Times New Roman"/>
          <w:sz w:val="24"/>
          <w:szCs w:val="24"/>
        </w:rPr>
        <w:br/>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 361 is an upper division G.E. course that provides credit in the Arts and Humanities</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This course is a GE Writing Intensive course, and in each WI course students will be required to complete writing assignments totaling a minimum of 2500 words.</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Goal: Students will develop their abilities to express themselves and the knowledge they have obtained through practicing various forms of writing within different disciplinary contexts. Writing intensive courses will build </w:t>
      </w:r>
      <w:r>
        <w:rPr>
          <w:rFonts w:ascii="Times New Roman" w:hAnsi="Times New Roman"/>
          <w:sz w:val="24"/>
          <w:szCs w:val="24"/>
        </w:rPr>
        <w:lastRenderedPageBreak/>
        <w:t xml:space="preserve">upon the skills gained in the Analytical Reading and Expository Writing section of Basic Skills. In each WI course students will be required to complete writing assignments totaling a minimum of 2500 words.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sectPr w:rsidR="00176887">
          <w:pgSz w:w="12240" w:h="15840"/>
          <w:pgMar w:top="1440" w:right="720" w:bottom="1440" w:left="720" w:header="720" w:footer="720" w:gutter="0"/>
          <w:cols w:space="720"/>
          <w:noEndnote/>
        </w:sectPr>
      </w:pP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Student Learning Outcomes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Students will: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Develop and clearly define their ideas through writing;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Ethically integrate sources of various kinds into their writing</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Compose texts through drafting, revising, and completing a finished product</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Express themselves through their writing by posing questions, making original claims, and coherently structuring complex ideas</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Revise their writing for greater cogency and clarity</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Utilize adopted communication modes and documentation styles of specific disciplines (MLA, APA, Chicago, CBE, etc.) where appropriate.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Student Learning Outcomes for GE in Arts and Humanities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Goal: Students will understand the rich history and diversity of human knowledge, discourse and achievements of their own and other cultures as they are expressed in the arts, literatures, religions, and philosophy.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Students will: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r>
        <w:rPr>
          <w:rFonts w:ascii="Times New Roman" w:hAnsi="Times New Roman"/>
          <w:sz w:val="24"/>
          <w:szCs w:val="24"/>
        </w:rPr>
        <w:t xml:space="preserve">1. Explain and reflect critically upon the human search for meaning, values, discourse and expression in one or more eras/stylistic periods or cultures;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r>
        <w:rPr>
          <w:rFonts w:ascii="Times New Roman" w:hAnsi="Times New Roman"/>
          <w:sz w:val="24"/>
          <w:szCs w:val="24"/>
        </w:rPr>
        <w:t>2. Analyze, interpret, and reflect critically upon ideas of value, meaning, discourse and expression from a variety of perspectives from the arts and/or humanities</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r>
        <w:rPr>
          <w:rFonts w:ascii="Times New Roman" w:hAnsi="Times New Roman"/>
          <w:sz w:val="24"/>
          <w:szCs w:val="24"/>
        </w:rPr>
        <w:t>3. Produce work/works of art that communicate to a diverse audience through a demonstrated understanding and fluency of expressive forms</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r>
        <w:rPr>
          <w:rFonts w:ascii="Times New Roman" w:hAnsi="Times New Roman"/>
          <w:sz w:val="24"/>
          <w:szCs w:val="24"/>
        </w:rPr>
        <w:t>4. Demonstrate ability to engage and reflect upon their intellectual and creative development within the arts and humanities</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r>
        <w:rPr>
          <w:rFonts w:ascii="Times New Roman" w:hAnsi="Times New Roman"/>
          <w:sz w:val="24"/>
          <w:szCs w:val="24"/>
        </w:rPr>
        <w:t>5. Use appropriate critical vocabulary to describe and analyze works of artistic expression, literature, philosophy, or religion and a comprehension of the historical context within which a body of work was created or a tradition emerged</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r>
        <w:rPr>
          <w:rFonts w:ascii="Times New Roman" w:hAnsi="Times New Roman"/>
          <w:sz w:val="24"/>
          <w:szCs w:val="24"/>
        </w:rPr>
        <w:t xml:space="preserve">6. Describe and explain the historical and/or cultural context within which a body of work was created or a tradition emerged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ind w:left="720" w:hanging="432"/>
        <w:rPr>
          <w:rFonts w:ascii="Times New Roman" w:hAnsi="Times New Roman"/>
          <w:sz w:val="24"/>
          <w:szCs w:val="24"/>
        </w:rPr>
      </w:pP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Required Texts:</w:t>
      </w:r>
      <w:r>
        <w:rPr>
          <w:rFonts w:ascii="Times New Roman" w:hAnsi="Times New Roman"/>
          <w:sz w:val="24"/>
          <w:szCs w:val="24"/>
        </w:rPr>
        <w:t xml:space="preserve"> Michael </w:t>
      </w:r>
      <w:proofErr w:type="spellStart"/>
      <w:r>
        <w:rPr>
          <w:rFonts w:ascii="Times New Roman" w:hAnsi="Times New Roman"/>
          <w:sz w:val="24"/>
          <w:szCs w:val="24"/>
        </w:rPr>
        <w:t>Sandel</w:t>
      </w:r>
      <w:proofErr w:type="spellEnd"/>
      <w:r>
        <w:rPr>
          <w:rFonts w:ascii="Times New Roman" w:hAnsi="Times New Roman"/>
          <w:sz w:val="24"/>
          <w:szCs w:val="24"/>
        </w:rPr>
        <w:t xml:space="preserve">, </w:t>
      </w:r>
      <w:r>
        <w:rPr>
          <w:rFonts w:ascii="Times New Roman" w:hAnsi="Times New Roman"/>
          <w:sz w:val="24"/>
          <w:szCs w:val="24"/>
          <w:u w:val="single"/>
        </w:rPr>
        <w:t>Justice: What’s the Right Thing to Do?</w:t>
      </w:r>
      <w:r>
        <w:rPr>
          <w:rFonts w:ascii="Times New Roman" w:hAnsi="Times New Roman"/>
          <w:sz w:val="24"/>
          <w:szCs w:val="24"/>
        </w:rPr>
        <w:t xml:space="preserve"> Other readings will be online via Moodle. These online readings should be printed out and brought to class. Accessing them online during class is not acceptable.</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Course Requirements:</w:t>
      </w:r>
      <w:r>
        <w:rPr>
          <w:rFonts w:ascii="Times New Roman" w:hAnsi="Times New Roman"/>
          <w:sz w:val="24"/>
          <w:szCs w:val="24"/>
        </w:rPr>
        <w:t xml:space="preserve"> </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Regular attendance at all classes and effective participation in class discussions.</w:t>
      </w:r>
      <w:proofErr w:type="gramEnd"/>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Respectful behavior toward all one’s classmates and instructor.</w:t>
      </w:r>
      <w:proofErr w:type="gramEnd"/>
      <w:r>
        <w:rPr>
          <w:rFonts w:ascii="Times New Roman" w:hAnsi="Times New Roman"/>
          <w:sz w:val="24"/>
          <w:szCs w:val="24"/>
        </w:rPr>
        <w:t xml:space="preserve"> </w:t>
      </w:r>
      <w:r>
        <w:rPr>
          <w:rFonts w:ascii="Times New Roman" w:hAnsi="Times New Roman"/>
          <w:b/>
          <w:bCs/>
          <w:sz w:val="24"/>
          <w:szCs w:val="24"/>
        </w:rPr>
        <w:t>This means turning off one’s cellphone upon entering the class and NO TEXTING during class.</w:t>
      </w:r>
      <w:r>
        <w:rPr>
          <w:rFonts w:ascii="Times New Roman" w:hAnsi="Times New Roman"/>
          <w:sz w:val="24"/>
          <w:szCs w:val="24"/>
        </w:rPr>
        <w:t xml:space="preserve"> </w:t>
      </w:r>
      <w:proofErr w:type="gramStart"/>
      <w:r>
        <w:rPr>
          <w:rFonts w:ascii="Times New Roman" w:hAnsi="Times New Roman"/>
          <w:b/>
          <w:bCs/>
          <w:sz w:val="24"/>
          <w:szCs w:val="24"/>
        </w:rPr>
        <w:t>Students</w:t>
      </w:r>
      <w:proofErr w:type="gramEnd"/>
      <w:r>
        <w:rPr>
          <w:rFonts w:ascii="Times New Roman" w:hAnsi="Times New Roman"/>
          <w:b/>
          <w:bCs/>
          <w:sz w:val="24"/>
          <w:szCs w:val="24"/>
        </w:rPr>
        <w:t xml:space="preserve"> texting/playing with their cellphones during class will receive one warning and then be asked to leave and the offending student’s grade will be lowered by 2%.</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Careful reading of all assigned materials prior to class for the week.</w:t>
      </w:r>
      <w:proofErr w:type="gramEnd"/>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Note that </w:t>
      </w:r>
      <w:proofErr w:type="gramStart"/>
      <w:r>
        <w:rPr>
          <w:rFonts w:ascii="Times New Roman" w:hAnsi="Times New Roman"/>
          <w:sz w:val="24"/>
          <w:szCs w:val="24"/>
        </w:rPr>
        <w:t>RS 361</w:t>
      </w:r>
      <w:proofErr w:type="gramEnd"/>
      <w:r>
        <w:rPr>
          <w:rFonts w:ascii="Times New Roman" w:hAnsi="Times New Roman"/>
          <w:sz w:val="24"/>
          <w:szCs w:val="24"/>
        </w:rPr>
        <w:t xml:space="preserve"> is </w:t>
      </w:r>
      <w:proofErr w:type="gramStart"/>
      <w:r>
        <w:rPr>
          <w:rFonts w:ascii="Times New Roman" w:hAnsi="Times New Roman"/>
          <w:sz w:val="24"/>
          <w:szCs w:val="24"/>
        </w:rPr>
        <w:t>actually two classes</w:t>
      </w:r>
      <w:proofErr w:type="gramEnd"/>
      <w:r>
        <w:rPr>
          <w:rFonts w:ascii="Times New Roman" w:hAnsi="Times New Roman"/>
          <w:sz w:val="24"/>
          <w:szCs w:val="24"/>
        </w:rPr>
        <w:t xml:space="preserve">: On the one hand, it is an ethics class; on the other hand, it is a writing class. No matter where you go or what profession you ultimately choose, people will judge you based on your ability to write; unclear writing is generally a sign of unclear thinking. This class is going to concentrate on improving </w:t>
      </w:r>
      <w:proofErr w:type="gramStart"/>
      <w:r>
        <w:rPr>
          <w:rFonts w:ascii="Times New Roman" w:hAnsi="Times New Roman"/>
          <w:sz w:val="24"/>
          <w:szCs w:val="24"/>
        </w:rPr>
        <w:t>your</w:t>
      </w:r>
      <w:proofErr w:type="gramEnd"/>
      <w:r>
        <w:rPr>
          <w:rFonts w:ascii="Times New Roman" w:hAnsi="Times New Roman"/>
          <w:sz w:val="24"/>
          <w:szCs w:val="24"/>
        </w:rPr>
        <w:t xml:space="preserve"> writing, as well as honing your ability to think ethically.</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Grading:</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Initial paper (1 page): 50 points</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papers (2 pages): 100 points each</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Pop quizzes will be 20 points each (Note that if a student misses more than 2 pop quizzes, all missed pop quizzes will become zeros).</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Seminar presentations and participation, while not assigned a specific number of points, will also affect the grade.</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 may not submit a paper written for another class.</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Late papers will be penalized 10% per day and then not accepted more than three days late.</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Grade Scale:</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100-97% A+</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93-96% A</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92-90% A-</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87-89% B+</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83-86% B</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80-82% B-, etc.</w:t>
      </w:r>
      <w:proofErr w:type="gramEnd"/>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bl>
      <w:tblPr>
        <w:tblW w:w="0" w:type="auto"/>
        <w:tblInd w:w="144" w:type="dxa"/>
        <w:tblLayout w:type="fixed"/>
        <w:tblCellMar>
          <w:left w:w="144" w:type="dxa"/>
          <w:right w:w="144" w:type="dxa"/>
        </w:tblCellMar>
        <w:tblLook w:val="0000" w:firstRow="0" w:lastRow="0" w:firstColumn="0" w:lastColumn="0" w:noHBand="0" w:noVBand="0"/>
      </w:tblPr>
      <w:tblGrid>
        <w:gridCol w:w="1440"/>
        <w:gridCol w:w="936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b/>
                <w:bCs/>
                <w:sz w:val="24"/>
                <w:szCs w:val="24"/>
              </w:rPr>
              <w:t xml:space="preserve">Class </w:t>
            </w:r>
            <w:proofErr w:type="spellStart"/>
            <w:r w:rsidRPr="00C64E0C">
              <w:rPr>
                <w:rFonts w:ascii="Times New Roman" w:hAnsi="Times New Roman"/>
                <w:b/>
                <w:bCs/>
                <w:sz w:val="24"/>
                <w:szCs w:val="24"/>
              </w:rPr>
              <w:t>Schedule</w:t>
            </w:r>
            <w:r w:rsidRPr="00C64E0C">
              <w:rPr>
                <w:rFonts w:ascii="Times New Roman" w:hAnsi="Times New Roman"/>
                <w:sz w:val="24"/>
                <w:szCs w:val="24"/>
              </w:rPr>
              <w:t>Week</w:t>
            </w:r>
            <w:proofErr w:type="spellEnd"/>
            <w:r w:rsidRPr="00C64E0C">
              <w:rPr>
                <w:rFonts w:ascii="Times New Roman" w:hAnsi="Times New Roman"/>
                <w:sz w:val="24"/>
                <w:szCs w:val="24"/>
              </w:rPr>
              <w:t xml:space="preserve"> 1</w:t>
            </w: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Aug. 24</w:t>
            </w:r>
          </w:p>
        </w:tc>
        <w:tc>
          <w:tcPr>
            <w:tcW w:w="936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Introduction/Course Overview</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Religion and Ethics</w:t>
            </w:r>
          </w:p>
        </w:tc>
      </w:tr>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Week 2</w:t>
            </w: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Aug. 31</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c>
          <w:tcPr>
            <w:tcW w:w="936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Jewish Ethics</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Writing Workshop!</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Week 3</w:t>
            </w: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Sept. 7</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c>
          <w:tcPr>
            <w:tcW w:w="936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Christian Ethics</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i/>
                <w:iCs/>
                <w:sz w:val="24"/>
                <w:szCs w:val="24"/>
              </w:rPr>
            </w:pPr>
            <w:r w:rsidRPr="00C64E0C">
              <w:rPr>
                <w:rFonts w:ascii="Times New Roman" w:hAnsi="Times New Roman"/>
                <w:sz w:val="24"/>
                <w:szCs w:val="24"/>
              </w:rPr>
              <w:t xml:space="preserve">Islamic Ethics </w:t>
            </w:r>
            <w:r w:rsidRPr="00C64E0C">
              <w:rPr>
                <w:rFonts w:ascii="Times New Roman" w:hAnsi="Times New Roman"/>
                <w:b/>
                <w:bCs/>
                <w:i/>
                <w:iCs/>
                <w:sz w:val="24"/>
                <w:szCs w:val="24"/>
              </w:rPr>
              <w:t>Short Paper due</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i/>
                <w:iCs/>
                <w:sz w:val="24"/>
                <w:szCs w:val="24"/>
              </w:rPr>
            </w:pPr>
          </w:p>
        </w:tc>
      </w:tr>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i/>
                <w:iCs/>
                <w:sz w:val="24"/>
                <w:szCs w:val="24"/>
              </w:rPr>
            </w:pPr>
            <w:r w:rsidRPr="00C64E0C">
              <w:rPr>
                <w:rFonts w:ascii="Times New Roman" w:hAnsi="Times New Roman"/>
                <w:b/>
                <w:bCs/>
                <w:i/>
                <w:iCs/>
                <w:sz w:val="24"/>
                <w:szCs w:val="24"/>
              </w:rPr>
              <w:lastRenderedPageBreak/>
              <w:t>Week 4</w:t>
            </w: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i/>
                <w:iCs/>
                <w:sz w:val="24"/>
                <w:szCs w:val="24"/>
              </w:rPr>
            </w:pPr>
            <w:r w:rsidRPr="00C64E0C">
              <w:rPr>
                <w:rFonts w:ascii="Times New Roman" w:hAnsi="Times New Roman"/>
                <w:b/>
                <w:bCs/>
                <w:i/>
                <w:iCs/>
                <w:sz w:val="24"/>
                <w:szCs w:val="24"/>
              </w:rPr>
              <w:t>Sept. 14</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i/>
                <w:iCs/>
                <w:sz w:val="24"/>
                <w:szCs w:val="24"/>
              </w:rPr>
            </w:pPr>
          </w:p>
        </w:tc>
        <w:tc>
          <w:tcPr>
            <w:tcW w:w="936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Hindu Ethics</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Buddhist Ethics</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Week 5</w:t>
            </w: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Sept. 21</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c>
          <w:tcPr>
            <w:tcW w:w="936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Chinese Ethics</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“A Better Way Out” (Moodle)</w:t>
            </w:r>
          </w:p>
        </w:tc>
      </w:tr>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Week 6</w:t>
            </w:r>
          </w:p>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Sept. 28</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c>
          <w:tcPr>
            <w:tcW w:w="936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sidRPr="00C64E0C">
              <w:rPr>
                <w:rFonts w:ascii="Times New Roman" w:hAnsi="Times New Roman"/>
                <w:sz w:val="24"/>
                <w:szCs w:val="24"/>
              </w:rPr>
              <w:t xml:space="preserve">“Doing the Right Thing” </w:t>
            </w:r>
            <w:proofErr w:type="spellStart"/>
            <w:r w:rsidRPr="00C64E0C">
              <w:rPr>
                <w:rFonts w:ascii="Times New Roman" w:hAnsi="Times New Roman"/>
                <w:b/>
                <w:bCs/>
                <w:sz w:val="24"/>
                <w:szCs w:val="24"/>
              </w:rPr>
              <w:t>Sandel</w:t>
            </w:r>
            <w:proofErr w:type="spellEnd"/>
            <w:r w:rsidRPr="00C64E0C">
              <w:rPr>
                <w:rFonts w:ascii="Times New Roman" w:hAnsi="Times New Roman"/>
                <w:b/>
                <w:bCs/>
                <w:sz w:val="24"/>
                <w:szCs w:val="24"/>
              </w:rPr>
              <w:t xml:space="preserve">, </w:t>
            </w:r>
            <w:proofErr w:type="spellStart"/>
            <w:r w:rsidRPr="00C64E0C">
              <w:rPr>
                <w:rFonts w:ascii="Times New Roman" w:hAnsi="Times New Roman"/>
                <w:b/>
                <w:bCs/>
                <w:sz w:val="24"/>
                <w:szCs w:val="24"/>
              </w:rPr>
              <w:t>ch.</w:t>
            </w:r>
            <w:proofErr w:type="spellEnd"/>
            <w:r w:rsidRPr="00C64E0C">
              <w:rPr>
                <w:rFonts w:ascii="Times New Roman" w:hAnsi="Times New Roman"/>
                <w:b/>
                <w:bCs/>
                <w:sz w:val="24"/>
                <w:szCs w:val="24"/>
              </w:rPr>
              <w:t xml:space="preserve"> 1</w:t>
            </w:r>
          </w:p>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“Utilitarianism”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w:t>
      </w:r>
      <w:proofErr w:type="gramStart"/>
      <w:r>
        <w:rPr>
          <w:rFonts w:ascii="Times New Roman" w:hAnsi="Times New Roman"/>
          <w:b/>
          <w:bCs/>
          <w:sz w:val="24"/>
          <w:szCs w:val="24"/>
        </w:rPr>
        <w:t>2</w:t>
      </w:r>
      <w:r>
        <w:rPr>
          <w:rFonts w:ascii="Times New Roman" w:hAnsi="Times New Roman"/>
          <w:b/>
          <w:bCs/>
          <w:sz w:val="24"/>
          <w:szCs w:val="24"/>
        </w:rPr>
        <w:tab/>
      </w:r>
      <w:r>
        <w:rPr>
          <w:rFonts w:ascii="Times New Roman" w:hAnsi="Times New Roman"/>
          <w:b/>
          <w:bCs/>
          <w:i/>
          <w:iCs/>
          <w:sz w:val="24"/>
          <w:szCs w:val="24"/>
        </w:rPr>
        <w:t>Paper</w:t>
      </w:r>
      <w:proofErr w:type="gramEnd"/>
      <w:r>
        <w:rPr>
          <w:rFonts w:ascii="Times New Roman" w:hAnsi="Times New Roman"/>
          <w:b/>
          <w:bCs/>
          <w:i/>
          <w:iCs/>
          <w:sz w:val="24"/>
          <w:szCs w:val="24"/>
        </w:rPr>
        <w:t xml:space="preserve"> #1 due</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Week 7</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Oct. 5</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“Libertarianism”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3</w:t>
      </w:r>
      <w:r>
        <w:rPr>
          <w:rFonts w:ascii="Times New Roman" w:hAnsi="Times New Roman"/>
          <w:sz w:val="24"/>
          <w:szCs w:val="24"/>
        </w:rPr>
        <w:t xml:space="preserve">  </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“Markets and Morals”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4</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Week 8</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Oct. 12</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“Kant”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5</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“There’s No Way Out of It” (Moodle)</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Week 9</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Oct. 19</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Movie:</w:t>
      </w:r>
      <w:r>
        <w:rPr>
          <w:rFonts w:ascii="Times New Roman" w:hAnsi="Times New Roman"/>
          <w:sz w:val="24"/>
          <w:szCs w:val="24"/>
        </w:rPr>
        <w:t xml:space="preserve"> “A Dry, White Season”</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i/>
          <w:iCs/>
          <w:sz w:val="24"/>
          <w:szCs w:val="24"/>
        </w:rPr>
        <w:t>Paper # 2 due</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Week 10</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Oct. 26</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“Rawls”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6</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“Arguing Affirmative Action”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7</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Week 11</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Nov. 2</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b/>
                <w:bCs/>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“Aristotle”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8</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“Obama and Counterterror: The Ignored Record” (Moodle)</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Week 12</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Nov. 9</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Movie:</w:t>
      </w:r>
      <w:r>
        <w:rPr>
          <w:rFonts w:ascii="Times New Roman" w:hAnsi="Times New Roman"/>
          <w:sz w:val="24"/>
          <w:szCs w:val="24"/>
        </w:rPr>
        <w:t xml:space="preserve"> “Paradise Now”</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r>
        <w:rPr>
          <w:rFonts w:ascii="Times New Roman" w:hAnsi="Times New Roman"/>
          <w:b/>
          <w:bCs/>
          <w:i/>
          <w:iCs/>
          <w:sz w:val="24"/>
          <w:szCs w:val="24"/>
        </w:rPr>
        <w:t>Paper #3 due</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Week 13</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Nov. 16</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 xml:space="preserve">“Dilemmas of Loyalty” </w:t>
      </w:r>
      <w:proofErr w:type="spellStart"/>
      <w:r>
        <w:rPr>
          <w:rFonts w:ascii="Times New Roman" w:hAnsi="Times New Roman"/>
          <w:b/>
          <w:bCs/>
          <w:i/>
          <w:iCs/>
          <w:sz w:val="24"/>
          <w:szCs w:val="24"/>
        </w:rPr>
        <w:t>Sandel</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ch.</w:t>
      </w:r>
      <w:proofErr w:type="spellEnd"/>
      <w:r>
        <w:rPr>
          <w:rFonts w:ascii="Times New Roman" w:hAnsi="Times New Roman"/>
          <w:b/>
          <w:bCs/>
          <w:i/>
          <w:iCs/>
          <w:sz w:val="24"/>
          <w:szCs w:val="24"/>
        </w:rPr>
        <w:t xml:space="preserve"> 9</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“A New Solution: The ‘Climate Club’” (Moodle) Note: this is Paper #4 topic</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Week 14</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Nov. 23</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“Justice and the Common Good” </w:t>
      </w:r>
      <w:proofErr w:type="spellStart"/>
      <w:r>
        <w:rPr>
          <w:rFonts w:ascii="Times New Roman" w:hAnsi="Times New Roman"/>
          <w:b/>
          <w:bCs/>
          <w:sz w:val="24"/>
          <w:szCs w:val="24"/>
        </w:rPr>
        <w:t>Sandel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ch.</w:t>
      </w:r>
      <w:proofErr w:type="spellEnd"/>
      <w:r>
        <w:rPr>
          <w:rFonts w:ascii="Times New Roman" w:hAnsi="Times New Roman"/>
          <w:b/>
          <w:bCs/>
          <w:sz w:val="24"/>
          <w:szCs w:val="24"/>
        </w:rPr>
        <w:t xml:space="preserve"> 10</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“Innovation: The Government was Crucial After All” (Moodle)</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Week 15</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Nov. 30</w:t>
      </w:r>
    </w:p>
    <w:tbl>
      <w:tblPr>
        <w:tblW w:w="0" w:type="auto"/>
        <w:tblInd w:w="144" w:type="dxa"/>
        <w:tblLayout w:type="fixed"/>
        <w:tblCellMar>
          <w:left w:w="144" w:type="dxa"/>
          <w:right w:w="144" w:type="dxa"/>
        </w:tblCellMar>
        <w:tblLook w:val="0000" w:firstRow="0" w:lastRow="0" w:firstColumn="0" w:lastColumn="0" w:noHBand="0" w:noVBand="0"/>
      </w:tblPr>
      <w:tblGrid>
        <w:gridCol w:w="144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“Southern Comfort” (Moodle)</w:t>
      </w:r>
    </w:p>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“Are We Puppets in a Wired World?” (Moodle)</w:t>
      </w:r>
      <w:r>
        <w:rPr>
          <w:rFonts w:ascii="Times New Roman" w:hAnsi="Times New Roman"/>
          <w:sz w:val="24"/>
          <w:szCs w:val="24"/>
        </w:rPr>
        <w:tab/>
      </w:r>
      <w:r>
        <w:rPr>
          <w:rFonts w:ascii="Times New Roman" w:hAnsi="Times New Roman"/>
          <w:b/>
          <w:bCs/>
          <w:i/>
          <w:iCs/>
          <w:sz w:val="24"/>
          <w:szCs w:val="24"/>
        </w:rPr>
        <w:t>Paper #4 due</w:t>
      </w: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76887" w:rsidRPr="00C64E0C">
        <w:tc>
          <w:tcPr>
            <w:tcW w:w="936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r>
    </w:tbl>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Week 16</w:t>
      </w:r>
    </w:p>
    <w:p w:rsidR="00176887"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Dec. 7</w:t>
      </w:r>
    </w:p>
    <w:tbl>
      <w:tblPr>
        <w:tblW w:w="0" w:type="auto"/>
        <w:tblInd w:w="144" w:type="dxa"/>
        <w:tblLayout w:type="fixed"/>
        <w:tblCellMar>
          <w:left w:w="144" w:type="dxa"/>
          <w:right w:w="144" w:type="dxa"/>
        </w:tblCellMar>
        <w:tblLook w:val="0000" w:firstRow="0" w:lastRow="0" w:firstColumn="0" w:lastColumn="0" w:noHBand="0" w:noVBand="0"/>
      </w:tblPr>
      <w:tblGrid>
        <w:gridCol w:w="1440"/>
        <w:gridCol w:w="9360"/>
      </w:tblGrid>
      <w:tr w:rsidR="00176887" w:rsidRPr="00C64E0C">
        <w:tc>
          <w:tcPr>
            <w:tcW w:w="1440" w:type="dxa"/>
            <w:tcBorders>
              <w:top w:val="single" w:sz="6" w:space="0" w:color="auto"/>
              <w:left w:val="single" w:sz="6" w:space="0" w:color="auto"/>
              <w:bottom w:val="single" w:sz="6" w:space="0" w:color="auto"/>
              <w:right w:val="single" w:sz="6" w:space="0" w:color="auto"/>
            </w:tcBorders>
          </w:tcPr>
          <w:p w:rsidR="00176887" w:rsidRPr="00C64E0C"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tc>
        <w:tc>
          <w:tcPr>
            <w:tcW w:w="9360" w:type="dxa"/>
            <w:tcBorders>
              <w:top w:val="single" w:sz="6" w:space="0" w:color="auto"/>
              <w:left w:val="single" w:sz="6" w:space="0" w:color="auto"/>
              <w:bottom w:val="single" w:sz="6" w:space="0" w:color="auto"/>
              <w:right w:val="single" w:sz="6" w:space="0" w:color="auto"/>
            </w:tcBorders>
          </w:tcPr>
          <w:p w:rsidR="00176887" w:rsidRPr="00C64E0C" w:rsidRDefault="00C64E0C">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i/>
                <w:iCs/>
                <w:sz w:val="24"/>
                <w:szCs w:val="24"/>
              </w:rPr>
            </w:pPr>
            <w:r w:rsidRPr="00C64E0C">
              <w:rPr>
                <w:rFonts w:ascii="Times New Roman" w:hAnsi="Times New Roman"/>
                <w:i/>
                <w:iCs/>
                <w:sz w:val="24"/>
                <w:szCs w:val="24"/>
              </w:rPr>
              <w:t>No Class</w:t>
            </w:r>
          </w:p>
        </w:tc>
      </w:tr>
    </w:tbl>
    <w:p w:rsidR="00176887" w:rsidRDefault="00176887">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s>
        <w:suppressAutoHyphens/>
        <w:autoSpaceDE w:val="0"/>
        <w:autoSpaceDN w:val="0"/>
        <w:adjustRightInd w:val="0"/>
        <w:spacing w:after="0" w:line="240" w:lineRule="auto"/>
        <w:rPr>
          <w:rFonts w:ascii="Times New Roman" w:hAnsi="Times New Roman"/>
          <w:sz w:val="24"/>
          <w:szCs w:val="24"/>
        </w:rPr>
      </w:pPr>
    </w:p>
    <w:p w:rsidR="00176887" w:rsidRDefault="00C64E0C">
      <w:pPr>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“Money is like blood. You need it to live but it isn’t the point of life.”  —</w:t>
      </w:r>
      <w:proofErr w:type="spellStart"/>
      <w:r>
        <w:rPr>
          <w:rFonts w:ascii="Times New Roman" w:hAnsi="Times New Roman"/>
          <w:sz w:val="24"/>
          <w:szCs w:val="24"/>
        </w:rPr>
        <w:t>Kabir</w:t>
      </w:r>
      <w:proofErr w:type="spellEnd"/>
      <w:r>
        <w:rPr>
          <w:rFonts w:ascii="Times New Roman" w:hAnsi="Times New Roman"/>
          <w:sz w:val="24"/>
          <w:szCs w:val="24"/>
        </w:rPr>
        <w:t xml:space="preserve"> </w:t>
      </w:r>
      <w:proofErr w:type="spellStart"/>
      <w:r>
        <w:rPr>
          <w:rFonts w:ascii="Times New Roman" w:hAnsi="Times New Roman"/>
          <w:sz w:val="24"/>
          <w:szCs w:val="24"/>
        </w:rPr>
        <w:t>Sehgal</w:t>
      </w:r>
      <w:proofErr w:type="spellEnd"/>
    </w:p>
    <w:p w:rsidR="00C64E0C" w:rsidRDefault="00C64E0C">
      <w:pPr>
        <w:suppressAutoHyphens/>
        <w:autoSpaceDE w:val="0"/>
        <w:autoSpaceDN w:val="0"/>
        <w:adjustRightInd w:val="0"/>
        <w:spacing w:after="0" w:line="240" w:lineRule="auto"/>
        <w:rPr>
          <w:rFonts w:ascii="Times New Roman" w:hAnsi="Times New Roman"/>
          <w:sz w:val="24"/>
          <w:szCs w:val="24"/>
        </w:rPr>
      </w:pPr>
    </w:p>
    <w:sectPr w:rsidR="00C64E0C">
      <w:pgSz w:w="12240" w:h="15840"/>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CD15"/>
    <w:multiLevelType w:val="multilevel"/>
    <w:tmpl w:val="00000000"/>
    <w:name w:val="NBOutlin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lvlRestart w:val="0"/>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9C"/>
    <w:rsid w:val="00176887"/>
    <w:rsid w:val="006D32AB"/>
    <w:rsid w:val="00B5599C"/>
    <w:rsid w:val="00C6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1136</Words>
  <Characters>6479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College of Humanities</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Jennifer H</dc:creator>
  <cp:lastModifiedBy>Claire White</cp:lastModifiedBy>
  <cp:revision>2</cp:revision>
  <dcterms:created xsi:type="dcterms:W3CDTF">2015-08-27T06:23:00Z</dcterms:created>
  <dcterms:modified xsi:type="dcterms:W3CDTF">2015-08-27T06:23:00Z</dcterms:modified>
</cp:coreProperties>
</file>