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F3F" w:rsidRDefault="00732F3F" w:rsidP="00732F3F">
      <w:pPr>
        <w:jc w:val="center"/>
        <w:rPr>
          <w:b/>
          <w:bCs/>
          <w:smallCaps/>
        </w:rPr>
      </w:pPr>
      <w:r>
        <w:rPr>
          <w:b/>
          <w:bCs/>
          <w:smallCaps/>
        </w:rPr>
        <w:t>The University Corporation</w:t>
      </w:r>
    </w:p>
    <w:p w:rsidR="00732F3F" w:rsidRDefault="00732F3F" w:rsidP="00732F3F">
      <w:pPr>
        <w:jc w:val="center"/>
        <w:rPr>
          <w:b/>
          <w:bCs/>
        </w:rPr>
      </w:pPr>
    </w:p>
    <w:p w:rsidR="00732F3F" w:rsidRDefault="00732F3F" w:rsidP="00732F3F">
      <w:pPr>
        <w:jc w:val="center"/>
        <w:rPr>
          <w:b/>
          <w:bCs/>
        </w:rPr>
      </w:pPr>
    </w:p>
    <w:p w:rsidR="00732F3F" w:rsidRDefault="00732F3F" w:rsidP="00732F3F">
      <w:pPr>
        <w:jc w:val="center"/>
        <w:rPr>
          <w:b/>
          <w:bCs/>
        </w:rPr>
      </w:pPr>
      <w:r>
        <w:rPr>
          <w:b/>
          <w:bCs/>
        </w:rPr>
        <w:t>College Court Townhomes</w:t>
      </w:r>
    </w:p>
    <w:p w:rsidR="00732F3F" w:rsidRDefault="00732F3F" w:rsidP="00732F3F">
      <w:pPr>
        <w:jc w:val="center"/>
        <w:rPr>
          <w:b/>
          <w:bCs/>
        </w:rPr>
      </w:pPr>
    </w:p>
    <w:p w:rsidR="00732F3F" w:rsidRPr="00160F48" w:rsidRDefault="00732F3F" w:rsidP="00160F48">
      <w:pPr>
        <w:jc w:val="center"/>
        <w:rPr>
          <w:b/>
          <w:bCs/>
        </w:rPr>
      </w:pPr>
      <w:r w:rsidRPr="00160F48">
        <w:rPr>
          <w:b/>
        </w:rPr>
        <w:t>Policy</w:t>
      </w:r>
    </w:p>
    <w:p w:rsidR="00732F3F" w:rsidRDefault="00732F3F" w:rsidP="00732F3F">
      <w:pPr>
        <w:jc w:val="center"/>
        <w:rPr>
          <w:b/>
          <w:bCs/>
        </w:rPr>
      </w:pPr>
    </w:p>
    <w:p w:rsidR="00732F3F" w:rsidRDefault="00732F3F" w:rsidP="00732F3F">
      <w:pPr>
        <w:jc w:val="center"/>
        <w:rPr>
          <w:b/>
          <w:bCs/>
          <w:i/>
          <w:iCs/>
        </w:rPr>
      </w:pPr>
      <w:proofErr w:type="gramStart"/>
      <w:r>
        <w:rPr>
          <w:b/>
          <w:bCs/>
          <w:i/>
          <w:iCs/>
        </w:rPr>
        <w:t>on</w:t>
      </w:r>
      <w:proofErr w:type="gramEnd"/>
    </w:p>
    <w:p w:rsidR="00732F3F" w:rsidRDefault="00732F3F" w:rsidP="00732F3F">
      <w:pPr>
        <w:jc w:val="center"/>
        <w:rPr>
          <w:b/>
          <w:bCs/>
        </w:rPr>
      </w:pPr>
    </w:p>
    <w:p w:rsidR="00732F3F" w:rsidRDefault="00732F3F" w:rsidP="00732F3F">
      <w:pPr>
        <w:jc w:val="center"/>
        <w:rPr>
          <w:b/>
          <w:bCs/>
        </w:rPr>
      </w:pPr>
      <w:r>
        <w:rPr>
          <w:b/>
          <w:bCs/>
        </w:rPr>
        <w:t>Tenancy Limits</w:t>
      </w:r>
    </w:p>
    <w:p w:rsidR="00732F3F" w:rsidRDefault="00732F3F" w:rsidP="00732F3F">
      <w:pPr>
        <w:jc w:val="center"/>
        <w:rPr>
          <w:b/>
          <w:bCs/>
        </w:rPr>
      </w:pPr>
    </w:p>
    <w:p w:rsidR="00732F3F" w:rsidRDefault="00732F3F" w:rsidP="00732F3F">
      <w:pPr>
        <w:jc w:val="both"/>
      </w:pPr>
    </w:p>
    <w:p w:rsidR="00732F3F" w:rsidRDefault="00732F3F" w:rsidP="00732F3F">
      <w:pPr>
        <w:jc w:val="both"/>
      </w:pPr>
    </w:p>
    <w:p w:rsidR="00732F3F" w:rsidRDefault="00732F3F" w:rsidP="00732F3F">
      <w:pPr>
        <w:jc w:val="both"/>
      </w:pPr>
    </w:p>
    <w:p w:rsidR="00732F3F" w:rsidRDefault="00732F3F" w:rsidP="00732F3F">
      <w:pPr>
        <w:jc w:val="both"/>
      </w:pPr>
      <w:r>
        <w:t xml:space="preserve">The University Corporation (TUC) owns and manages thirty-one housing units in the College Court Townhomes. TUC makes these units available at below-market rental rates to faculty and staff of California State University Northridge (University). This program assists the University in employing and retaining qualified faculty and staff, who otherwise might be unable to locate to the </w:t>
      </w:r>
      <w:smartTag w:uri="urn:schemas-microsoft-com:office:smarttags" w:element="place">
        <w:r>
          <w:t>San Fernando Valley</w:t>
        </w:r>
      </w:smartTag>
      <w:r>
        <w:t xml:space="preserve"> due to its high cost of living.</w:t>
      </w:r>
    </w:p>
    <w:p w:rsidR="00732F3F" w:rsidRDefault="00732F3F" w:rsidP="00732F3F">
      <w:pPr>
        <w:jc w:val="both"/>
      </w:pPr>
    </w:p>
    <w:p w:rsidR="00732F3F" w:rsidRDefault="00732F3F" w:rsidP="00732F3F">
      <w:pPr>
        <w:jc w:val="both"/>
      </w:pPr>
      <w:r>
        <w:t>The College Court Townhomes are not intended as a permanent housing option for faculty and staff. Rather, they are intended to provide transitional housing to faculty and staff as they establish themselves at the University and arrange for permanent housing.</w:t>
      </w:r>
    </w:p>
    <w:p w:rsidR="00732F3F" w:rsidRDefault="00732F3F" w:rsidP="00732F3F">
      <w:pPr>
        <w:jc w:val="both"/>
      </w:pPr>
    </w:p>
    <w:p w:rsidR="00732F3F" w:rsidRDefault="00732F3F" w:rsidP="00732F3F">
      <w:pPr>
        <w:jc w:val="both"/>
      </w:pPr>
      <w:r>
        <w:t xml:space="preserve">In the interest of benefiting as many faculty/staff as possible, and using TUC resources in a way that best serves the University, the length of tenancy at </w:t>
      </w:r>
      <w:smartTag w:uri="urn:schemas-microsoft-com:office:smarttags" w:element="Street">
        <w:smartTag w:uri="urn:schemas-microsoft-com:office:smarttags" w:element="address">
          <w:r>
            <w:t>College Court</w:t>
          </w:r>
        </w:smartTag>
      </w:smartTag>
      <w:r>
        <w:t xml:space="preserve"> shall henceforth be limited to three (3) years. </w:t>
      </w:r>
    </w:p>
    <w:p w:rsidR="00732F3F" w:rsidRDefault="00732F3F" w:rsidP="00732F3F">
      <w:pPr>
        <w:jc w:val="both"/>
      </w:pPr>
    </w:p>
    <w:p w:rsidR="00A14B20" w:rsidRDefault="00A14B20" w:rsidP="00732F3F">
      <w:pPr>
        <w:jc w:val="both"/>
      </w:pPr>
    </w:p>
    <w:p w:rsidR="00732F3F" w:rsidRDefault="00732F3F" w:rsidP="00732F3F">
      <w:pPr>
        <w:jc w:val="both"/>
      </w:pPr>
    </w:p>
    <w:p w:rsidR="00732F3F" w:rsidRDefault="00732F3F" w:rsidP="00732F3F">
      <w:pPr>
        <w:jc w:val="both"/>
      </w:pPr>
    </w:p>
    <w:p w:rsidR="00732F3F" w:rsidRDefault="00732F3F" w:rsidP="00732F3F">
      <w:pPr>
        <w:jc w:val="both"/>
      </w:pPr>
    </w:p>
    <w:p w:rsidR="00732F3F" w:rsidRDefault="00732F3F" w:rsidP="00732F3F">
      <w:pPr>
        <w:jc w:val="both"/>
      </w:pPr>
      <w:r>
        <w:tab/>
      </w:r>
      <w:r>
        <w:tab/>
      </w:r>
      <w:r>
        <w:tab/>
      </w:r>
      <w:r>
        <w:tab/>
      </w:r>
      <w:r>
        <w:tab/>
      </w:r>
      <w:r>
        <w:tab/>
      </w:r>
      <w:r>
        <w:tab/>
      </w:r>
      <w:r>
        <w:rPr>
          <w:noProof/>
        </w:rPr>
        <w:drawing>
          <wp:inline distT="0" distB="0" distL="0" distR="0">
            <wp:extent cx="2057400" cy="590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057400" cy="590550"/>
                    </a:xfrm>
                    <a:prstGeom prst="rect">
                      <a:avLst/>
                    </a:prstGeom>
                    <a:noFill/>
                    <a:ln w="9525">
                      <a:noFill/>
                      <a:miter lim="800000"/>
                      <a:headEnd/>
                      <a:tailEnd/>
                    </a:ln>
                  </pic:spPr>
                </pic:pic>
              </a:graphicData>
            </a:graphic>
          </wp:inline>
        </w:drawing>
      </w:r>
    </w:p>
    <w:p w:rsidR="00732F3F" w:rsidRDefault="00732F3F" w:rsidP="00732F3F">
      <w:pPr>
        <w:jc w:val="both"/>
        <w:rPr>
          <w:sz w:val="18"/>
        </w:rPr>
      </w:pPr>
      <w:r>
        <w:rPr>
          <w:sz w:val="18"/>
        </w:rPr>
        <w:tab/>
      </w:r>
      <w:r>
        <w:rPr>
          <w:sz w:val="18"/>
        </w:rPr>
        <w:tab/>
      </w:r>
      <w:r>
        <w:rPr>
          <w:sz w:val="18"/>
        </w:rPr>
        <w:tab/>
      </w:r>
      <w:r>
        <w:rPr>
          <w:sz w:val="18"/>
        </w:rPr>
        <w:tab/>
      </w:r>
      <w:r>
        <w:rPr>
          <w:sz w:val="18"/>
        </w:rPr>
        <w:tab/>
      </w:r>
      <w:r>
        <w:rPr>
          <w:sz w:val="18"/>
        </w:rPr>
        <w:tab/>
      </w:r>
      <w:r>
        <w:rPr>
          <w:sz w:val="18"/>
        </w:rPr>
        <w:tab/>
        <w:t>_____________________________________________</w:t>
      </w:r>
    </w:p>
    <w:p w:rsidR="00732F3F" w:rsidRDefault="00732F3F" w:rsidP="00732F3F">
      <w:pPr>
        <w:jc w:val="both"/>
        <w:rPr>
          <w:szCs w:val="22"/>
        </w:rPr>
      </w:pPr>
      <w:r>
        <w:rPr>
          <w:sz w:val="18"/>
        </w:rPr>
        <w:tab/>
      </w:r>
      <w:r>
        <w:rPr>
          <w:sz w:val="18"/>
        </w:rPr>
        <w:tab/>
      </w:r>
      <w:r>
        <w:rPr>
          <w:sz w:val="18"/>
        </w:rPr>
        <w:tab/>
      </w:r>
      <w:r>
        <w:rPr>
          <w:sz w:val="18"/>
        </w:rPr>
        <w:tab/>
      </w:r>
      <w:r>
        <w:rPr>
          <w:sz w:val="18"/>
        </w:rPr>
        <w:tab/>
      </w:r>
      <w:r>
        <w:rPr>
          <w:sz w:val="18"/>
        </w:rPr>
        <w:tab/>
      </w:r>
      <w:r>
        <w:rPr>
          <w:sz w:val="18"/>
        </w:rPr>
        <w:tab/>
      </w:r>
      <w:r>
        <w:rPr>
          <w:szCs w:val="22"/>
        </w:rPr>
        <w:t>Thomas McCarron, Executive Director</w:t>
      </w:r>
    </w:p>
    <w:p w:rsidR="00732F3F" w:rsidRDefault="00732F3F" w:rsidP="00732F3F">
      <w:pPr>
        <w:jc w:val="both"/>
        <w:rPr>
          <w:sz w:val="18"/>
        </w:rPr>
      </w:pPr>
    </w:p>
    <w:p w:rsidR="00732F3F" w:rsidRDefault="00732F3F" w:rsidP="00732F3F">
      <w:pPr>
        <w:jc w:val="both"/>
        <w:rPr>
          <w:sz w:val="18"/>
        </w:rPr>
      </w:pPr>
    </w:p>
    <w:p w:rsidR="00732F3F" w:rsidRDefault="00732F3F" w:rsidP="00732F3F">
      <w:pPr>
        <w:jc w:val="both"/>
        <w:rPr>
          <w:sz w:val="18"/>
        </w:rPr>
      </w:pPr>
    </w:p>
    <w:p w:rsidR="00732F3F" w:rsidRDefault="00732F3F" w:rsidP="00732F3F">
      <w:pPr>
        <w:jc w:val="both"/>
        <w:rPr>
          <w:sz w:val="18"/>
        </w:rPr>
      </w:pPr>
    </w:p>
    <w:p w:rsidR="00732F3F" w:rsidRDefault="00732F3F" w:rsidP="00732F3F">
      <w:pPr>
        <w:jc w:val="both"/>
        <w:rPr>
          <w:sz w:val="18"/>
        </w:rPr>
      </w:pPr>
    </w:p>
    <w:p w:rsidR="00732F3F" w:rsidRDefault="00732F3F" w:rsidP="00732F3F">
      <w:pPr>
        <w:jc w:val="both"/>
        <w:rPr>
          <w:sz w:val="18"/>
        </w:rPr>
      </w:pPr>
    </w:p>
    <w:p w:rsidR="00732F3F" w:rsidRDefault="00732F3F" w:rsidP="00732F3F">
      <w:pPr>
        <w:pStyle w:val="Heading2"/>
        <w:rPr>
          <w:szCs w:val="18"/>
        </w:rPr>
      </w:pPr>
      <w:r>
        <w:rPr>
          <w:szCs w:val="18"/>
        </w:rPr>
        <w:t>Approved by the Board of Directors on May 20, 2004</w:t>
      </w:r>
    </w:p>
    <w:p w:rsidR="00101D20" w:rsidRDefault="00101D20"/>
    <w:sectPr w:rsidR="00101D20" w:rsidSect="00101D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2F3F"/>
    <w:rsid w:val="00101D20"/>
    <w:rsid w:val="00160F48"/>
    <w:rsid w:val="00241CFA"/>
    <w:rsid w:val="00732F3F"/>
    <w:rsid w:val="00875F25"/>
    <w:rsid w:val="00A14B20"/>
    <w:rsid w:val="00C27AD4"/>
    <w:rsid w:val="00F00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F3F"/>
    <w:rPr>
      <w:sz w:val="22"/>
      <w:szCs w:val="24"/>
    </w:rPr>
  </w:style>
  <w:style w:type="paragraph" w:styleId="Heading1">
    <w:name w:val="heading 1"/>
    <w:basedOn w:val="Normal"/>
    <w:next w:val="Normal"/>
    <w:link w:val="Heading1Char"/>
    <w:qFormat/>
    <w:rsid w:val="00241CFA"/>
    <w:pPr>
      <w:keepNext/>
      <w:outlineLvl w:val="0"/>
    </w:pPr>
    <w:rPr>
      <w:b/>
      <w:smallCaps/>
      <w:sz w:val="28"/>
      <w:szCs w:val="20"/>
    </w:rPr>
  </w:style>
  <w:style w:type="paragraph" w:styleId="Heading2">
    <w:name w:val="heading 2"/>
    <w:basedOn w:val="Normal"/>
    <w:next w:val="Normal"/>
    <w:link w:val="Heading2Char"/>
    <w:semiHidden/>
    <w:unhideWhenUsed/>
    <w:qFormat/>
    <w:rsid w:val="00732F3F"/>
    <w:pPr>
      <w:keepNext/>
      <w:jc w:val="both"/>
      <w:outlineLvl w:val="1"/>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CFA"/>
    <w:rPr>
      <w:b/>
      <w:smallCaps/>
      <w:sz w:val="28"/>
    </w:rPr>
  </w:style>
  <w:style w:type="paragraph" w:styleId="NoSpacing">
    <w:name w:val="No Spacing"/>
    <w:uiPriority w:val="1"/>
    <w:qFormat/>
    <w:rsid w:val="00241CFA"/>
    <w:rPr>
      <w:rFonts w:eastAsiaTheme="minorHAnsi" w:cstheme="minorBidi"/>
      <w:sz w:val="22"/>
      <w:szCs w:val="22"/>
    </w:rPr>
  </w:style>
  <w:style w:type="character" w:customStyle="1" w:styleId="Heading2Char">
    <w:name w:val="Heading 2 Char"/>
    <w:basedOn w:val="DefaultParagraphFont"/>
    <w:link w:val="Heading2"/>
    <w:semiHidden/>
    <w:rsid w:val="00732F3F"/>
    <w:rPr>
      <w:i/>
      <w:iCs/>
      <w:sz w:val="18"/>
      <w:szCs w:val="24"/>
    </w:rPr>
  </w:style>
</w:styles>
</file>

<file path=word/webSettings.xml><?xml version="1.0" encoding="utf-8"?>
<w:webSettings xmlns:r="http://schemas.openxmlformats.org/officeDocument/2006/relationships" xmlns:w="http://schemas.openxmlformats.org/wordprocessingml/2006/main">
  <w:divs>
    <w:div w:id="151410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995</Characters>
  <Application>Microsoft Office Word</Application>
  <DocSecurity>0</DocSecurity>
  <Lines>8</Lines>
  <Paragraphs>2</Paragraphs>
  <ScaleCrop>false</ScaleCrop>
  <Company>California State University, Northridge</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hfuco002</dc:creator>
  <cp:keywords/>
  <dc:description/>
  <cp:lastModifiedBy>hfuco002</cp:lastModifiedBy>
  <cp:revision>3</cp:revision>
  <dcterms:created xsi:type="dcterms:W3CDTF">2009-02-17T23:34:00Z</dcterms:created>
  <dcterms:modified xsi:type="dcterms:W3CDTF">2009-02-17T23:36:00Z</dcterms:modified>
</cp:coreProperties>
</file>