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A22" w:rsidRPr="00071C94" w:rsidRDefault="00713A22" w:rsidP="00713A22">
      <w:pPr>
        <w:pStyle w:val="Heading1"/>
        <w:rPr>
          <w:emboss/>
          <w:color w:val="FF0000"/>
          <w:sz w:val="22"/>
          <w:szCs w:val="22"/>
        </w:rPr>
      </w:pPr>
      <w:r w:rsidRPr="00071C94">
        <w:rPr>
          <w:sz w:val="22"/>
          <w:szCs w:val="22"/>
        </w:rPr>
        <w:t>THE UNIVERSITY CORPORATION</w:t>
      </w:r>
    </w:p>
    <w:p w:rsidR="00713A22" w:rsidRPr="00071C94" w:rsidRDefault="00713A22" w:rsidP="00713A22">
      <w:pPr>
        <w:pStyle w:val="Heading1"/>
        <w:rPr>
          <w:sz w:val="22"/>
          <w:szCs w:val="22"/>
        </w:rPr>
      </w:pPr>
      <w:r w:rsidRPr="00071C94">
        <w:rPr>
          <w:sz w:val="22"/>
          <w:szCs w:val="22"/>
        </w:rPr>
        <w:t>Board of Directors</w:t>
      </w:r>
    </w:p>
    <w:p w:rsidR="00713A22" w:rsidRPr="00071C94" w:rsidRDefault="00713A22" w:rsidP="00713A22">
      <w:pPr>
        <w:pStyle w:val="Heading1"/>
        <w:rPr>
          <w:sz w:val="22"/>
          <w:szCs w:val="22"/>
        </w:rPr>
      </w:pPr>
      <w:r>
        <w:rPr>
          <w:sz w:val="22"/>
          <w:szCs w:val="22"/>
        </w:rPr>
        <w:t>May 26, 2011 - SUMMARY</w:t>
      </w:r>
      <w:r>
        <w:rPr>
          <w:sz w:val="22"/>
          <w:szCs w:val="22"/>
        </w:rPr>
        <w:tab/>
      </w:r>
      <w:r>
        <w:rPr>
          <w:sz w:val="22"/>
          <w:szCs w:val="22"/>
        </w:rPr>
        <w:tab/>
      </w:r>
      <w:r>
        <w:rPr>
          <w:sz w:val="22"/>
          <w:szCs w:val="22"/>
        </w:rPr>
        <w:tab/>
      </w:r>
    </w:p>
    <w:p w:rsidR="00713A22" w:rsidRPr="00071C94" w:rsidRDefault="00713A22" w:rsidP="00713A22">
      <w:pPr>
        <w:rPr>
          <w:szCs w:val="22"/>
        </w:rPr>
      </w:pPr>
    </w:p>
    <w:p w:rsidR="00713A22" w:rsidRPr="00071C94" w:rsidRDefault="00713A22" w:rsidP="00713A22">
      <w:pPr>
        <w:rPr>
          <w:szCs w:val="22"/>
        </w:rPr>
      </w:pPr>
    </w:p>
    <w:p w:rsidR="00713A22" w:rsidRDefault="00713A22" w:rsidP="00713A22">
      <w:pPr>
        <w:pStyle w:val="BodyTextIndent2"/>
        <w:rPr>
          <w:b/>
          <w:bCs/>
        </w:rPr>
      </w:pPr>
      <w:r>
        <w:rPr>
          <w:b/>
          <w:bCs/>
        </w:rPr>
        <w:t>ITEM I.</w:t>
      </w:r>
      <w:r>
        <w:rPr>
          <w:b/>
          <w:bCs/>
        </w:rPr>
        <w:tab/>
      </w:r>
      <w:r>
        <w:rPr>
          <w:b/>
          <w:bCs/>
          <w:caps/>
        </w:rPr>
        <w:t>approval of FEBRUARY 24, 2011 BOARD OF DIRECTORS MINUTES</w:t>
      </w:r>
    </w:p>
    <w:p w:rsidR="00713A22" w:rsidRDefault="00713A22" w:rsidP="00713A22">
      <w:pPr>
        <w:ind w:left="2160" w:hanging="2160"/>
        <w:jc w:val="both"/>
      </w:pPr>
    </w:p>
    <w:p w:rsidR="00713A22" w:rsidRPr="00713A22" w:rsidRDefault="00713A22" w:rsidP="00713A22">
      <w:pPr>
        <w:pStyle w:val="BodyText"/>
        <w:ind w:left="2160"/>
        <w:rPr>
          <w:bCs/>
        </w:rPr>
      </w:pPr>
      <w:r w:rsidRPr="00713A22">
        <w:rPr>
          <w:bCs/>
        </w:rPr>
        <w:t>The minutes were approved.</w:t>
      </w:r>
    </w:p>
    <w:p w:rsidR="00713A22" w:rsidRDefault="00713A22" w:rsidP="00713A22">
      <w:pPr>
        <w:pStyle w:val="BodyText"/>
        <w:rPr>
          <w:b/>
          <w:bCs/>
        </w:rPr>
      </w:pPr>
    </w:p>
    <w:p w:rsidR="00713A22" w:rsidRDefault="00713A22" w:rsidP="00713A22">
      <w:pPr>
        <w:pStyle w:val="BodyText"/>
        <w:rPr>
          <w:b/>
          <w:bCs/>
        </w:rPr>
      </w:pPr>
      <w:proofErr w:type="gramStart"/>
      <w:r>
        <w:rPr>
          <w:b/>
          <w:bCs/>
        </w:rPr>
        <w:t>ITEM II.</w:t>
      </w:r>
      <w:proofErr w:type="gramEnd"/>
      <w:r>
        <w:rPr>
          <w:b/>
          <w:bCs/>
        </w:rPr>
        <w:tab/>
      </w:r>
      <w:r>
        <w:rPr>
          <w:b/>
          <w:bCs/>
        </w:rPr>
        <w:tab/>
        <w:t>PRESENTATION – INVESTMENT CLASS</w:t>
      </w:r>
    </w:p>
    <w:p w:rsidR="00713A22" w:rsidRDefault="00713A22" w:rsidP="00713A22">
      <w:pPr>
        <w:pStyle w:val="BodyText"/>
        <w:rPr>
          <w:b/>
          <w:bCs/>
        </w:rPr>
      </w:pPr>
    </w:p>
    <w:p w:rsidR="00713A22" w:rsidRPr="009D667D" w:rsidRDefault="00713A22" w:rsidP="009C3A04">
      <w:pPr>
        <w:pStyle w:val="BodyText"/>
        <w:ind w:left="2160"/>
        <w:rPr>
          <w:bCs/>
        </w:rPr>
      </w:pPr>
      <w:r>
        <w:rPr>
          <w:bCs/>
        </w:rPr>
        <w:t xml:space="preserve">The investment class was started as an undergraduate honors course, with students managing $500,000 from the Corporation’s portfolio. The fund has grown to $2 million and has given roughly 340 students hands-on experience in investment management. In 2007, $500,000 was carved out of the student-managed fund to establish the graduate investment program. The classes frequently outperform the benchmark S&amp;P500. This year, the undergraduate class attended the International RISE (Redefining Investment Strategy Education) student portfolio competition and placed second out of 65 </w:t>
      </w:r>
      <w:r w:rsidR="00073047">
        <w:rPr>
          <w:bCs/>
        </w:rPr>
        <w:t xml:space="preserve">competing </w:t>
      </w:r>
      <w:r>
        <w:rPr>
          <w:bCs/>
        </w:rPr>
        <w:t>schools in their category.</w:t>
      </w:r>
    </w:p>
    <w:p w:rsidR="00713A22" w:rsidRDefault="00713A22" w:rsidP="00713A22">
      <w:pPr>
        <w:pStyle w:val="BodyText"/>
        <w:rPr>
          <w:b/>
          <w:bCs/>
        </w:rPr>
      </w:pPr>
    </w:p>
    <w:p w:rsidR="00713A22" w:rsidRDefault="00713A22" w:rsidP="00713A22">
      <w:pPr>
        <w:pStyle w:val="BodyTextIndent2"/>
        <w:ind w:left="2090" w:hanging="2090"/>
        <w:rPr>
          <w:b/>
          <w:bCs/>
        </w:rPr>
      </w:pPr>
      <w:proofErr w:type="gramStart"/>
      <w:r>
        <w:rPr>
          <w:b/>
          <w:bCs/>
        </w:rPr>
        <w:t>ITEM III.</w:t>
      </w:r>
      <w:proofErr w:type="gramEnd"/>
      <w:r>
        <w:rPr>
          <w:b/>
          <w:bCs/>
        </w:rPr>
        <w:tab/>
        <w:t>RECEIPT OF MAY 5, 2011 EXECUTIVE COMMITTEE MINUTES AND CONSIDERATION OF ACTION ITEMS</w:t>
      </w:r>
    </w:p>
    <w:p w:rsidR="00713A22" w:rsidRDefault="00713A22" w:rsidP="00713A22">
      <w:pPr>
        <w:pStyle w:val="BodyTextIndent2"/>
        <w:ind w:left="2090" w:hanging="2090"/>
        <w:rPr>
          <w:b/>
          <w:bCs/>
        </w:rPr>
      </w:pPr>
    </w:p>
    <w:p w:rsidR="00713A22" w:rsidRDefault="009C3A04" w:rsidP="009C3A04">
      <w:pPr>
        <w:ind w:left="2160" w:hanging="2160"/>
        <w:jc w:val="both"/>
        <w:rPr>
          <w:rFonts w:ascii="Times New Roman" w:hAnsi="Times New Roman"/>
        </w:rPr>
      </w:pPr>
      <w:r w:rsidRPr="009C3A04">
        <w:rPr>
          <w:b/>
          <w:i/>
          <w:szCs w:val="22"/>
          <w:u w:val="single"/>
        </w:rPr>
        <w:t>ACTION:</w:t>
      </w:r>
      <w:r>
        <w:rPr>
          <w:szCs w:val="22"/>
        </w:rPr>
        <w:tab/>
      </w:r>
      <w:r w:rsidRPr="009C3A04">
        <w:rPr>
          <w:b/>
          <w:szCs w:val="22"/>
        </w:rPr>
        <w:t>MSP:</w:t>
      </w:r>
      <w:r>
        <w:rPr>
          <w:szCs w:val="22"/>
        </w:rPr>
        <w:t xml:space="preserve">  </w:t>
      </w:r>
      <w:r w:rsidR="00713A22" w:rsidRPr="00D4156B">
        <w:rPr>
          <w:rFonts w:ascii="Times New Roman" w:hAnsi="Times New Roman"/>
          <w:b/>
        </w:rPr>
        <w:t>That The University Corporation Board of Directors approve the resolution required for participation in the Auxiliary Organizations Risk Management Authority (AORMA) unemployment insurance program as of July 1, 2011, and that the Board authorize The University Corporation Executive Director or designee to execute all documents related thereto.</w:t>
      </w:r>
    </w:p>
    <w:p w:rsidR="00713A22" w:rsidRDefault="00713A22" w:rsidP="00713A22">
      <w:pPr>
        <w:jc w:val="both"/>
      </w:pPr>
    </w:p>
    <w:p w:rsidR="00713A22" w:rsidRDefault="00D473E7" w:rsidP="00713A22">
      <w:pPr>
        <w:jc w:val="both"/>
        <w:rPr>
          <w:szCs w:val="22"/>
        </w:rPr>
      </w:pPr>
      <w:r>
        <w:rPr>
          <w:szCs w:val="22"/>
        </w:rPr>
        <w:tab/>
      </w:r>
      <w:r>
        <w:rPr>
          <w:szCs w:val="22"/>
        </w:rPr>
        <w:tab/>
      </w:r>
      <w:r>
        <w:rPr>
          <w:szCs w:val="22"/>
        </w:rPr>
        <w:tab/>
      </w:r>
      <w:r w:rsidR="00713A22">
        <w:rPr>
          <w:i/>
          <w:szCs w:val="22"/>
          <w:u w:val="single"/>
        </w:rPr>
        <w:t>2011/2012</w:t>
      </w:r>
      <w:r w:rsidR="00713A22" w:rsidRPr="003C3032">
        <w:rPr>
          <w:i/>
          <w:szCs w:val="22"/>
          <w:u w:val="single"/>
        </w:rPr>
        <w:t xml:space="preserve"> Operating Budget</w:t>
      </w:r>
    </w:p>
    <w:p w:rsidR="00713A22" w:rsidRDefault="00713A22" w:rsidP="00D473E7">
      <w:pPr>
        <w:ind w:left="2160"/>
        <w:jc w:val="both"/>
        <w:rPr>
          <w:szCs w:val="22"/>
        </w:rPr>
      </w:pPr>
    </w:p>
    <w:p w:rsidR="00713A22" w:rsidRDefault="00D473E7" w:rsidP="00D473E7">
      <w:pPr>
        <w:ind w:left="2160"/>
        <w:jc w:val="both"/>
        <w:rPr>
          <w:szCs w:val="22"/>
        </w:rPr>
      </w:pPr>
      <w:r>
        <w:rPr>
          <w:szCs w:val="22"/>
        </w:rPr>
        <w:t>T</w:t>
      </w:r>
      <w:r w:rsidR="00713A22">
        <w:rPr>
          <w:szCs w:val="22"/>
        </w:rPr>
        <w:t>his year’s performance is better than anticipated, due in par</w:t>
      </w:r>
      <w:r w:rsidR="006A0F55">
        <w:rPr>
          <w:szCs w:val="22"/>
        </w:rPr>
        <w:t>t to sustained enrollment</w:t>
      </w:r>
      <w:r w:rsidR="00713A22">
        <w:rPr>
          <w:szCs w:val="22"/>
        </w:rPr>
        <w:t>. The meal plan saw 41% growth</w:t>
      </w:r>
      <w:r w:rsidR="006A0F55">
        <w:rPr>
          <w:szCs w:val="22"/>
        </w:rPr>
        <w:t xml:space="preserve">; </w:t>
      </w:r>
      <w:r w:rsidR="00713A22">
        <w:rPr>
          <w:szCs w:val="22"/>
        </w:rPr>
        <w:t>the decline in bookstore sales was smaller than projected. For the 2011/12 budget, it was assumed that enrollment would remain flat. Quasi-endowment program support will be reinstituted after only a one-year suspension, rather than the th</w:t>
      </w:r>
      <w:r w:rsidR="00073047">
        <w:rPr>
          <w:szCs w:val="22"/>
        </w:rPr>
        <w:t>ree years approved by the Board. T</w:t>
      </w:r>
      <w:r w:rsidR="00713A22">
        <w:rPr>
          <w:szCs w:val="22"/>
        </w:rPr>
        <w:t>he capital budget returns to the $250,000 level.</w:t>
      </w:r>
    </w:p>
    <w:p w:rsidR="00713A22" w:rsidRDefault="00713A22" w:rsidP="00713A22">
      <w:pPr>
        <w:jc w:val="both"/>
        <w:rPr>
          <w:szCs w:val="22"/>
        </w:rPr>
      </w:pPr>
    </w:p>
    <w:p w:rsidR="00713A22" w:rsidRDefault="00713A22" w:rsidP="00D473E7">
      <w:pPr>
        <w:ind w:left="2160"/>
        <w:jc w:val="both"/>
        <w:rPr>
          <w:szCs w:val="22"/>
        </w:rPr>
      </w:pPr>
      <w:proofErr w:type="gramStart"/>
      <w:r>
        <w:rPr>
          <w:b/>
          <w:i/>
          <w:szCs w:val="22"/>
        </w:rPr>
        <w:t>Stores</w:t>
      </w:r>
      <w:r>
        <w:rPr>
          <w:szCs w:val="22"/>
        </w:rPr>
        <w:t>.</w:t>
      </w:r>
      <w:proofErr w:type="gramEnd"/>
      <w:r>
        <w:rPr>
          <w:szCs w:val="22"/>
        </w:rPr>
        <w:t xml:space="preserve">  This budget includes</w:t>
      </w:r>
      <w:r w:rsidR="006A0F55">
        <w:rPr>
          <w:szCs w:val="22"/>
        </w:rPr>
        <w:t>,</w:t>
      </w:r>
      <w:r>
        <w:rPr>
          <w:szCs w:val="22"/>
        </w:rPr>
        <w:t xml:space="preserve"> as of January 2011, the Performing Arts Center gift shop. For 2011/12, bookstore commissions are expected to decrease further. </w:t>
      </w:r>
    </w:p>
    <w:p w:rsidR="00713A22" w:rsidRDefault="00713A22" w:rsidP="00D473E7">
      <w:pPr>
        <w:ind w:left="2160"/>
        <w:jc w:val="both"/>
        <w:rPr>
          <w:szCs w:val="22"/>
        </w:rPr>
      </w:pPr>
    </w:p>
    <w:p w:rsidR="00713A22" w:rsidRDefault="00713A22" w:rsidP="00D473E7">
      <w:pPr>
        <w:ind w:left="2160"/>
        <w:jc w:val="both"/>
        <w:rPr>
          <w:szCs w:val="22"/>
        </w:rPr>
      </w:pPr>
      <w:proofErr w:type="gramStart"/>
      <w:r w:rsidRPr="007D7C88">
        <w:rPr>
          <w:b/>
          <w:i/>
          <w:szCs w:val="22"/>
        </w:rPr>
        <w:t>Foodservices.</w:t>
      </w:r>
      <w:proofErr w:type="gramEnd"/>
      <w:r>
        <w:rPr>
          <w:szCs w:val="22"/>
        </w:rPr>
        <w:t xml:space="preserve"> </w:t>
      </w:r>
      <w:r w:rsidR="006A0F55">
        <w:rPr>
          <w:szCs w:val="22"/>
        </w:rPr>
        <w:t>This year was the</w:t>
      </w:r>
      <w:r>
        <w:rPr>
          <w:szCs w:val="22"/>
        </w:rPr>
        <w:t xml:space="preserve"> best in the history of Corporation Foodservices. </w:t>
      </w:r>
      <w:r w:rsidR="006A0F55">
        <w:rPr>
          <w:szCs w:val="22"/>
        </w:rPr>
        <w:t>T</w:t>
      </w:r>
      <w:r>
        <w:rPr>
          <w:szCs w:val="22"/>
        </w:rPr>
        <w:t>he goal for 2011/12 is to sustain performance. The Marketplace will be refreshed and a salad bar and Cilantro’s Mexic</w:t>
      </w:r>
      <w:r w:rsidR="006A0F55">
        <w:rPr>
          <w:szCs w:val="22"/>
        </w:rPr>
        <w:t>an unit will be added</w:t>
      </w:r>
      <w:r>
        <w:rPr>
          <w:szCs w:val="22"/>
        </w:rPr>
        <w:t>.</w:t>
      </w:r>
    </w:p>
    <w:p w:rsidR="00713A22" w:rsidRDefault="00713A22" w:rsidP="00713A22">
      <w:pPr>
        <w:jc w:val="both"/>
        <w:rPr>
          <w:szCs w:val="22"/>
        </w:rPr>
      </w:pPr>
    </w:p>
    <w:p w:rsidR="00713A22" w:rsidRDefault="00713A22" w:rsidP="00D473E7">
      <w:pPr>
        <w:ind w:left="2160"/>
        <w:jc w:val="both"/>
        <w:rPr>
          <w:szCs w:val="22"/>
        </w:rPr>
      </w:pPr>
      <w:proofErr w:type="gramStart"/>
      <w:r w:rsidRPr="00065064">
        <w:rPr>
          <w:b/>
          <w:i/>
          <w:szCs w:val="22"/>
        </w:rPr>
        <w:t>Real Estate.</w:t>
      </w:r>
      <w:proofErr w:type="gramEnd"/>
      <w:r>
        <w:rPr>
          <w:szCs w:val="22"/>
        </w:rPr>
        <w:t xml:space="preserve">  </w:t>
      </w:r>
      <w:r w:rsidR="00D473E7">
        <w:rPr>
          <w:szCs w:val="22"/>
        </w:rPr>
        <w:t>T</w:t>
      </w:r>
      <w:r>
        <w:rPr>
          <w:szCs w:val="22"/>
        </w:rPr>
        <w:t xml:space="preserve">he Corporation will continue to pursue additional units in the College Court Townhomes, as well as single-family homes contiguous to campus. </w:t>
      </w:r>
      <w:r w:rsidR="00D473E7">
        <w:rPr>
          <w:szCs w:val="22"/>
        </w:rPr>
        <w:t>T</w:t>
      </w:r>
      <w:r>
        <w:rPr>
          <w:szCs w:val="22"/>
        </w:rPr>
        <w:t>he Corporation is in escrow on a short sale. If successful, the purchase will deplete the Real Estate Fund; the budget pr</w:t>
      </w:r>
      <w:r w:rsidR="00D473E7">
        <w:rPr>
          <w:szCs w:val="22"/>
        </w:rPr>
        <w:t>oposes a partial replenishment.</w:t>
      </w:r>
    </w:p>
    <w:p w:rsidR="00713A22" w:rsidRDefault="00713A22" w:rsidP="00D473E7">
      <w:pPr>
        <w:ind w:left="2160"/>
        <w:jc w:val="both"/>
        <w:rPr>
          <w:szCs w:val="22"/>
        </w:rPr>
      </w:pPr>
    </w:p>
    <w:p w:rsidR="00713A22" w:rsidRDefault="00713A22" w:rsidP="00827BE4">
      <w:pPr>
        <w:ind w:left="2160"/>
        <w:jc w:val="both"/>
        <w:rPr>
          <w:szCs w:val="22"/>
        </w:rPr>
      </w:pPr>
      <w:proofErr w:type="gramStart"/>
      <w:r w:rsidRPr="00047A84">
        <w:rPr>
          <w:b/>
          <w:i/>
          <w:szCs w:val="22"/>
        </w:rPr>
        <w:t>Sponsored Programs.</w:t>
      </w:r>
      <w:proofErr w:type="gramEnd"/>
      <w:r>
        <w:rPr>
          <w:szCs w:val="22"/>
        </w:rPr>
        <w:t xml:space="preserve"> ARRA (American Recovery and Reinvestment Act) will expire, but funded programs will continue. The proposed 2011/12 budget reflects increased operating expense related to the new position of Liaison to the College of Science and Math.</w:t>
      </w:r>
    </w:p>
    <w:p w:rsidR="00713A22" w:rsidRDefault="00713A22" w:rsidP="00827BE4">
      <w:pPr>
        <w:ind w:left="2160"/>
        <w:jc w:val="both"/>
        <w:rPr>
          <w:szCs w:val="22"/>
        </w:rPr>
      </w:pPr>
    </w:p>
    <w:p w:rsidR="00713A22" w:rsidRDefault="00713A22" w:rsidP="00663E08">
      <w:pPr>
        <w:ind w:left="2160"/>
        <w:jc w:val="both"/>
        <w:rPr>
          <w:szCs w:val="22"/>
        </w:rPr>
      </w:pPr>
      <w:r w:rsidRPr="00047A84">
        <w:rPr>
          <w:b/>
          <w:i/>
          <w:szCs w:val="22"/>
        </w:rPr>
        <w:t>Capital Outlay.</w:t>
      </w:r>
      <w:r>
        <w:rPr>
          <w:szCs w:val="22"/>
        </w:rPr>
        <w:t xml:space="preserve">  </w:t>
      </w:r>
      <w:r w:rsidR="00827BE4">
        <w:rPr>
          <w:szCs w:val="22"/>
        </w:rPr>
        <w:t>A</w:t>
      </w:r>
      <w:r>
        <w:rPr>
          <w:szCs w:val="22"/>
        </w:rPr>
        <w:t xml:space="preserve"> remodel of Burger King is a requirement if the franchise agreement is to be renewed. </w:t>
      </w:r>
      <w:r w:rsidR="00663E08">
        <w:rPr>
          <w:szCs w:val="22"/>
        </w:rPr>
        <w:t>T</w:t>
      </w:r>
      <w:r>
        <w:rPr>
          <w:szCs w:val="22"/>
        </w:rPr>
        <w:t>he Corporation will introduce a drop off campus catering program, with one point of contact for ordering from the Marketplace, the Arbor Grill and Subway. The University will re-skin the Orange Grove Bistro and the Corporation will add a new dining patio that will seat sixty.</w:t>
      </w:r>
    </w:p>
    <w:p w:rsidR="00713A22" w:rsidRDefault="00713A22" w:rsidP="00663E08">
      <w:pPr>
        <w:ind w:left="2160"/>
        <w:jc w:val="both"/>
        <w:rPr>
          <w:szCs w:val="22"/>
        </w:rPr>
      </w:pPr>
    </w:p>
    <w:p w:rsidR="00713A22" w:rsidRPr="00EB19C9" w:rsidRDefault="00663E08" w:rsidP="00663E08">
      <w:pPr>
        <w:ind w:left="2160" w:hanging="2160"/>
        <w:jc w:val="both"/>
        <w:rPr>
          <w:szCs w:val="22"/>
        </w:rPr>
      </w:pPr>
      <w:r w:rsidRPr="00073047">
        <w:rPr>
          <w:b/>
          <w:i/>
          <w:szCs w:val="22"/>
          <w:u w:val="single"/>
        </w:rPr>
        <w:t>ACTION:</w:t>
      </w:r>
      <w:r>
        <w:rPr>
          <w:b/>
          <w:szCs w:val="22"/>
        </w:rPr>
        <w:tab/>
      </w:r>
      <w:r w:rsidR="00713A22" w:rsidRPr="006E674A">
        <w:rPr>
          <w:b/>
          <w:szCs w:val="22"/>
        </w:rPr>
        <w:t>MSP</w:t>
      </w:r>
      <w:r w:rsidR="00713A22">
        <w:rPr>
          <w:szCs w:val="22"/>
        </w:rPr>
        <w:t xml:space="preserve">:  </w:t>
      </w:r>
      <w:r w:rsidR="00713A22" w:rsidRPr="006E674A">
        <w:rPr>
          <w:b/>
          <w:szCs w:val="22"/>
        </w:rPr>
        <w:t>That The University Corporation Boa</w:t>
      </w:r>
      <w:r w:rsidR="00713A22">
        <w:rPr>
          <w:b/>
          <w:szCs w:val="22"/>
        </w:rPr>
        <w:t xml:space="preserve">rd of Directors </w:t>
      </w:r>
      <w:proofErr w:type="gramStart"/>
      <w:r w:rsidR="00713A22">
        <w:rPr>
          <w:b/>
          <w:szCs w:val="22"/>
        </w:rPr>
        <w:t>approve</w:t>
      </w:r>
      <w:proofErr w:type="gramEnd"/>
      <w:r w:rsidR="00713A22">
        <w:rPr>
          <w:b/>
          <w:szCs w:val="22"/>
        </w:rPr>
        <w:t xml:space="preserve"> the 2011/2012</w:t>
      </w:r>
      <w:r w:rsidR="00713A22" w:rsidRPr="006E674A">
        <w:rPr>
          <w:b/>
          <w:szCs w:val="22"/>
        </w:rPr>
        <w:t xml:space="preserve"> operating budget as presented.</w:t>
      </w:r>
    </w:p>
    <w:p w:rsidR="00713A22" w:rsidRPr="006B51E0" w:rsidRDefault="00713A22" w:rsidP="00713A22">
      <w:pPr>
        <w:pStyle w:val="Heading1"/>
        <w:rPr>
          <w:rFonts w:ascii="Times" w:hAnsi="Times"/>
          <w:b w:val="0"/>
          <w:smallCaps w:val="0"/>
          <w:sz w:val="22"/>
          <w:szCs w:val="22"/>
        </w:rPr>
      </w:pPr>
    </w:p>
    <w:p w:rsidR="00713A22" w:rsidRPr="00347855" w:rsidRDefault="00713A22" w:rsidP="00713A22">
      <w:pPr>
        <w:pStyle w:val="Heading1"/>
        <w:rPr>
          <w:rFonts w:ascii="Times" w:hAnsi="Times"/>
          <w:sz w:val="22"/>
          <w:szCs w:val="22"/>
        </w:rPr>
      </w:pPr>
      <w:proofErr w:type="gramStart"/>
      <w:r>
        <w:rPr>
          <w:rFonts w:ascii="Times" w:hAnsi="Times"/>
          <w:smallCaps w:val="0"/>
          <w:sz w:val="22"/>
          <w:szCs w:val="22"/>
        </w:rPr>
        <w:t>ITEM IV.</w:t>
      </w:r>
      <w:proofErr w:type="gramEnd"/>
      <w:r>
        <w:rPr>
          <w:rFonts w:ascii="Times" w:hAnsi="Times"/>
          <w:smallCaps w:val="0"/>
          <w:sz w:val="22"/>
          <w:szCs w:val="22"/>
        </w:rPr>
        <w:tab/>
      </w:r>
      <w:r w:rsidR="00073047">
        <w:rPr>
          <w:rFonts w:ascii="Times" w:hAnsi="Times"/>
          <w:smallCaps w:val="0"/>
          <w:sz w:val="22"/>
          <w:szCs w:val="22"/>
        </w:rPr>
        <w:tab/>
      </w:r>
      <w:r w:rsidRPr="00347855">
        <w:rPr>
          <w:rFonts w:ascii="Times" w:hAnsi="Times"/>
          <w:sz w:val="22"/>
          <w:szCs w:val="22"/>
        </w:rPr>
        <w:t>APPOINTMENTS TO THE BOARD OF DIRECTORS</w:t>
      </w:r>
    </w:p>
    <w:p w:rsidR="00713A22" w:rsidRPr="00347855" w:rsidRDefault="00713A22" w:rsidP="00713A22">
      <w:pPr>
        <w:pStyle w:val="BodyText"/>
        <w:rPr>
          <w:rFonts w:ascii="Times" w:hAnsi="Times"/>
          <w:szCs w:val="22"/>
        </w:rPr>
      </w:pPr>
    </w:p>
    <w:p w:rsidR="00713A22" w:rsidRDefault="00713A22" w:rsidP="00073047">
      <w:pPr>
        <w:pStyle w:val="BodyText"/>
        <w:ind w:left="2160"/>
        <w:rPr>
          <w:szCs w:val="22"/>
        </w:rPr>
      </w:pPr>
      <w:r w:rsidRPr="00347855">
        <w:rPr>
          <w:szCs w:val="22"/>
        </w:rPr>
        <w:t xml:space="preserve">New appointees to </w:t>
      </w:r>
      <w:r w:rsidR="00073047">
        <w:rPr>
          <w:szCs w:val="22"/>
        </w:rPr>
        <w:t>the</w:t>
      </w:r>
      <w:r w:rsidRPr="00347855">
        <w:rPr>
          <w:szCs w:val="22"/>
        </w:rPr>
        <w:t xml:space="preserve"> Board will assume their seats on J</w:t>
      </w:r>
      <w:r>
        <w:rPr>
          <w:szCs w:val="22"/>
        </w:rPr>
        <w:t>uly 1, 2011</w:t>
      </w:r>
      <w:r w:rsidRPr="00347855">
        <w:rPr>
          <w:szCs w:val="22"/>
        </w:rPr>
        <w:t>.</w:t>
      </w:r>
    </w:p>
    <w:p w:rsidR="00713A22" w:rsidRDefault="00713A22" w:rsidP="00713A22">
      <w:pPr>
        <w:pStyle w:val="BodyText"/>
        <w:rPr>
          <w:szCs w:val="22"/>
        </w:rPr>
      </w:pPr>
    </w:p>
    <w:p w:rsidR="00713A22" w:rsidRPr="00865905" w:rsidRDefault="00713A22" w:rsidP="00073047">
      <w:pPr>
        <w:ind w:left="2160"/>
        <w:jc w:val="both"/>
        <w:rPr>
          <w:i/>
          <w:u w:val="single"/>
        </w:rPr>
      </w:pPr>
      <w:r w:rsidRPr="00865905">
        <w:rPr>
          <w:i/>
          <w:u w:val="single"/>
        </w:rPr>
        <w:t>Administration:</w:t>
      </w:r>
    </w:p>
    <w:p w:rsidR="00713A22" w:rsidRDefault="00713A22" w:rsidP="00713A22">
      <w:pPr>
        <w:jc w:val="both"/>
      </w:pPr>
    </w:p>
    <w:tbl>
      <w:tblPr>
        <w:tblStyle w:val="TableGrid"/>
        <w:tblW w:w="0" w:type="auto"/>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640"/>
        <w:gridCol w:w="2685"/>
      </w:tblGrid>
      <w:tr w:rsidR="00713A22" w:rsidRPr="0095169E" w:rsidTr="00073047">
        <w:tc>
          <w:tcPr>
            <w:tcW w:w="0" w:type="auto"/>
          </w:tcPr>
          <w:p w:rsidR="00713A22" w:rsidRPr="0095169E" w:rsidRDefault="00713A22" w:rsidP="00827BE4">
            <w:pPr>
              <w:rPr>
                <w:sz w:val="22"/>
                <w:szCs w:val="22"/>
              </w:rPr>
            </w:pPr>
            <w:r w:rsidRPr="0095169E">
              <w:rPr>
                <w:sz w:val="22"/>
                <w:szCs w:val="22"/>
              </w:rPr>
              <w:t>Michael Spagna</w:t>
            </w:r>
          </w:p>
        </w:tc>
        <w:tc>
          <w:tcPr>
            <w:tcW w:w="0" w:type="auto"/>
          </w:tcPr>
          <w:p w:rsidR="00713A22" w:rsidRPr="0095169E" w:rsidRDefault="00713A22" w:rsidP="00827BE4">
            <w:pPr>
              <w:rPr>
                <w:sz w:val="22"/>
                <w:szCs w:val="22"/>
              </w:rPr>
            </w:pPr>
            <w:r w:rsidRPr="0095169E">
              <w:rPr>
                <w:sz w:val="22"/>
                <w:szCs w:val="22"/>
              </w:rPr>
              <w:t>Two-year term (2011-2013)</w:t>
            </w:r>
          </w:p>
        </w:tc>
      </w:tr>
    </w:tbl>
    <w:p w:rsidR="00713A22" w:rsidRDefault="00713A22" w:rsidP="00073047">
      <w:pPr>
        <w:ind w:left="2340"/>
        <w:jc w:val="both"/>
      </w:pPr>
      <w:r>
        <w:t xml:space="preserve">  </w:t>
      </w:r>
      <w:r>
        <w:rPr>
          <w:i/>
        </w:rPr>
        <w:t>(</w:t>
      </w:r>
      <w:proofErr w:type="gramStart"/>
      <w:r>
        <w:rPr>
          <w:i/>
        </w:rPr>
        <w:t>to</w:t>
      </w:r>
      <w:proofErr w:type="gramEnd"/>
      <w:r>
        <w:rPr>
          <w:i/>
        </w:rPr>
        <w:t xml:space="preserve"> complete the term of William Jennings, who resigned</w:t>
      </w:r>
      <w:r w:rsidRPr="00865905">
        <w:rPr>
          <w:i/>
        </w:rPr>
        <w:t>)</w:t>
      </w:r>
    </w:p>
    <w:p w:rsidR="00713A22" w:rsidRDefault="00713A22" w:rsidP="00713A22">
      <w:pPr>
        <w:jc w:val="both"/>
      </w:pPr>
    </w:p>
    <w:p w:rsidR="00713A22" w:rsidRDefault="00713A22" w:rsidP="00073047">
      <w:pPr>
        <w:ind w:left="2160"/>
        <w:jc w:val="both"/>
        <w:rPr>
          <w:i/>
          <w:iCs/>
          <w:u w:val="single"/>
        </w:rPr>
      </w:pPr>
      <w:r>
        <w:rPr>
          <w:i/>
          <w:iCs/>
          <w:u w:val="single"/>
        </w:rPr>
        <w:t>Faculty:</w:t>
      </w:r>
    </w:p>
    <w:p w:rsidR="00713A22" w:rsidRDefault="00713A22" w:rsidP="00713A22">
      <w:pPr>
        <w:jc w:val="both"/>
      </w:pPr>
    </w:p>
    <w:tbl>
      <w:tblPr>
        <w:tblStyle w:val="TableGrid"/>
        <w:tblW w:w="0" w:type="auto"/>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536"/>
        <w:gridCol w:w="2794"/>
      </w:tblGrid>
      <w:tr w:rsidR="00713A22" w:rsidRPr="0095169E" w:rsidTr="00073047">
        <w:tc>
          <w:tcPr>
            <w:tcW w:w="0" w:type="auto"/>
          </w:tcPr>
          <w:p w:rsidR="00713A22" w:rsidRPr="0095169E" w:rsidRDefault="00713A22" w:rsidP="00827BE4">
            <w:pPr>
              <w:rPr>
                <w:sz w:val="22"/>
                <w:szCs w:val="22"/>
              </w:rPr>
            </w:pPr>
            <w:r w:rsidRPr="0095169E">
              <w:rPr>
                <w:sz w:val="22"/>
                <w:szCs w:val="22"/>
              </w:rPr>
              <w:t>Dan Hosken</w:t>
            </w:r>
          </w:p>
          <w:p w:rsidR="00713A22" w:rsidRPr="0095169E" w:rsidRDefault="00713A22" w:rsidP="00827BE4">
            <w:pPr>
              <w:rPr>
                <w:sz w:val="22"/>
                <w:szCs w:val="22"/>
              </w:rPr>
            </w:pPr>
            <w:r w:rsidRPr="0095169E">
              <w:rPr>
                <w:sz w:val="22"/>
                <w:szCs w:val="22"/>
              </w:rPr>
              <w:t xml:space="preserve">  </w:t>
            </w:r>
            <w:r w:rsidRPr="0095169E">
              <w:rPr>
                <w:i/>
                <w:sz w:val="22"/>
                <w:szCs w:val="22"/>
              </w:rPr>
              <w:t>(reappointed)</w:t>
            </w:r>
          </w:p>
        </w:tc>
        <w:tc>
          <w:tcPr>
            <w:tcW w:w="0" w:type="auto"/>
          </w:tcPr>
          <w:p w:rsidR="00713A22" w:rsidRPr="0095169E" w:rsidRDefault="00713A22" w:rsidP="00827BE4">
            <w:pPr>
              <w:rPr>
                <w:sz w:val="22"/>
                <w:szCs w:val="22"/>
              </w:rPr>
            </w:pPr>
            <w:r w:rsidRPr="0095169E">
              <w:rPr>
                <w:sz w:val="22"/>
                <w:szCs w:val="22"/>
              </w:rPr>
              <w:t>Three-year term (2011-2014)</w:t>
            </w:r>
          </w:p>
        </w:tc>
      </w:tr>
      <w:tr w:rsidR="00713A22" w:rsidRPr="0095169E" w:rsidTr="00073047">
        <w:tc>
          <w:tcPr>
            <w:tcW w:w="0" w:type="auto"/>
          </w:tcPr>
          <w:p w:rsidR="00713A22" w:rsidRPr="0095169E" w:rsidRDefault="00713A22" w:rsidP="00827BE4">
            <w:pPr>
              <w:rPr>
                <w:sz w:val="22"/>
                <w:szCs w:val="22"/>
              </w:rPr>
            </w:pPr>
            <w:r w:rsidRPr="0095169E">
              <w:rPr>
                <w:sz w:val="22"/>
                <w:szCs w:val="22"/>
              </w:rPr>
              <w:t>Jennifer Matos</w:t>
            </w:r>
          </w:p>
          <w:p w:rsidR="00713A22" w:rsidRPr="0095169E" w:rsidRDefault="00713A22" w:rsidP="00827BE4">
            <w:pPr>
              <w:rPr>
                <w:sz w:val="22"/>
                <w:szCs w:val="22"/>
              </w:rPr>
            </w:pPr>
            <w:r w:rsidRPr="0095169E">
              <w:rPr>
                <w:sz w:val="22"/>
                <w:szCs w:val="22"/>
              </w:rPr>
              <w:t xml:space="preserve">  </w:t>
            </w:r>
            <w:r w:rsidRPr="0095169E">
              <w:rPr>
                <w:i/>
                <w:sz w:val="22"/>
                <w:szCs w:val="22"/>
              </w:rPr>
              <w:t>(reappointed)</w:t>
            </w:r>
          </w:p>
        </w:tc>
        <w:tc>
          <w:tcPr>
            <w:tcW w:w="0" w:type="auto"/>
          </w:tcPr>
          <w:p w:rsidR="00713A22" w:rsidRPr="0095169E" w:rsidRDefault="00713A22" w:rsidP="00827BE4">
            <w:pPr>
              <w:rPr>
                <w:sz w:val="22"/>
                <w:szCs w:val="22"/>
              </w:rPr>
            </w:pPr>
            <w:r w:rsidRPr="0095169E">
              <w:rPr>
                <w:sz w:val="22"/>
                <w:szCs w:val="22"/>
              </w:rPr>
              <w:t>Three-year term (2011-2014)</w:t>
            </w:r>
          </w:p>
        </w:tc>
      </w:tr>
    </w:tbl>
    <w:p w:rsidR="00713A22" w:rsidRDefault="00713A22" w:rsidP="00713A22">
      <w:pPr>
        <w:jc w:val="both"/>
      </w:pPr>
    </w:p>
    <w:p w:rsidR="00713A22" w:rsidRDefault="00713A22" w:rsidP="00073047">
      <w:pPr>
        <w:ind w:left="2160"/>
        <w:jc w:val="both"/>
        <w:rPr>
          <w:i/>
          <w:iCs/>
          <w:u w:val="single"/>
        </w:rPr>
      </w:pPr>
      <w:r>
        <w:rPr>
          <w:i/>
          <w:iCs/>
          <w:u w:val="single"/>
        </w:rPr>
        <w:t>Community:</w:t>
      </w:r>
    </w:p>
    <w:p w:rsidR="00713A22" w:rsidRDefault="00713A22" w:rsidP="00713A22">
      <w:pPr>
        <w:jc w:val="both"/>
      </w:pPr>
    </w:p>
    <w:tbl>
      <w:tblPr>
        <w:tblStyle w:val="TableGrid"/>
        <w:tblW w:w="0" w:type="auto"/>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536"/>
        <w:gridCol w:w="2794"/>
      </w:tblGrid>
      <w:tr w:rsidR="00713A22" w:rsidRPr="0095169E" w:rsidTr="00073047">
        <w:tc>
          <w:tcPr>
            <w:tcW w:w="0" w:type="auto"/>
          </w:tcPr>
          <w:p w:rsidR="00713A22" w:rsidRPr="0095169E" w:rsidRDefault="00713A22" w:rsidP="00827BE4">
            <w:pPr>
              <w:rPr>
                <w:sz w:val="22"/>
                <w:szCs w:val="22"/>
              </w:rPr>
            </w:pPr>
            <w:r w:rsidRPr="0095169E">
              <w:rPr>
                <w:sz w:val="22"/>
                <w:szCs w:val="22"/>
              </w:rPr>
              <w:t>Bob Rawitch</w:t>
            </w:r>
          </w:p>
          <w:p w:rsidR="00713A22" w:rsidRPr="0095169E" w:rsidRDefault="00713A22" w:rsidP="00827BE4">
            <w:pPr>
              <w:rPr>
                <w:sz w:val="22"/>
                <w:szCs w:val="22"/>
              </w:rPr>
            </w:pPr>
            <w:r w:rsidRPr="0095169E">
              <w:rPr>
                <w:sz w:val="22"/>
                <w:szCs w:val="22"/>
              </w:rPr>
              <w:t xml:space="preserve">  </w:t>
            </w:r>
            <w:r w:rsidRPr="0095169E">
              <w:rPr>
                <w:i/>
                <w:sz w:val="22"/>
                <w:szCs w:val="22"/>
              </w:rPr>
              <w:t>(reappointed)</w:t>
            </w:r>
          </w:p>
        </w:tc>
        <w:tc>
          <w:tcPr>
            <w:tcW w:w="0" w:type="auto"/>
          </w:tcPr>
          <w:p w:rsidR="00713A22" w:rsidRPr="0095169E" w:rsidRDefault="00713A22" w:rsidP="00827BE4">
            <w:pPr>
              <w:rPr>
                <w:sz w:val="22"/>
                <w:szCs w:val="22"/>
              </w:rPr>
            </w:pPr>
            <w:r w:rsidRPr="0095169E">
              <w:rPr>
                <w:sz w:val="22"/>
                <w:szCs w:val="22"/>
              </w:rPr>
              <w:t>Three-year term (2011-2014)</w:t>
            </w:r>
          </w:p>
        </w:tc>
      </w:tr>
    </w:tbl>
    <w:p w:rsidR="00713A22" w:rsidRDefault="00713A22" w:rsidP="00713A22">
      <w:pPr>
        <w:jc w:val="both"/>
      </w:pPr>
    </w:p>
    <w:p w:rsidR="00713A22" w:rsidRPr="00073047" w:rsidRDefault="00713A22" w:rsidP="00073047">
      <w:pPr>
        <w:ind w:left="2160"/>
        <w:jc w:val="both"/>
        <w:rPr>
          <w:i/>
          <w:iCs/>
          <w:u w:val="single"/>
        </w:rPr>
      </w:pPr>
      <w:r>
        <w:rPr>
          <w:i/>
          <w:iCs/>
          <w:u w:val="single"/>
        </w:rPr>
        <w:t>Students:</w:t>
      </w:r>
      <w:r w:rsidR="00073047">
        <w:rPr>
          <w:iCs/>
        </w:rPr>
        <w:t xml:space="preserve">  </w:t>
      </w:r>
      <w:r>
        <w:t>The University President will appoint three students to serve two-year terms (2011-2013)</w:t>
      </w:r>
      <w:r w:rsidR="006A0F55">
        <w:t>.</w:t>
      </w:r>
      <w:r>
        <w:t xml:space="preserve"> </w:t>
      </w:r>
    </w:p>
    <w:p w:rsidR="00713A22" w:rsidRDefault="00713A22" w:rsidP="00713A22">
      <w:pPr>
        <w:jc w:val="both"/>
      </w:pPr>
    </w:p>
    <w:p w:rsidR="00713A22" w:rsidRPr="00971428" w:rsidRDefault="00713A22" w:rsidP="00073047">
      <w:pPr>
        <w:ind w:left="2160" w:hanging="2160"/>
        <w:jc w:val="both"/>
        <w:rPr>
          <w:b/>
        </w:rPr>
      </w:pPr>
      <w:proofErr w:type="gramStart"/>
      <w:r w:rsidRPr="00971428">
        <w:rPr>
          <w:b/>
        </w:rPr>
        <w:t>ITEM IV.</w:t>
      </w:r>
      <w:proofErr w:type="gramEnd"/>
      <w:r w:rsidRPr="00971428">
        <w:rPr>
          <w:b/>
        </w:rPr>
        <w:tab/>
        <w:t>REPORT OF NOMINATING COMMITTEE AND ELECTION OF OFFICERS</w:t>
      </w:r>
    </w:p>
    <w:p w:rsidR="00713A22" w:rsidRDefault="00713A22" w:rsidP="00713A22">
      <w:pPr>
        <w:jc w:val="both"/>
      </w:pPr>
    </w:p>
    <w:p w:rsidR="00713A22" w:rsidRDefault="00713A22" w:rsidP="00073047">
      <w:pPr>
        <w:ind w:left="2160"/>
        <w:jc w:val="both"/>
      </w:pPr>
      <w:r>
        <w:t xml:space="preserve">The </w:t>
      </w:r>
      <w:r w:rsidR="006A0F55">
        <w:t xml:space="preserve">nominating </w:t>
      </w:r>
      <w:r>
        <w:t xml:space="preserve">committee made the following recommendations for officers: </w:t>
      </w:r>
    </w:p>
    <w:p w:rsidR="00713A22" w:rsidRDefault="00713A22" w:rsidP="00713A22">
      <w:pPr>
        <w:jc w:val="both"/>
      </w:pPr>
    </w:p>
    <w:tbl>
      <w:tblPr>
        <w:tblStyle w:val="TableGrid"/>
        <w:tblW w:w="0" w:type="auto"/>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269"/>
        <w:gridCol w:w="1847"/>
      </w:tblGrid>
      <w:tr w:rsidR="00713A22" w:rsidRPr="0095169E" w:rsidTr="00073047">
        <w:tc>
          <w:tcPr>
            <w:tcW w:w="0" w:type="auto"/>
          </w:tcPr>
          <w:p w:rsidR="00713A22" w:rsidRPr="0095169E" w:rsidRDefault="00713A22" w:rsidP="00827BE4">
            <w:pPr>
              <w:jc w:val="both"/>
              <w:rPr>
                <w:i/>
                <w:sz w:val="22"/>
                <w:szCs w:val="22"/>
              </w:rPr>
            </w:pPr>
            <w:r w:rsidRPr="0095169E">
              <w:rPr>
                <w:i/>
                <w:sz w:val="22"/>
                <w:szCs w:val="22"/>
              </w:rPr>
              <w:t>Chair:</w:t>
            </w:r>
          </w:p>
        </w:tc>
        <w:tc>
          <w:tcPr>
            <w:tcW w:w="0" w:type="auto"/>
          </w:tcPr>
          <w:p w:rsidR="00713A22" w:rsidRPr="0095169E" w:rsidRDefault="00713A22" w:rsidP="00827BE4">
            <w:pPr>
              <w:jc w:val="both"/>
              <w:rPr>
                <w:sz w:val="22"/>
                <w:szCs w:val="22"/>
              </w:rPr>
            </w:pPr>
            <w:r w:rsidRPr="0095169E">
              <w:rPr>
                <w:sz w:val="22"/>
                <w:szCs w:val="22"/>
              </w:rPr>
              <w:t>Jolene Koester</w:t>
            </w:r>
          </w:p>
        </w:tc>
      </w:tr>
      <w:tr w:rsidR="00713A22" w:rsidRPr="0095169E" w:rsidTr="00073047">
        <w:tc>
          <w:tcPr>
            <w:tcW w:w="0" w:type="auto"/>
          </w:tcPr>
          <w:p w:rsidR="00713A22" w:rsidRPr="0095169E" w:rsidRDefault="00713A22" w:rsidP="00827BE4">
            <w:pPr>
              <w:jc w:val="both"/>
              <w:rPr>
                <w:i/>
                <w:sz w:val="22"/>
                <w:szCs w:val="22"/>
              </w:rPr>
            </w:pPr>
            <w:r w:rsidRPr="0095169E">
              <w:rPr>
                <w:i/>
                <w:sz w:val="22"/>
                <w:szCs w:val="22"/>
              </w:rPr>
              <w:t>First Vice President:</w:t>
            </w:r>
          </w:p>
        </w:tc>
        <w:tc>
          <w:tcPr>
            <w:tcW w:w="0" w:type="auto"/>
          </w:tcPr>
          <w:p w:rsidR="00713A22" w:rsidRPr="0095169E" w:rsidRDefault="00713A22" w:rsidP="00827BE4">
            <w:pPr>
              <w:jc w:val="both"/>
              <w:rPr>
                <w:sz w:val="22"/>
                <w:szCs w:val="22"/>
              </w:rPr>
            </w:pPr>
            <w:r w:rsidRPr="0095169E">
              <w:rPr>
                <w:sz w:val="22"/>
                <w:szCs w:val="22"/>
              </w:rPr>
              <w:t>Jennifer Matos</w:t>
            </w:r>
          </w:p>
        </w:tc>
      </w:tr>
      <w:tr w:rsidR="00713A22" w:rsidRPr="0095169E" w:rsidTr="00073047">
        <w:tc>
          <w:tcPr>
            <w:tcW w:w="0" w:type="auto"/>
          </w:tcPr>
          <w:p w:rsidR="00713A22" w:rsidRPr="0095169E" w:rsidRDefault="00713A22" w:rsidP="00827BE4">
            <w:pPr>
              <w:jc w:val="both"/>
              <w:rPr>
                <w:i/>
                <w:sz w:val="22"/>
                <w:szCs w:val="22"/>
              </w:rPr>
            </w:pPr>
            <w:r w:rsidRPr="0095169E">
              <w:rPr>
                <w:i/>
                <w:sz w:val="22"/>
                <w:szCs w:val="22"/>
              </w:rPr>
              <w:t>Second Vice President:</w:t>
            </w:r>
          </w:p>
        </w:tc>
        <w:tc>
          <w:tcPr>
            <w:tcW w:w="0" w:type="auto"/>
          </w:tcPr>
          <w:p w:rsidR="00713A22" w:rsidRPr="0095169E" w:rsidRDefault="00713A22" w:rsidP="00827BE4">
            <w:pPr>
              <w:jc w:val="both"/>
              <w:rPr>
                <w:sz w:val="22"/>
                <w:szCs w:val="22"/>
              </w:rPr>
            </w:pPr>
            <w:r w:rsidRPr="0095169E">
              <w:rPr>
                <w:sz w:val="22"/>
                <w:szCs w:val="22"/>
              </w:rPr>
              <w:t>Jonathan Bonilla</w:t>
            </w:r>
          </w:p>
        </w:tc>
      </w:tr>
      <w:tr w:rsidR="00713A22" w:rsidRPr="0095169E" w:rsidTr="00073047">
        <w:tc>
          <w:tcPr>
            <w:tcW w:w="0" w:type="auto"/>
          </w:tcPr>
          <w:p w:rsidR="00713A22" w:rsidRPr="0095169E" w:rsidRDefault="00713A22" w:rsidP="00827BE4">
            <w:pPr>
              <w:jc w:val="both"/>
              <w:rPr>
                <w:i/>
                <w:sz w:val="22"/>
                <w:szCs w:val="22"/>
              </w:rPr>
            </w:pPr>
            <w:r w:rsidRPr="0095169E">
              <w:rPr>
                <w:i/>
                <w:sz w:val="22"/>
                <w:szCs w:val="22"/>
              </w:rPr>
              <w:t>Recording Secretary:</w:t>
            </w:r>
          </w:p>
        </w:tc>
        <w:tc>
          <w:tcPr>
            <w:tcW w:w="0" w:type="auto"/>
          </w:tcPr>
          <w:p w:rsidR="00713A22" w:rsidRPr="0095169E" w:rsidRDefault="00713A22" w:rsidP="00827BE4">
            <w:pPr>
              <w:jc w:val="both"/>
              <w:rPr>
                <w:sz w:val="22"/>
                <w:szCs w:val="22"/>
              </w:rPr>
            </w:pPr>
            <w:r w:rsidRPr="0095169E">
              <w:rPr>
                <w:sz w:val="22"/>
                <w:szCs w:val="22"/>
              </w:rPr>
              <w:t>Michael Neubauer</w:t>
            </w:r>
          </w:p>
        </w:tc>
      </w:tr>
      <w:tr w:rsidR="00713A22" w:rsidRPr="0095169E" w:rsidTr="00073047">
        <w:tc>
          <w:tcPr>
            <w:tcW w:w="0" w:type="auto"/>
          </w:tcPr>
          <w:p w:rsidR="00713A22" w:rsidRPr="0095169E" w:rsidRDefault="00713A22" w:rsidP="00827BE4">
            <w:pPr>
              <w:jc w:val="both"/>
              <w:rPr>
                <w:i/>
                <w:sz w:val="22"/>
                <w:szCs w:val="22"/>
              </w:rPr>
            </w:pPr>
            <w:r w:rsidRPr="0095169E">
              <w:rPr>
                <w:i/>
                <w:sz w:val="22"/>
                <w:szCs w:val="22"/>
              </w:rPr>
              <w:t>Treasurer:</w:t>
            </w:r>
          </w:p>
        </w:tc>
        <w:tc>
          <w:tcPr>
            <w:tcW w:w="0" w:type="auto"/>
          </w:tcPr>
          <w:p w:rsidR="00713A22" w:rsidRPr="0095169E" w:rsidRDefault="00713A22" w:rsidP="00827BE4">
            <w:pPr>
              <w:jc w:val="both"/>
              <w:rPr>
                <w:sz w:val="22"/>
                <w:szCs w:val="22"/>
              </w:rPr>
            </w:pPr>
            <w:r w:rsidRPr="0095169E">
              <w:rPr>
                <w:sz w:val="22"/>
                <w:szCs w:val="22"/>
              </w:rPr>
              <w:t>Ben Yaspelkis</w:t>
            </w:r>
          </w:p>
        </w:tc>
      </w:tr>
    </w:tbl>
    <w:p w:rsidR="00713A22" w:rsidRPr="00971428" w:rsidRDefault="00713A22" w:rsidP="00713A22">
      <w:pPr>
        <w:jc w:val="both"/>
      </w:pPr>
    </w:p>
    <w:p w:rsidR="00713A22" w:rsidRPr="00971428" w:rsidRDefault="006A0F55" w:rsidP="006A0F55">
      <w:pPr>
        <w:ind w:left="2160" w:hanging="2160"/>
        <w:jc w:val="both"/>
      </w:pPr>
      <w:r w:rsidRPr="006A0F55">
        <w:rPr>
          <w:b/>
          <w:i/>
          <w:u w:val="single"/>
        </w:rPr>
        <w:t>ACTION:</w:t>
      </w:r>
      <w:r>
        <w:rPr>
          <w:b/>
        </w:rPr>
        <w:tab/>
      </w:r>
      <w:r w:rsidR="00713A22" w:rsidRPr="00B33DE6">
        <w:rPr>
          <w:b/>
        </w:rPr>
        <w:t>MSP</w:t>
      </w:r>
      <w:r w:rsidR="00713A22">
        <w:t xml:space="preserve">:  </w:t>
      </w:r>
      <w:r w:rsidR="00713A22" w:rsidRPr="00B33DE6">
        <w:rPr>
          <w:b/>
        </w:rPr>
        <w:t xml:space="preserve">That </w:t>
      </w:r>
      <w:proofErr w:type="gramStart"/>
      <w:r w:rsidR="00713A22" w:rsidRPr="00B33DE6">
        <w:rPr>
          <w:b/>
        </w:rPr>
        <w:t>The</w:t>
      </w:r>
      <w:proofErr w:type="gramEnd"/>
      <w:r w:rsidR="00713A22" w:rsidRPr="00B33DE6">
        <w:rPr>
          <w:b/>
        </w:rPr>
        <w:t xml:space="preserve"> University Corporation Board of Directors elect officers per the recommendations of the nominating committee, one-</w:t>
      </w:r>
      <w:r w:rsidR="00713A22">
        <w:rPr>
          <w:b/>
        </w:rPr>
        <w:t>year terms to begin July 1, 2011</w:t>
      </w:r>
      <w:r w:rsidR="00713A22" w:rsidRPr="00B33DE6">
        <w:rPr>
          <w:b/>
        </w:rPr>
        <w:t>.</w:t>
      </w:r>
    </w:p>
    <w:p w:rsidR="00102C60" w:rsidRDefault="00102C60"/>
    <w:sectPr w:rsidR="00102C60" w:rsidSect="00073047">
      <w:pgSz w:w="12240" w:h="15840" w:code="1"/>
      <w:pgMar w:top="720" w:right="1440" w:bottom="720" w:left="1440" w:header="720" w:footer="720" w:gutter="0"/>
      <w:paperSrc w:first="258" w:other="258"/>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F55" w:rsidRDefault="006A0F55" w:rsidP="00D473E7">
      <w:r>
        <w:separator/>
      </w:r>
    </w:p>
  </w:endnote>
  <w:endnote w:type="continuationSeparator" w:id="0">
    <w:p w:rsidR="006A0F55" w:rsidRDefault="006A0F55" w:rsidP="00D473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F55" w:rsidRDefault="006A0F55" w:rsidP="00D473E7">
      <w:r>
        <w:separator/>
      </w:r>
    </w:p>
  </w:footnote>
  <w:footnote w:type="continuationSeparator" w:id="0">
    <w:p w:rsidR="006A0F55" w:rsidRDefault="006A0F55" w:rsidP="00D473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13A22"/>
    <w:rsid w:val="00073047"/>
    <w:rsid w:val="00102C60"/>
    <w:rsid w:val="002F349C"/>
    <w:rsid w:val="00371786"/>
    <w:rsid w:val="00663E08"/>
    <w:rsid w:val="006A0F55"/>
    <w:rsid w:val="00713A22"/>
    <w:rsid w:val="00827BE4"/>
    <w:rsid w:val="009C3A04"/>
    <w:rsid w:val="00A90CCF"/>
    <w:rsid w:val="00D473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A22"/>
    <w:pPr>
      <w:spacing w:after="0" w:line="240" w:lineRule="auto"/>
    </w:pPr>
    <w:rPr>
      <w:rFonts w:ascii="Times" w:eastAsia="Times New Roman" w:hAnsi="Times" w:cs="Times New Roman"/>
      <w:szCs w:val="24"/>
    </w:rPr>
  </w:style>
  <w:style w:type="paragraph" w:styleId="Heading1">
    <w:name w:val="heading 1"/>
    <w:basedOn w:val="Normal"/>
    <w:next w:val="Normal"/>
    <w:link w:val="Heading1Char"/>
    <w:qFormat/>
    <w:rsid w:val="00713A22"/>
    <w:pPr>
      <w:keepNext/>
      <w:outlineLvl w:val="0"/>
    </w:pPr>
    <w:rPr>
      <w:rFonts w:ascii="Times New Roman" w:hAnsi="Times New Roman"/>
      <w:b/>
      <w:smallCap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3A22"/>
    <w:rPr>
      <w:rFonts w:eastAsia="Times New Roman" w:cs="Times New Roman"/>
      <w:b/>
      <w:smallCaps/>
      <w:sz w:val="28"/>
      <w:szCs w:val="20"/>
    </w:rPr>
  </w:style>
  <w:style w:type="paragraph" w:styleId="BodyText">
    <w:name w:val="Body Text"/>
    <w:basedOn w:val="Normal"/>
    <w:link w:val="BodyTextChar"/>
    <w:rsid w:val="00713A22"/>
    <w:pPr>
      <w:jc w:val="both"/>
    </w:pPr>
    <w:rPr>
      <w:rFonts w:ascii="Times New Roman" w:hAnsi="Times New Roman"/>
    </w:rPr>
  </w:style>
  <w:style w:type="character" w:customStyle="1" w:styleId="BodyTextChar">
    <w:name w:val="Body Text Char"/>
    <w:basedOn w:val="DefaultParagraphFont"/>
    <w:link w:val="BodyText"/>
    <w:rsid w:val="00713A22"/>
    <w:rPr>
      <w:rFonts w:eastAsia="Times New Roman" w:cs="Times New Roman"/>
      <w:szCs w:val="24"/>
    </w:rPr>
  </w:style>
  <w:style w:type="paragraph" w:styleId="BodyTextIndent">
    <w:name w:val="Body Text Indent"/>
    <w:basedOn w:val="Normal"/>
    <w:link w:val="BodyTextIndentChar"/>
    <w:rsid w:val="00713A22"/>
    <w:pPr>
      <w:ind w:left="2880" w:hanging="2880"/>
      <w:jc w:val="both"/>
    </w:pPr>
    <w:rPr>
      <w:rFonts w:ascii="Times New Roman" w:hAnsi="Times New Roman"/>
    </w:rPr>
  </w:style>
  <w:style w:type="character" w:customStyle="1" w:styleId="BodyTextIndentChar">
    <w:name w:val="Body Text Indent Char"/>
    <w:basedOn w:val="DefaultParagraphFont"/>
    <w:link w:val="BodyTextIndent"/>
    <w:rsid w:val="00713A22"/>
    <w:rPr>
      <w:rFonts w:eastAsia="Times New Roman" w:cs="Times New Roman"/>
      <w:szCs w:val="24"/>
    </w:rPr>
  </w:style>
  <w:style w:type="paragraph" w:styleId="BodyTextIndent2">
    <w:name w:val="Body Text Indent 2"/>
    <w:basedOn w:val="Normal"/>
    <w:link w:val="BodyTextIndent2Char"/>
    <w:rsid w:val="00713A22"/>
    <w:pPr>
      <w:ind w:left="2160" w:hanging="2160"/>
      <w:jc w:val="both"/>
    </w:pPr>
    <w:rPr>
      <w:rFonts w:ascii="Times New Roman" w:hAnsi="Times New Roman"/>
    </w:rPr>
  </w:style>
  <w:style w:type="character" w:customStyle="1" w:styleId="BodyTextIndent2Char">
    <w:name w:val="Body Text Indent 2 Char"/>
    <w:basedOn w:val="DefaultParagraphFont"/>
    <w:link w:val="BodyTextIndent2"/>
    <w:rsid w:val="00713A22"/>
    <w:rPr>
      <w:rFonts w:eastAsia="Times New Roman" w:cs="Times New Roman"/>
      <w:szCs w:val="24"/>
    </w:rPr>
  </w:style>
  <w:style w:type="paragraph" w:styleId="Header">
    <w:name w:val="header"/>
    <w:basedOn w:val="Normal"/>
    <w:link w:val="HeaderChar"/>
    <w:rsid w:val="00713A22"/>
    <w:pPr>
      <w:tabs>
        <w:tab w:val="center" w:pos="4320"/>
        <w:tab w:val="right" w:pos="8640"/>
      </w:tabs>
    </w:pPr>
  </w:style>
  <w:style w:type="character" w:customStyle="1" w:styleId="HeaderChar">
    <w:name w:val="Header Char"/>
    <w:basedOn w:val="DefaultParagraphFont"/>
    <w:link w:val="Header"/>
    <w:rsid w:val="00713A22"/>
    <w:rPr>
      <w:rFonts w:ascii="Times" w:eastAsia="Times New Roman" w:hAnsi="Times" w:cs="Times New Roman"/>
      <w:szCs w:val="24"/>
    </w:rPr>
  </w:style>
  <w:style w:type="character" w:styleId="PageNumber">
    <w:name w:val="page number"/>
    <w:basedOn w:val="DefaultParagraphFont"/>
    <w:rsid w:val="00713A22"/>
  </w:style>
  <w:style w:type="table" w:styleId="TableGrid">
    <w:name w:val="Table Grid"/>
    <w:basedOn w:val="TableNormal"/>
    <w:rsid w:val="00713A22"/>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D473E7"/>
    <w:pPr>
      <w:tabs>
        <w:tab w:val="center" w:pos="4680"/>
        <w:tab w:val="right" w:pos="9360"/>
      </w:tabs>
    </w:pPr>
  </w:style>
  <w:style w:type="character" w:customStyle="1" w:styleId="FooterChar">
    <w:name w:val="Footer Char"/>
    <w:basedOn w:val="DefaultParagraphFont"/>
    <w:link w:val="Footer"/>
    <w:uiPriority w:val="99"/>
    <w:semiHidden/>
    <w:rsid w:val="00D473E7"/>
    <w:rPr>
      <w:rFonts w:ascii="Times" w:eastAsia="Times New Roman" w:hAnsi="Times"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Northridge</Company>
  <LinksUpToDate>false</LinksUpToDate>
  <CharactersWithSpaces>4221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hfuco002</dc:creator>
  <cp:keywords/>
  <dc:description/>
  <cp:lastModifiedBy>hfuco002</cp:lastModifiedBy>
  <cp:revision>5</cp:revision>
  <dcterms:created xsi:type="dcterms:W3CDTF">2011-12-19T20:56:00Z</dcterms:created>
  <dcterms:modified xsi:type="dcterms:W3CDTF">2011-12-19T21:54:00Z</dcterms:modified>
</cp:coreProperties>
</file>